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18BD52" w14:textId="77777777" w:rsidR="00446C69" w:rsidRPr="00407488" w:rsidRDefault="009B4B7A" w:rsidP="00A3247B">
      <w:pPr>
        <w:tabs>
          <w:tab w:val="center" w:pos="4536"/>
        </w:tabs>
        <w:jc w:val="left"/>
        <w:rPr>
          <w:sz w:val="44"/>
        </w:rPr>
      </w:pPr>
      <w:r w:rsidRPr="00407488">
        <w:rPr>
          <w:noProof/>
          <w:sz w:val="44"/>
          <w:lang w:val="en-US" w:eastAsia="en-US" w:bidi="ar-SA"/>
        </w:rPr>
        <w:drawing>
          <wp:anchor distT="0" distB="0" distL="114300" distR="114300" simplePos="0" relativeHeight="251658240" behindDoc="1" locked="0" layoutInCell="1" allowOverlap="1" wp14:anchorId="5DE493D7" wp14:editId="25087B1F">
            <wp:simplePos x="0" y="0"/>
            <wp:positionH relativeFrom="column">
              <wp:posOffset>3862070</wp:posOffset>
            </wp:positionH>
            <wp:positionV relativeFrom="paragraph">
              <wp:posOffset>-318724</wp:posOffset>
            </wp:positionV>
            <wp:extent cx="1875790" cy="950595"/>
            <wp:effectExtent l="0" t="0" r="0" b="190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dmi_logo.jpg"/>
                    <pic:cNvPicPr/>
                  </pic:nvPicPr>
                  <pic:blipFill>
                    <a:blip r:embed="rId8">
                      <a:extLst>
                        <a:ext uri="{28A0092B-C50C-407E-A947-70E740481C1C}">
                          <a14:useLocalDpi xmlns:a14="http://schemas.microsoft.com/office/drawing/2010/main" val="0"/>
                        </a:ext>
                      </a:extLst>
                    </a:blip>
                    <a:stretch>
                      <a:fillRect/>
                    </a:stretch>
                  </pic:blipFill>
                  <pic:spPr>
                    <a:xfrm>
                      <a:off x="0" y="0"/>
                      <a:ext cx="1875790" cy="950595"/>
                    </a:xfrm>
                    <a:prstGeom prst="rect">
                      <a:avLst/>
                    </a:prstGeom>
                  </pic:spPr>
                </pic:pic>
              </a:graphicData>
            </a:graphic>
            <wp14:sizeRelH relativeFrom="page">
              <wp14:pctWidth>0</wp14:pctWidth>
            </wp14:sizeRelH>
            <wp14:sizeRelV relativeFrom="page">
              <wp14:pctHeight>0</wp14:pctHeight>
            </wp14:sizeRelV>
          </wp:anchor>
        </w:drawing>
      </w:r>
      <w:r w:rsidRPr="00407488">
        <w:rPr>
          <w:noProof/>
          <w:sz w:val="44"/>
          <w:lang w:val="en-US" w:eastAsia="en-US" w:bidi="ar-SA"/>
        </w:rPr>
        <w:drawing>
          <wp:anchor distT="0" distB="0" distL="114300" distR="114300" simplePos="0" relativeHeight="251659264" behindDoc="1" locked="0" layoutInCell="1" allowOverlap="1" wp14:anchorId="516809D6" wp14:editId="1F4E2BB7">
            <wp:simplePos x="0" y="0"/>
            <wp:positionH relativeFrom="column">
              <wp:posOffset>-433705</wp:posOffset>
            </wp:positionH>
            <wp:positionV relativeFrom="paragraph">
              <wp:posOffset>-275590</wp:posOffset>
            </wp:positionV>
            <wp:extent cx="4125595" cy="948690"/>
            <wp:effectExtent l="0" t="0" r="8255" b="381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ADNL+FR.png"/>
                    <pic:cNvPicPr/>
                  </pic:nvPicPr>
                  <pic:blipFill>
                    <a:blip r:embed="rId9">
                      <a:extLst>
                        <a:ext uri="{28A0092B-C50C-407E-A947-70E740481C1C}">
                          <a14:useLocalDpi xmlns:a14="http://schemas.microsoft.com/office/drawing/2010/main" val="0"/>
                        </a:ext>
                      </a:extLst>
                    </a:blip>
                    <a:stretch>
                      <a:fillRect/>
                    </a:stretch>
                  </pic:blipFill>
                  <pic:spPr>
                    <a:xfrm>
                      <a:off x="0" y="0"/>
                      <a:ext cx="4125595" cy="948690"/>
                    </a:xfrm>
                    <a:prstGeom prst="rect">
                      <a:avLst/>
                    </a:prstGeom>
                  </pic:spPr>
                </pic:pic>
              </a:graphicData>
            </a:graphic>
            <wp14:sizeRelH relativeFrom="page">
              <wp14:pctWidth>0</wp14:pctWidth>
            </wp14:sizeRelH>
            <wp14:sizeRelV relativeFrom="page">
              <wp14:pctHeight>0</wp14:pctHeight>
            </wp14:sizeRelV>
          </wp:anchor>
        </w:drawing>
      </w:r>
      <w:r w:rsidRPr="00407488">
        <w:tab/>
      </w:r>
    </w:p>
    <w:p w14:paraId="2023AAB0" w14:textId="77777777" w:rsidR="00446C69" w:rsidRPr="00407488" w:rsidRDefault="00446C69" w:rsidP="00A3247B">
      <w:pPr>
        <w:jc w:val="center"/>
        <w:rPr>
          <w:sz w:val="44"/>
        </w:rPr>
      </w:pPr>
    </w:p>
    <w:p w14:paraId="1357E8BF" w14:textId="77777777" w:rsidR="00446C69" w:rsidRPr="00407488" w:rsidRDefault="00446C69" w:rsidP="00A3247B">
      <w:pPr>
        <w:jc w:val="center"/>
        <w:rPr>
          <w:rFonts w:asciiTheme="majorHAnsi" w:hAnsiTheme="majorHAnsi"/>
          <w:sz w:val="44"/>
        </w:rPr>
      </w:pPr>
    </w:p>
    <w:p w14:paraId="2E88B3D1" w14:textId="77777777" w:rsidR="00446C69" w:rsidRPr="00407488" w:rsidRDefault="00446C69" w:rsidP="00A3247B">
      <w:pPr>
        <w:jc w:val="center"/>
        <w:rPr>
          <w:rFonts w:asciiTheme="majorHAnsi" w:hAnsiTheme="majorHAnsi"/>
          <w:sz w:val="44"/>
        </w:rPr>
      </w:pPr>
    </w:p>
    <w:p w14:paraId="4D6716E4" w14:textId="77777777" w:rsidR="00C53DDD" w:rsidRPr="00407488" w:rsidRDefault="00446C69" w:rsidP="00A3247B">
      <w:pPr>
        <w:jc w:val="center"/>
        <w:rPr>
          <w:rFonts w:asciiTheme="majorHAnsi" w:hAnsiTheme="majorHAnsi"/>
          <w:sz w:val="48"/>
        </w:rPr>
      </w:pPr>
      <w:r w:rsidRPr="00407488">
        <w:rPr>
          <w:rFonts w:asciiTheme="majorHAnsi" w:hAnsiTheme="majorHAnsi"/>
          <w:sz w:val="48"/>
        </w:rPr>
        <w:t>Programme opérationnel belge pour le Fonds e</w:t>
      </w:r>
      <w:r w:rsidR="0090351D">
        <w:rPr>
          <w:rFonts w:asciiTheme="majorHAnsi" w:hAnsiTheme="majorHAnsi"/>
          <w:sz w:val="48"/>
        </w:rPr>
        <w:t>uropéen d'aide aux plus démunis</w:t>
      </w:r>
      <w:r w:rsidRPr="00407488">
        <w:rPr>
          <w:rFonts w:asciiTheme="majorHAnsi" w:hAnsiTheme="majorHAnsi"/>
          <w:sz w:val="48"/>
        </w:rPr>
        <w:t>: aide alimentaire, aide matérielle et mesures d'accompagnement.</w:t>
      </w:r>
    </w:p>
    <w:p w14:paraId="06E60AFD" w14:textId="77777777" w:rsidR="009B4B7A" w:rsidRPr="00407488" w:rsidRDefault="009B4B7A" w:rsidP="00A3247B">
      <w:pPr>
        <w:jc w:val="center"/>
        <w:rPr>
          <w:rFonts w:asciiTheme="majorHAnsi" w:hAnsiTheme="majorHAnsi"/>
          <w:b/>
          <w:sz w:val="56"/>
        </w:rPr>
      </w:pPr>
      <w:r w:rsidRPr="00407488">
        <w:rPr>
          <w:rFonts w:asciiTheme="majorHAnsi" w:hAnsiTheme="majorHAnsi"/>
          <w:b/>
          <w:sz w:val="56"/>
        </w:rPr>
        <w:t>2014 – 2020</w:t>
      </w:r>
    </w:p>
    <w:p w14:paraId="42403D70" w14:textId="77777777" w:rsidR="009B4B7A" w:rsidRPr="00407488" w:rsidRDefault="009B4B7A" w:rsidP="00A3247B">
      <w:pPr>
        <w:jc w:val="center"/>
        <w:rPr>
          <w:rFonts w:asciiTheme="majorHAnsi" w:hAnsiTheme="majorHAnsi"/>
          <w:b/>
          <w:sz w:val="18"/>
        </w:rPr>
      </w:pPr>
    </w:p>
    <w:p w14:paraId="3581CE00" w14:textId="77777777" w:rsidR="009B4B7A" w:rsidRPr="00407488" w:rsidRDefault="00372B88" w:rsidP="00A3247B">
      <w:pPr>
        <w:pStyle w:val="Duidelijkcitaat"/>
        <w:spacing w:line="276" w:lineRule="auto"/>
        <w:jc w:val="center"/>
        <w:rPr>
          <w:rFonts w:asciiTheme="majorHAnsi" w:hAnsiTheme="majorHAnsi"/>
          <w:sz w:val="48"/>
          <w:szCs w:val="48"/>
        </w:rPr>
      </w:pPr>
      <w:r>
        <w:rPr>
          <w:rFonts w:asciiTheme="majorHAnsi" w:hAnsiTheme="majorHAnsi"/>
          <w:sz w:val="48"/>
        </w:rPr>
        <w:t>RAPPORT ANNUEL 2015</w:t>
      </w:r>
    </w:p>
    <w:p w14:paraId="4FC8A772" w14:textId="77777777" w:rsidR="00446C69" w:rsidRPr="00407488" w:rsidRDefault="0090351D" w:rsidP="00A3247B">
      <w:pPr>
        <w:jc w:val="center"/>
        <w:rPr>
          <w:rFonts w:asciiTheme="majorHAnsi" w:hAnsiTheme="majorHAnsi"/>
          <w:i/>
        </w:rPr>
      </w:pPr>
      <w:r>
        <w:rPr>
          <w:rFonts w:asciiTheme="majorHAnsi" w:hAnsiTheme="majorHAnsi"/>
          <w:i/>
        </w:rPr>
        <w:t xml:space="preserve">Règlement (EU) n° </w:t>
      </w:r>
      <w:r w:rsidR="009B4B7A" w:rsidRPr="00407488">
        <w:rPr>
          <w:rFonts w:asciiTheme="majorHAnsi" w:hAnsiTheme="majorHAnsi"/>
          <w:i/>
        </w:rPr>
        <w:t>223/2014 du Parlement européen et du Conseil du 11 mars 2014 relatif au Fonds européen d'aide aux plus démunis</w:t>
      </w:r>
    </w:p>
    <w:p w14:paraId="5FCCAB43" w14:textId="77777777" w:rsidR="009B4B7A" w:rsidRPr="00407488" w:rsidRDefault="009B4B7A" w:rsidP="00A3247B">
      <w:pPr>
        <w:jc w:val="center"/>
        <w:rPr>
          <w:rFonts w:asciiTheme="majorHAnsi" w:hAnsiTheme="majorHAnsi"/>
          <w:i/>
        </w:rPr>
      </w:pPr>
    </w:p>
    <w:p w14:paraId="49D303EE" w14:textId="77777777" w:rsidR="009B4B7A" w:rsidRPr="00407488" w:rsidRDefault="009B4B7A" w:rsidP="00A3247B">
      <w:pPr>
        <w:jc w:val="center"/>
        <w:rPr>
          <w:rFonts w:asciiTheme="majorHAnsi" w:hAnsiTheme="majorHAnsi"/>
          <w:i/>
        </w:rPr>
      </w:pPr>
    </w:p>
    <w:p w14:paraId="3F4A8C17" w14:textId="77777777" w:rsidR="009B4B7A" w:rsidRPr="00407488" w:rsidRDefault="009B4B7A" w:rsidP="00A3247B">
      <w:pPr>
        <w:jc w:val="center"/>
        <w:rPr>
          <w:rFonts w:asciiTheme="majorHAnsi" w:hAnsiTheme="majorHAnsi"/>
          <w:i/>
        </w:rPr>
      </w:pPr>
    </w:p>
    <w:p w14:paraId="29ED24E6" w14:textId="77777777" w:rsidR="009B4B7A" w:rsidRPr="00407488" w:rsidRDefault="009B4B7A" w:rsidP="00A3247B">
      <w:pPr>
        <w:jc w:val="center"/>
        <w:rPr>
          <w:rFonts w:asciiTheme="majorHAnsi" w:hAnsiTheme="majorHAnsi"/>
          <w:i/>
        </w:rPr>
      </w:pPr>
    </w:p>
    <w:p w14:paraId="09AD5D88" w14:textId="77777777" w:rsidR="009B4B7A" w:rsidRPr="00407488" w:rsidRDefault="009B4B7A" w:rsidP="00A3247B">
      <w:pPr>
        <w:jc w:val="center"/>
        <w:rPr>
          <w:rFonts w:asciiTheme="majorHAnsi" w:hAnsiTheme="majorHAnsi"/>
          <w:i/>
        </w:rPr>
      </w:pPr>
    </w:p>
    <w:p w14:paraId="5AE9D2F1" w14:textId="77777777" w:rsidR="009B4B7A" w:rsidRPr="00407488" w:rsidRDefault="009B4B7A" w:rsidP="00A3247B">
      <w:pPr>
        <w:jc w:val="center"/>
        <w:rPr>
          <w:rFonts w:asciiTheme="majorHAnsi" w:hAnsiTheme="majorHAnsi"/>
          <w:i/>
        </w:rPr>
      </w:pPr>
    </w:p>
    <w:p w14:paraId="574E4BA7" w14:textId="77777777" w:rsidR="005614FE" w:rsidRPr="00407488" w:rsidRDefault="005614FE" w:rsidP="00A3247B">
      <w:pPr>
        <w:jc w:val="center"/>
        <w:rPr>
          <w:rFonts w:asciiTheme="majorHAnsi" w:hAnsiTheme="majorHAnsi"/>
          <w:i/>
        </w:rPr>
      </w:pPr>
    </w:p>
    <w:p w14:paraId="71B93948" w14:textId="6411D897" w:rsidR="005614FE" w:rsidRPr="00407488" w:rsidRDefault="0090351D" w:rsidP="0000230F">
      <w:pPr>
        <w:jc w:val="center"/>
      </w:pPr>
      <w:r>
        <w:rPr>
          <w:rFonts w:asciiTheme="majorHAnsi" w:hAnsiTheme="majorHAnsi"/>
        </w:rPr>
        <w:t>Rédaction</w:t>
      </w:r>
      <w:r w:rsidR="009B4B7A" w:rsidRPr="00407488">
        <w:rPr>
          <w:rFonts w:asciiTheme="majorHAnsi" w:hAnsiTheme="majorHAnsi"/>
        </w:rPr>
        <w:t xml:space="preserve">: </w:t>
      </w:r>
      <w:r w:rsidR="0000230F">
        <w:rPr>
          <w:rFonts w:asciiTheme="majorHAnsi" w:hAnsiTheme="majorHAnsi"/>
        </w:rPr>
        <w:t>Service Public de Programmation</w:t>
      </w:r>
      <w:r w:rsidR="009B4B7A" w:rsidRPr="00407488">
        <w:rPr>
          <w:rFonts w:asciiTheme="majorHAnsi" w:hAnsiTheme="majorHAnsi"/>
        </w:rPr>
        <w:t xml:space="preserve"> Intégration Sociale, Lutte contre la Pauvreté et Politique des Grandes Villes.</w:t>
      </w:r>
      <w:r w:rsidR="009B4B7A" w:rsidRPr="00407488">
        <w:br w:type="page"/>
      </w:r>
    </w:p>
    <w:sdt>
      <w:sdtPr>
        <w:rPr>
          <w:smallCaps w:val="0"/>
          <w:spacing w:val="0"/>
          <w:sz w:val="24"/>
          <w:szCs w:val="22"/>
          <w:lang w:val="nl-NL"/>
        </w:rPr>
        <w:id w:val="-698930414"/>
        <w:docPartObj>
          <w:docPartGallery w:val="Table of Contents"/>
          <w:docPartUnique/>
        </w:docPartObj>
      </w:sdtPr>
      <w:sdtEndPr>
        <w:rPr>
          <w:b/>
          <w:bCs/>
        </w:rPr>
      </w:sdtEndPr>
      <w:sdtContent>
        <w:p w14:paraId="69D76368" w14:textId="77777777" w:rsidR="00FF41B3" w:rsidRDefault="00FF41B3" w:rsidP="00A3247B">
          <w:pPr>
            <w:pStyle w:val="Kopvaninhoudsopgave"/>
            <w:rPr>
              <w:lang w:val="nl-NL"/>
            </w:rPr>
          </w:pPr>
          <w:r>
            <w:rPr>
              <w:lang w:val="nl-NL"/>
            </w:rPr>
            <w:t>CONTENU</w:t>
          </w:r>
        </w:p>
        <w:p w14:paraId="070D8E7C" w14:textId="77777777" w:rsidR="00FF41B3" w:rsidRPr="00FF41B3" w:rsidRDefault="00FF41B3" w:rsidP="00A3247B">
          <w:pPr>
            <w:rPr>
              <w:lang w:val="nl-NL"/>
            </w:rPr>
          </w:pPr>
        </w:p>
        <w:p w14:paraId="33465179" w14:textId="77777777" w:rsidR="0020647A" w:rsidRDefault="00FF41B3">
          <w:pPr>
            <w:pStyle w:val="Inhopg1"/>
            <w:tabs>
              <w:tab w:val="left" w:pos="480"/>
              <w:tab w:val="right" w:leader="dot" w:pos="9062"/>
            </w:tabs>
            <w:rPr>
              <w:rFonts w:asciiTheme="minorHAnsi" w:eastAsiaTheme="minorEastAsia" w:hAnsiTheme="minorHAnsi" w:cstheme="minorBidi"/>
              <w:noProof/>
              <w:sz w:val="22"/>
              <w:lang w:val="en-US" w:eastAsia="en-US" w:bidi="ar-SA"/>
            </w:rPr>
          </w:pPr>
          <w:r>
            <w:fldChar w:fldCharType="begin"/>
          </w:r>
          <w:r>
            <w:instrText xml:space="preserve"> TOC \o "1-3" \h \z \u </w:instrText>
          </w:r>
          <w:r>
            <w:fldChar w:fldCharType="separate"/>
          </w:r>
          <w:hyperlink w:anchor="_Toc454974423" w:history="1">
            <w:r w:rsidR="0020647A" w:rsidRPr="00641228">
              <w:rPr>
                <w:rStyle w:val="Hyperlink"/>
                <w:noProof/>
              </w:rPr>
              <w:t>I.</w:t>
            </w:r>
            <w:r w:rsidR="0020647A">
              <w:rPr>
                <w:rFonts w:asciiTheme="minorHAnsi" w:eastAsiaTheme="minorEastAsia" w:hAnsiTheme="minorHAnsi" w:cstheme="minorBidi"/>
                <w:noProof/>
                <w:sz w:val="22"/>
                <w:lang w:val="en-US" w:eastAsia="en-US" w:bidi="ar-SA"/>
              </w:rPr>
              <w:tab/>
            </w:r>
            <w:r w:rsidR="0020647A" w:rsidRPr="00641228">
              <w:rPr>
                <w:rStyle w:val="Hyperlink"/>
                <w:noProof/>
              </w:rPr>
              <w:t>Données requises pour chaque année</w:t>
            </w:r>
            <w:r w:rsidR="0020647A">
              <w:rPr>
                <w:noProof/>
                <w:webHidden/>
              </w:rPr>
              <w:tab/>
            </w:r>
            <w:r w:rsidR="0020647A">
              <w:rPr>
                <w:noProof/>
                <w:webHidden/>
              </w:rPr>
              <w:fldChar w:fldCharType="begin"/>
            </w:r>
            <w:r w:rsidR="0020647A">
              <w:rPr>
                <w:noProof/>
                <w:webHidden/>
              </w:rPr>
              <w:instrText xml:space="preserve"> PAGEREF _Toc454974423 \h </w:instrText>
            </w:r>
            <w:r w:rsidR="0020647A">
              <w:rPr>
                <w:noProof/>
                <w:webHidden/>
              </w:rPr>
            </w:r>
            <w:r w:rsidR="0020647A">
              <w:rPr>
                <w:noProof/>
                <w:webHidden/>
              </w:rPr>
              <w:fldChar w:fldCharType="separate"/>
            </w:r>
            <w:r w:rsidR="00EF11A6">
              <w:rPr>
                <w:noProof/>
                <w:webHidden/>
              </w:rPr>
              <w:t>3</w:t>
            </w:r>
            <w:r w:rsidR="0020647A">
              <w:rPr>
                <w:noProof/>
                <w:webHidden/>
              </w:rPr>
              <w:fldChar w:fldCharType="end"/>
            </w:r>
          </w:hyperlink>
        </w:p>
        <w:p w14:paraId="2BB0559E" w14:textId="77777777" w:rsidR="0020647A" w:rsidRDefault="00EF11A6">
          <w:pPr>
            <w:pStyle w:val="Inhopg2"/>
            <w:tabs>
              <w:tab w:val="left" w:pos="660"/>
              <w:tab w:val="right" w:leader="dot" w:pos="9062"/>
            </w:tabs>
            <w:rPr>
              <w:rFonts w:asciiTheme="minorHAnsi" w:eastAsiaTheme="minorEastAsia" w:hAnsiTheme="minorHAnsi" w:cstheme="minorBidi"/>
              <w:noProof/>
              <w:sz w:val="22"/>
              <w:lang w:val="en-US" w:eastAsia="en-US" w:bidi="ar-SA"/>
            </w:rPr>
          </w:pPr>
          <w:hyperlink w:anchor="_Toc454974424" w:history="1">
            <w:r w:rsidR="0020647A" w:rsidRPr="00641228">
              <w:rPr>
                <w:rStyle w:val="Hyperlink"/>
                <w:noProof/>
              </w:rPr>
              <w:t>1.</w:t>
            </w:r>
            <w:r w:rsidR="0020647A">
              <w:rPr>
                <w:rFonts w:asciiTheme="minorHAnsi" w:eastAsiaTheme="minorEastAsia" w:hAnsiTheme="minorHAnsi" w:cstheme="minorBidi"/>
                <w:noProof/>
                <w:sz w:val="22"/>
                <w:lang w:val="en-US" w:eastAsia="en-US" w:bidi="ar-SA"/>
              </w:rPr>
              <w:tab/>
            </w:r>
            <w:r w:rsidR="0020647A" w:rsidRPr="00641228">
              <w:rPr>
                <w:rStyle w:val="Hyperlink"/>
                <w:noProof/>
              </w:rPr>
              <w:t>Identification du rapport annuel</w:t>
            </w:r>
            <w:r w:rsidR="0020647A">
              <w:rPr>
                <w:noProof/>
                <w:webHidden/>
              </w:rPr>
              <w:tab/>
            </w:r>
            <w:r w:rsidR="0020647A">
              <w:rPr>
                <w:noProof/>
                <w:webHidden/>
              </w:rPr>
              <w:fldChar w:fldCharType="begin"/>
            </w:r>
            <w:r w:rsidR="0020647A">
              <w:rPr>
                <w:noProof/>
                <w:webHidden/>
              </w:rPr>
              <w:instrText xml:space="preserve"> PAGEREF _Toc454974424 \h </w:instrText>
            </w:r>
            <w:r w:rsidR="0020647A">
              <w:rPr>
                <w:noProof/>
                <w:webHidden/>
              </w:rPr>
            </w:r>
            <w:r w:rsidR="0020647A">
              <w:rPr>
                <w:noProof/>
                <w:webHidden/>
              </w:rPr>
              <w:fldChar w:fldCharType="separate"/>
            </w:r>
            <w:r>
              <w:rPr>
                <w:noProof/>
                <w:webHidden/>
              </w:rPr>
              <w:t>3</w:t>
            </w:r>
            <w:r w:rsidR="0020647A">
              <w:rPr>
                <w:noProof/>
                <w:webHidden/>
              </w:rPr>
              <w:fldChar w:fldCharType="end"/>
            </w:r>
          </w:hyperlink>
        </w:p>
        <w:p w14:paraId="26D14CE4" w14:textId="77777777" w:rsidR="0020647A" w:rsidRDefault="00EF11A6">
          <w:pPr>
            <w:pStyle w:val="Inhopg2"/>
            <w:tabs>
              <w:tab w:val="left" w:pos="660"/>
              <w:tab w:val="right" w:leader="dot" w:pos="9062"/>
            </w:tabs>
            <w:rPr>
              <w:rFonts w:asciiTheme="minorHAnsi" w:eastAsiaTheme="minorEastAsia" w:hAnsiTheme="minorHAnsi" w:cstheme="minorBidi"/>
              <w:noProof/>
              <w:sz w:val="22"/>
              <w:lang w:val="en-US" w:eastAsia="en-US" w:bidi="ar-SA"/>
            </w:rPr>
          </w:pPr>
          <w:hyperlink w:anchor="_Toc454974425" w:history="1">
            <w:r w:rsidR="0020647A" w:rsidRPr="00641228">
              <w:rPr>
                <w:rStyle w:val="Hyperlink"/>
                <w:noProof/>
              </w:rPr>
              <w:t>2.</w:t>
            </w:r>
            <w:r w:rsidR="0020647A">
              <w:rPr>
                <w:rFonts w:asciiTheme="minorHAnsi" w:eastAsiaTheme="minorEastAsia" w:hAnsiTheme="minorHAnsi" w:cstheme="minorBidi"/>
                <w:noProof/>
                <w:sz w:val="22"/>
                <w:lang w:val="en-US" w:eastAsia="en-US" w:bidi="ar-SA"/>
              </w:rPr>
              <w:tab/>
            </w:r>
            <w:r w:rsidR="0020647A" w:rsidRPr="00641228">
              <w:rPr>
                <w:rStyle w:val="Hyperlink"/>
                <w:noProof/>
              </w:rPr>
              <w:t>Aperçu de l'exécution du programme opérationnel</w:t>
            </w:r>
            <w:r w:rsidR="0020647A">
              <w:rPr>
                <w:noProof/>
                <w:webHidden/>
              </w:rPr>
              <w:tab/>
            </w:r>
            <w:bookmarkStart w:id="0" w:name="_GoBack"/>
            <w:bookmarkEnd w:id="0"/>
            <w:r w:rsidR="0020647A">
              <w:rPr>
                <w:noProof/>
                <w:webHidden/>
              </w:rPr>
              <w:fldChar w:fldCharType="begin"/>
            </w:r>
            <w:r w:rsidR="0020647A">
              <w:rPr>
                <w:noProof/>
                <w:webHidden/>
              </w:rPr>
              <w:instrText xml:space="preserve"> PAGEREF _Toc454974425 \h </w:instrText>
            </w:r>
            <w:r w:rsidR="0020647A">
              <w:rPr>
                <w:noProof/>
                <w:webHidden/>
              </w:rPr>
            </w:r>
            <w:r w:rsidR="0020647A">
              <w:rPr>
                <w:noProof/>
                <w:webHidden/>
              </w:rPr>
              <w:fldChar w:fldCharType="separate"/>
            </w:r>
            <w:r>
              <w:rPr>
                <w:noProof/>
                <w:webHidden/>
              </w:rPr>
              <w:t>3</w:t>
            </w:r>
            <w:r w:rsidR="0020647A">
              <w:rPr>
                <w:noProof/>
                <w:webHidden/>
              </w:rPr>
              <w:fldChar w:fldCharType="end"/>
            </w:r>
          </w:hyperlink>
        </w:p>
        <w:p w14:paraId="467F8D09" w14:textId="77777777" w:rsidR="0020647A" w:rsidRDefault="00EF11A6">
          <w:pPr>
            <w:pStyle w:val="Inhopg3"/>
            <w:rPr>
              <w:rFonts w:asciiTheme="minorHAnsi" w:eastAsiaTheme="minorEastAsia" w:hAnsiTheme="minorHAnsi" w:cstheme="minorBidi"/>
              <w:sz w:val="22"/>
              <w:lang w:val="en-US" w:eastAsia="en-US" w:bidi="ar-SA"/>
            </w:rPr>
          </w:pPr>
          <w:hyperlink w:anchor="_Toc454974426" w:history="1">
            <w:r w:rsidR="0020647A" w:rsidRPr="00641228">
              <w:rPr>
                <w:rStyle w:val="Hyperlink"/>
              </w:rPr>
              <w:t>2.1.</w:t>
            </w:r>
            <w:r w:rsidR="0020647A">
              <w:rPr>
                <w:rFonts w:asciiTheme="minorHAnsi" w:eastAsiaTheme="minorEastAsia" w:hAnsiTheme="minorHAnsi" w:cstheme="minorBidi"/>
                <w:sz w:val="22"/>
                <w:lang w:val="en-US" w:eastAsia="en-US" w:bidi="ar-SA"/>
              </w:rPr>
              <w:tab/>
            </w:r>
            <w:r w:rsidR="0020647A" w:rsidRPr="00641228">
              <w:rPr>
                <w:rStyle w:val="Hyperlink"/>
              </w:rPr>
              <w:t>Informations sur la mise en œuvre du programme en référence aux indicateurs communs</w:t>
            </w:r>
            <w:r w:rsidR="0020647A">
              <w:rPr>
                <w:webHidden/>
              </w:rPr>
              <w:tab/>
            </w:r>
            <w:r w:rsidR="0020647A">
              <w:rPr>
                <w:webHidden/>
              </w:rPr>
              <w:fldChar w:fldCharType="begin"/>
            </w:r>
            <w:r w:rsidR="0020647A">
              <w:rPr>
                <w:webHidden/>
              </w:rPr>
              <w:instrText xml:space="preserve"> PAGEREF _Toc454974426 \h </w:instrText>
            </w:r>
            <w:r w:rsidR="0020647A">
              <w:rPr>
                <w:webHidden/>
              </w:rPr>
            </w:r>
            <w:r w:rsidR="0020647A">
              <w:rPr>
                <w:webHidden/>
              </w:rPr>
              <w:fldChar w:fldCharType="separate"/>
            </w:r>
            <w:r>
              <w:rPr>
                <w:webHidden/>
              </w:rPr>
              <w:t>3</w:t>
            </w:r>
            <w:r w:rsidR="0020647A">
              <w:rPr>
                <w:webHidden/>
              </w:rPr>
              <w:fldChar w:fldCharType="end"/>
            </w:r>
          </w:hyperlink>
        </w:p>
        <w:p w14:paraId="265273AE" w14:textId="77777777" w:rsidR="0020647A" w:rsidRDefault="00EF11A6">
          <w:pPr>
            <w:pStyle w:val="Inhopg3"/>
            <w:rPr>
              <w:rFonts w:asciiTheme="minorHAnsi" w:eastAsiaTheme="minorEastAsia" w:hAnsiTheme="minorHAnsi" w:cstheme="minorBidi"/>
              <w:sz w:val="22"/>
              <w:lang w:val="en-US" w:eastAsia="en-US" w:bidi="ar-SA"/>
            </w:rPr>
          </w:pPr>
          <w:hyperlink w:anchor="_Toc454974427" w:history="1">
            <w:r w:rsidR="0020647A" w:rsidRPr="00641228">
              <w:rPr>
                <w:rStyle w:val="Hyperlink"/>
              </w:rPr>
              <w:t>2.1.1.</w:t>
            </w:r>
            <w:r w:rsidR="0020647A">
              <w:rPr>
                <w:rFonts w:asciiTheme="minorHAnsi" w:eastAsiaTheme="minorEastAsia" w:hAnsiTheme="minorHAnsi" w:cstheme="minorBidi"/>
                <w:sz w:val="22"/>
                <w:lang w:val="en-US" w:eastAsia="en-US" w:bidi="ar-SA"/>
              </w:rPr>
              <w:tab/>
            </w:r>
            <w:r w:rsidR="0020647A" w:rsidRPr="00641228">
              <w:rPr>
                <w:rStyle w:val="Hyperlink"/>
              </w:rPr>
              <w:t>Introduction</w:t>
            </w:r>
            <w:r w:rsidR="0020647A">
              <w:rPr>
                <w:webHidden/>
              </w:rPr>
              <w:tab/>
            </w:r>
            <w:r w:rsidR="0020647A">
              <w:rPr>
                <w:webHidden/>
              </w:rPr>
              <w:fldChar w:fldCharType="begin"/>
            </w:r>
            <w:r w:rsidR="0020647A">
              <w:rPr>
                <w:webHidden/>
              </w:rPr>
              <w:instrText xml:space="preserve"> PAGEREF _Toc454974427 \h </w:instrText>
            </w:r>
            <w:r w:rsidR="0020647A">
              <w:rPr>
                <w:webHidden/>
              </w:rPr>
            </w:r>
            <w:r w:rsidR="0020647A">
              <w:rPr>
                <w:webHidden/>
              </w:rPr>
              <w:fldChar w:fldCharType="separate"/>
            </w:r>
            <w:r>
              <w:rPr>
                <w:webHidden/>
              </w:rPr>
              <w:t>3</w:t>
            </w:r>
            <w:r w:rsidR="0020647A">
              <w:rPr>
                <w:webHidden/>
              </w:rPr>
              <w:fldChar w:fldCharType="end"/>
            </w:r>
          </w:hyperlink>
        </w:p>
        <w:p w14:paraId="442C92C8" w14:textId="77777777" w:rsidR="0020647A" w:rsidRDefault="00EF11A6">
          <w:pPr>
            <w:pStyle w:val="Inhopg3"/>
            <w:rPr>
              <w:rFonts w:asciiTheme="minorHAnsi" w:eastAsiaTheme="minorEastAsia" w:hAnsiTheme="minorHAnsi" w:cstheme="minorBidi"/>
              <w:sz w:val="22"/>
              <w:lang w:val="en-US" w:eastAsia="en-US" w:bidi="ar-SA"/>
            </w:rPr>
          </w:pPr>
          <w:hyperlink w:anchor="_Toc454974428" w:history="1">
            <w:r w:rsidR="0020647A" w:rsidRPr="00641228">
              <w:rPr>
                <w:rStyle w:val="Hyperlink"/>
              </w:rPr>
              <w:t>2.1.2.</w:t>
            </w:r>
            <w:r w:rsidR="0020647A">
              <w:rPr>
                <w:rFonts w:asciiTheme="minorHAnsi" w:eastAsiaTheme="minorEastAsia" w:hAnsiTheme="minorHAnsi" w:cstheme="minorBidi"/>
                <w:sz w:val="22"/>
                <w:lang w:val="en-US" w:eastAsia="en-US" w:bidi="ar-SA"/>
              </w:rPr>
              <w:tab/>
            </w:r>
            <w:r w:rsidR="0020647A" w:rsidRPr="00641228">
              <w:rPr>
                <w:rStyle w:val="Hyperlink"/>
              </w:rPr>
              <w:t>Privation matérielle concernée: privation alimentaire</w:t>
            </w:r>
            <w:r w:rsidR="0020647A">
              <w:rPr>
                <w:webHidden/>
              </w:rPr>
              <w:tab/>
            </w:r>
            <w:r w:rsidR="0020647A">
              <w:rPr>
                <w:webHidden/>
              </w:rPr>
              <w:fldChar w:fldCharType="begin"/>
            </w:r>
            <w:r w:rsidR="0020647A">
              <w:rPr>
                <w:webHidden/>
              </w:rPr>
              <w:instrText xml:space="preserve"> PAGEREF _Toc454974428 \h </w:instrText>
            </w:r>
            <w:r w:rsidR="0020647A">
              <w:rPr>
                <w:webHidden/>
              </w:rPr>
            </w:r>
            <w:r w:rsidR="0020647A">
              <w:rPr>
                <w:webHidden/>
              </w:rPr>
              <w:fldChar w:fldCharType="separate"/>
            </w:r>
            <w:r>
              <w:rPr>
                <w:webHidden/>
              </w:rPr>
              <w:t>4</w:t>
            </w:r>
            <w:r w:rsidR="0020647A">
              <w:rPr>
                <w:webHidden/>
              </w:rPr>
              <w:fldChar w:fldCharType="end"/>
            </w:r>
          </w:hyperlink>
        </w:p>
        <w:p w14:paraId="7D07E1D0" w14:textId="77777777" w:rsidR="0020647A" w:rsidRDefault="00EF11A6">
          <w:pPr>
            <w:pStyle w:val="Inhopg3"/>
            <w:rPr>
              <w:rFonts w:asciiTheme="minorHAnsi" w:eastAsiaTheme="minorEastAsia" w:hAnsiTheme="minorHAnsi" w:cstheme="minorBidi"/>
              <w:sz w:val="22"/>
              <w:lang w:val="en-US" w:eastAsia="en-US" w:bidi="ar-SA"/>
            </w:rPr>
          </w:pPr>
          <w:hyperlink w:anchor="_Toc454974429" w:history="1">
            <w:r w:rsidR="0020647A" w:rsidRPr="00641228">
              <w:rPr>
                <w:rStyle w:val="Hyperlink"/>
              </w:rPr>
              <w:t>2.1.3.</w:t>
            </w:r>
            <w:r w:rsidR="0020647A">
              <w:rPr>
                <w:rFonts w:asciiTheme="minorHAnsi" w:eastAsiaTheme="minorEastAsia" w:hAnsiTheme="minorHAnsi" w:cstheme="minorBidi"/>
                <w:sz w:val="22"/>
                <w:lang w:val="en-US" w:eastAsia="en-US" w:bidi="ar-SA"/>
              </w:rPr>
              <w:tab/>
            </w:r>
            <w:r w:rsidR="0020647A" w:rsidRPr="00641228">
              <w:rPr>
                <w:rStyle w:val="Hyperlink"/>
              </w:rPr>
              <w:t>Identification des personnes les plus démunies</w:t>
            </w:r>
            <w:r w:rsidR="0020647A">
              <w:rPr>
                <w:webHidden/>
              </w:rPr>
              <w:tab/>
            </w:r>
            <w:r w:rsidR="0020647A">
              <w:rPr>
                <w:webHidden/>
              </w:rPr>
              <w:fldChar w:fldCharType="begin"/>
            </w:r>
            <w:r w:rsidR="0020647A">
              <w:rPr>
                <w:webHidden/>
              </w:rPr>
              <w:instrText xml:space="preserve"> PAGEREF _Toc454974429 \h </w:instrText>
            </w:r>
            <w:r w:rsidR="0020647A">
              <w:rPr>
                <w:webHidden/>
              </w:rPr>
            </w:r>
            <w:r w:rsidR="0020647A">
              <w:rPr>
                <w:webHidden/>
              </w:rPr>
              <w:fldChar w:fldCharType="separate"/>
            </w:r>
            <w:r>
              <w:rPr>
                <w:webHidden/>
              </w:rPr>
              <w:t>6</w:t>
            </w:r>
            <w:r w:rsidR="0020647A">
              <w:rPr>
                <w:webHidden/>
              </w:rPr>
              <w:fldChar w:fldCharType="end"/>
            </w:r>
          </w:hyperlink>
        </w:p>
        <w:p w14:paraId="326EDCA1" w14:textId="77777777" w:rsidR="0020647A" w:rsidRDefault="00EF11A6">
          <w:pPr>
            <w:pStyle w:val="Inhopg3"/>
            <w:rPr>
              <w:rFonts w:asciiTheme="minorHAnsi" w:eastAsiaTheme="minorEastAsia" w:hAnsiTheme="minorHAnsi" w:cstheme="minorBidi"/>
              <w:sz w:val="22"/>
              <w:lang w:val="en-US" w:eastAsia="en-US" w:bidi="ar-SA"/>
            </w:rPr>
          </w:pPr>
          <w:hyperlink w:anchor="_Toc454974430" w:history="1">
            <w:r w:rsidR="0020647A" w:rsidRPr="00641228">
              <w:rPr>
                <w:rStyle w:val="Hyperlink"/>
              </w:rPr>
              <w:t>2.1.4.</w:t>
            </w:r>
            <w:r w:rsidR="0020647A">
              <w:rPr>
                <w:rFonts w:asciiTheme="minorHAnsi" w:eastAsiaTheme="minorEastAsia" w:hAnsiTheme="minorHAnsi" w:cstheme="minorBidi"/>
                <w:sz w:val="22"/>
                <w:lang w:val="en-US" w:eastAsia="en-US" w:bidi="ar-SA"/>
              </w:rPr>
              <w:tab/>
            </w:r>
            <w:r w:rsidR="0020647A" w:rsidRPr="00641228">
              <w:rPr>
                <w:rStyle w:val="Hyperlink"/>
              </w:rPr>
              <w:t>Sélection des opérations</w:t>
            </w:r>
            <w:r w:rsidR="0020647A">
              <w:rPr>
                <w:webHidden/>
              </w:rPr>
              <w:tab/>
            </w:r>
            <w:r w:rsidR="0020647A">
              <w:rPr>
                <w:webHidden/>
              </w:rPr>
              <w:fldChar w:fldCharType="begin"/>
            </w:r>
            <w:r w:rsidR="0020647A">
              <w:rPr>
                <w:webHidden/>
              </w:rPr>
              <w:instrText xml:space="preserve"> PAGEREF _Toc454974430 \h </w:instrText>
            </w:r>
            <w:r w:rsidR="0020647A">
              <w:rPr>
                <w:webHidden/>
              </w:rPr>
            </w:r>
            <w:r w:rsidR="0020647A">
              <w:rPr>
                <w:webHidden/>
              </w:rPr>
              <w:fldChar w:fldCharType="separate"/>
            </w:r>
            <w:r>
              <w:rPr>
                <w:webHidden/>
              </w:rPr>
              <w:t>10</w:t>
            </w:r>
            <w:r w:rsidR="0020647A">
              <w:rPr>
                <w:webHidden/>
              </w:rPr>
              <w:fldChar w:fldCharType="end"/>
            </w:r>
          </w:hyperlink>
        </w:p>
        <w:p w14:paraId="6212CDE6" w14:textId="77777777" w:rsidR="0020647A" w:rsidRDefault="00EF11A6">
          <w:pPr>
            <w:pStyle w:val="Inhopg3"/>
            <w:rPr>
              <w:rFonts w:asciiTheme="minorHAnsi" w:eastAsiaTheme="minorEastAsia" w:hAnsiTheme="minorHAnsi" w:cstheme="minorBidi"/>
              <w:sz w:val="22"/>
              <w:lang w:val="en-US" w:eastAsia="en-US" w:bidi="ar-SA"/>
            </w:rPr>
          </w:pPr>
          <w:hyperlink w:anchor="_Toc454974431" w:history="1">
            <w:r w:rsidR="0020647A" w:rsidRPr="00641228">
              <w:rPr>
                <w:rStyle w:val="Hyperlink"/>
              </w:rPr>
              <w:t>2.1.5.</w:t>
            </w:r>
            <w:r w:rsidR="0020647A">
              <w:rPr>
                <w:rFonts w:asciiTheme="minorHAnsi" w:eastAsiaTheme="minorEastAsia" w:hAnsiTheme="minorHAnsi" w:cstheme="minorBidi"/>
                <w:sz w:val="22"/>
                <w:lang w:val="en-US" w:eastAsia="en-US" w:bidi="ar-SA"/>
              </w:rPr>
              <w:tab/>
            </w:r>
            <w:r w:rsidR="0020647A" w:rsidRPr="00641228">
              <w:rPr>
                <w:rStyle w:val="Hyperlink"/>
              </w:rPr>
              <w:t>Sélection des organisations partenaires</w:t>
            </w:r>
            <w:r w:rsidR="0020647A">
              <w:rPr>
                <w:webHidden/>
              </w:rPr>
              <w:tab/>
            </w:r>
            <w:r w:rsidR="0020647A">
              <w:rPr>
                <w:webHidden/>
              </w:rPr>
              <w:fldChar w:fldCharType="begin"/>
            </w:r>
            <w:r w:rsidR="0020647A">
              <w:rPr>
                <w:webHidden/>
              </w:rPr>
              <w:instrText xml:space="preserve"> PAGEREF _Toc454974431 \h </w:instrText>
            </w:r>
            <w:r w:rsidR="0020647A">
              <w:rPr>
                <w:webHidden/>
              </w:rPr>
            </w:r>
            <w:r w:rsidR="0020647A">
              <w:rPr>
                <w:webHidden/>
              </w:rPr>
              <w:fldChar w:fldCharType="separate"/>
            </w:r>
            <w:r>
              <w:rPr>
                <w:webHidden/>
              </w:rPr>
              <w:t>17</w:t>
            </w:r>
            <w:r w:rsidR="0020647A">
              <w:rPr>
                <w:webHidden/>
              </w:rPr>
              <w:fldChar w:fldCharType="end"/>
            </w:r>
          </w:hyperlink>
        </w:p>
        <w:p w14:paraId="0671E05A" w14:textId="77777777" w:rsidR="0020647A" w:rsidRDefault="00EF11A6">
          <w:pPr>
            <w:pStyle w:val="Inhopg3"/>
            <w:rPr>
              <w:rFonts w:asciiTheme="minorHAnsi" w:eastAsiaTheme="minorEastAsia" w:hAnsiTheme="minorHAnsi" w:cstheme="minorBidi"/>
              <w:sz w:val="22"/>
              <w:lang w:val="en-US" w:eastAsia="en-US" w:bidi="ar-SA"/>
            </w:rPr>
          </w:pPr>
          <w:hyperlink w:anchor="_Toc454974432" w:history="1">
            <w:r w:rsidR="0020647A" w:rsidRPr="00641228">
              <w:rPr>
                <w:rStyle w:val="Hyperlink"/>
              </w:rPr>
              <w:t>2.1.6.</w:t>
            </w:r>
            <w:r w:rsidR="0020647A">
              <w:rPr>
                <w:rFonts w:asciiTheme="minorHAnsi" w:eastAsiaTheme="minorEastAsia" w:hAnsiTheme="minorHAnsi" w:cstheme="minorBidi"/>
                <w:sz w:val="22"/>
                <w:lang w:val="en-US" w:eastAsia="en-US" w:bidi="ar-SA"/>
              </w:rPr>
              <w:tab/>
            </w:r>
            <w:r w:rsidR="0020647A" w:rsidRPr="00641228">
              <w:rPr>
                <w:rStyle w:val="Hyperlink"/>
              </w:rPr>
              <w:t>Le système de gestion et contrôle – l’audit de désignation</w:t>
            </w:r>
            <w:r w:rsidR="0020647A">
              <w:rPr>
                <w:webHidden/>
              </w:rPr>
              <w:tab/>
            </w:r>
            <w:r w:rsidR="0020647A">
              <w:rPr>
                <w:webHidden/>
              </w:rPr>
              <w:fldChar w:fldCharType="begin"/>
            </w:r>
            <w:r w:rsidR="0020647A">
              <w:rPr>
                <w:webHidden/>
              </w:rPr>
              <w:instrText xml:space="preserve"> PAGEREF _Toc454974432 \h </w:instrText>
            </w:r>
            <w:r w:rsidR="0020647A">
              <w:rPr>
                <w:webHidden/>
              </w:rPr>
            </w:r>
            <w:r w:rsidR="0020647A">
              <w:rPr>
                <w:webHidden/>
              </w:rPr>
              <w:fldChar w:fldCharType="separate"/>
            </w:r>
            <w:r>
              <w:rPr>
                <w:webHidden/>
              </w:rPr>
              <w:t>17</w:t>
            </w:r>
            <w:r w:rsidR="0020647A">
              <w:rPr>
                <w:webHidden/>
              </w:rPr>
              <w:fldChar w:fldCharType="end"/>
            </w:r>
          </w:hyperlink>
        </w:p>
        <w:p w14:paraId="59B89078" w14:textId="77777777" w:rsidR="0020647A" w:rsidRDefault="00EF11A6">
          <w:pPr>
            <w:pStyle w:val="Inhopg3"/>
            <w:rPr>
              <w:rFonts w:asciiTheme="minorHAnsi" w:eastAsiaTheme="minorEastAsia" w:hAnsiTheme="minorHAnsi" w:cstheme="minorBidi"/>
              <w:sz w:val="22"/>
              <w:lang w:val="en-US" w:eastAsia="en-US" w:bidi="ar-SA"/>
            </w:rPr>
          </w:pPr>
          <w:hyperlink w:anchor="_Toc454974433" w:history="1">
            <w:r w:rsidR="0020647A" w:rsidRPr="00641228">
              <w:rPr>
                <w:rStyle w:val="Hyperlink"/>
              </w:rPr>
              <w:t>2.1.7.</w:t>
            </w:r>
            <w:r w:rsidR="0020647A">
              <w:rPr>
                <w:rFonts w:asciiTheme="minorHAnsi" w:eastAsiaTheme="minorEastAsia" w:hAnsiTheme="minorHAnsi" w:cstheme="minorBidi"/>
                <w:sz w:val="22"/>
                <w:lang w:val="en-US" w:eastAsia="en-US" w:bidi="ar-SA"/>
              </w:rPr>
              <w:tab/>
            </w:r>
            <w:r w:rsidR="0020647A" w:rsidRPr="00641228">
              <w:rPr>
                <w:rStyle w:val="Hyperlink"/>
              </w:rPr>
              <w:t>Information et communication</w:t>
            </w:r>
            <w:r w:rsidR="0020647A">
              <w:rPr>
                <w:webHidden/>
              </w:rPr>
              <w:tab/>
            </w:r>
            <w:r w:rsidR="0020647A">
              <w:rPr>
                <w:webHidden/>
              </w:rPr>
              <w:fldChar w:fldCharType="begin"/>
            </w:r>
            <w:r w:rsidR="0020647A">
              <w:rPr>
                <w:webHidden/>
              </w:rPr>
              <w:instrText xml:space="preserve"> PAGEREF _Toc454974433 \h </w:instrText>
            </w:r>
            <w:r w:rsidR="0020647A">
              <w:rPr>
                <w:webHidden/>
              </w:rPr>
            </w:r>
            <w:r w:rsidR="0020647A">
              <w:rPr>
                <w:webHidden/>
              </w:rPr>
              <w:fldChar w:fldCharType="separate"/>
            </w:r>
            <w:r>
              <w:rPr>
                <w:webHidden/>
              </w:rPr>
              <w:t>21</w:t>
            </w:r>
            <w:r w:rsidR="0020647A">
              <w:rPr>
                <w:webHidden/>
              </w:rPr>
              <w:fldChar w:fldCharType="end"/>
            </w:r>
          </w:hyperlink>
        </w:p>
        <w:p w14:paraId="188B3924" w14:textId="77777777" w:rsidR="0020647A" w:rsidRDefault="00EF11A6">
          <w:pPr>
            <w:pStyle w:val="Inhopg3"/>
            <w:rPr>
              <w:rFonts w:asciiTheme="minorHAnsi" w:eastAsiaTheme="minorEastAsia" w:hAnsiTheme="minorHAnsi" w:cstheme="minorBidi"/>
              <w:sz w:val="22"/>
              <w:lang w:val="en-US" w:eastAsia="en-US" w:bidi="ar-SA"/>
            </w:rPr>
          </w:pPr>
          <w:hyperlink w:anchor="_Toc454974434" w:history="1">
            <w:r w:rsidR="0020647A" w:rsidRPr="00641228">
              <w:rPr>
                <w:rStyle w:val="Hyperlink"/>
              </w:rPr>
              <w:t>2.1.8.</w:t>
            </w:r>
            <w:r w:rsidR="0020647A">
              <w:rPr>
                <w:rFonts w:asciiTheme="minorHAnsi" w:eastAsiaTheme="minorEastAsia" w:hAnsiTheme="minorHAnsi" w:cstheme="minorBidi"/>
                <w:sz w:val="22"/>
                <w:lang w:val="en-US" w:eastAsia="en-US" w:bidi="ar-SA"/>
              </w:rPr>
              <w:tab/>
            </w:r>
            <w:r w:rsidR="0020647A" w:rsidRPr="00641228">
              <w:rPr>
                <w:rStyle w:val="Hyperlink"/>
              </w:rPr>
              <w:t>Optimisation du système actuel et préparations pour l'année 2016</w:t>
            </w:r>
            <w:r w:rsidR="0020647A">
              <w:rPr>
                <w:webHidden/>
              </w:rPr>
              <w:tab/>
            </w:r>
            <w:r w:rsidR="0020647A">
              <w:rPr>
                <w:webHidden/>
              </w:rPr>
              <w:fldChar w:fldCharType="begin"/>
            </w:r>
            <w:r w:rsidR="0020647A">
              <w:rPr>
                <w:webHidden/>
              </w:rPr>
              <w:instrText xml:space="preserve"> PAGEREF _Toc454974434 \h </w:instrText>
            </w:r>
            <w:r w:rsidR="0020647A">
              <w:rPr>
                <w:webHidden/>
              </w:rPr>
            </w:r>
            <w:r w:rsidR="0020647A">
              <w:rPr>
                <w:webHidden/>
              </w:rPr>
              <w:fldChar w:fldCharType="separate"/>
            </w:r>
            <w:r>
              <w:rPr>
                <w:webHidden/>
              </w:rPr>
              <w:t>24</w:t>
            </w:r>
            <w:r w:rsidR="0020647A">
              <w:rPr>
                <w:webHidden/>
              </w:rPr>
              <w:fldChar w:fldCharType="end"/>
            </w:r>
          </w:hyperlink>
        </w:p>
        <w:p w14:paraId="301BE2FC" w14:textId="77777777" w:rsidR="0020647A" w:rsidRDefault="00EF11A6">
          <w:pPr>
            <w:pStyle w:val="Inhopg3"/>
            <w:rPr>
              <w:rFonts w:asciiTheme="minorHAnsi" w:eastAsiaTheme="minorEastAsia" w:hAnsiTheme="minorHAnsi" w:cstheme="minorBidi"/>
              <w:sz w:val="22"/>
              <w:lang w:val="en-US" w:eastAsia="en-US" w:bidi="ar-SA"/>
            </w:rPr>
          </w:pPr>
          <w:hyperlink w:anchor="_Toc454974435" w:history="1">
            <w:r w:rsidR="0020647A" w:rsidRPr="00641228">
              <w:rPr>
                <w:rStyle w:val="Hyperlink"/>
              </w:rPr>
              <w:t>2.2.</w:t>
            </w:r>
            <w:r w:rsidR="0020647A">
              <w:rPr>
                <w:rFonts w:asciiTheme="minorHAnsi" w:eastAsiaTheme="minorEastAsia" w:hAnsiTheme="minorHAnsi" w:cstheme="minorBidi"/>
                <w:sz w:val="22"/>
                <w:lang w:val="en-US" w:eastAsia="en-US" w:bidi="ar-SA"/>
              </w:rPr>
              <w:tab/>
            </w:r>
            <w:r w:rsidR="0020647A" w:rsidRPr="00641228">
              <w:rPr>
                <w:rStyle w:val="Hyperlink"/>
              </w:rPr>
              <w:t>Information sur l'évaluation des actions en tenant compte des articles 5(6), 5 (11), et le cas échéant, 5(13) du règlement (UE) n 223/2014.</w:t>
            </w:r>
            <w:r w:rsidR="0020647A">
              <w:rPr>
                <w:webHidden/>
              </w:rPr>
              <w:tab/>
            </w:r>
            <w:r w:rsidR="0020647A">
              <w:rPr>
                <w:webHidden/>
              </w:rPr>
              <w:fldChar w:fldCharType="begin"/>
            </w:r>
            <w:r w:rsidR="0020647A">
              <w:rPr>
                <w:webHidden/>
              </w:rPr>
              <w:instrText xml:space="preserve"> PAGEREF _Toc454974435 \h </w:instrText>
            </w:r>
            <w:r w:rsidR="0020647A">
              <w:rPr>
                <w:webHidden/>
              </w:rPr>
            </w:r>
            <w:r w:rsidR="0020647A">
              <w:rPr>
                <w:webHidden/>
              </w:rPr>
              <w:fldChar w:fldCharType="separate"/>
            </w:r>
            <w:r>
              <w:rPr>
                <w:webHidden/>
              </w:rPr>
              <w:t>26</w:t>
            </w:r>
            <w:r w:rsidR="0020647A">
              <w:rPr>
                <w:webHidden/>
              </w:rPr>
              <w:fldChar w:fldCharType="end"/>
            </w:r>
          </w:hyperlink>
        </w:p>
        <w:p w14:paraId="38DFAD45" w14:textId="77777777" w:rsidR="0020647A" w:rsidRDefault="00EF11A6">
          <w:pPr>
            <w:pStyle w:val="Inhopg3"/>
            <w:rPr>
              <w:rFonts w:asciiTheme="minorHAnsi" w:eastAsiaTheme="minorEastAsia" w:hAnsiTheme="minorHAnsi" w:cstheme="minorBidi"/>
              <w:sz w:val="22"/>
              <w:lang w:val="en-US" w:eastAsia="en-US" w:bidi="ar-SA"/>
            </w:rPr>
          </w:pPr>
          <w:hyperlink w:anchor="_Toc454974436" w:history="1">
            <w:r w:rsidR="0020647A" w:rsidRPr="00641228">
              <w:rPr>
                <w:rStyle w:val="Hyperlink"/>
              </w:rPr>
              <w:t>2.3.</w:t>
            </w:r>
            <w:r w:rsidR="0020647A">
              <w:rPr>
                <w:rFonts w:asciiTheme="minorHAnsi" w:eastAsiaTheme="minorEastAsia" w:hAnsiTheme="minorHAnsi" w:cstheme="minorBidi"/>
                <w:sz w:val="22"/>
                <w:lang w:val="en-US" w:eastAsia="en-US" w:bidi="ar-SA"/>
              </w:rPr>
              <w:tab/>
            </w:r>
            <w:r w:rsidR="0020647A" w:rsidRPr="00641228">
              <w:rPr>
                <w:rStyle w:val="Hyperlink"/>
              </w:rPr>
              <w:t>Indicateurs communs</w:t>
            </w:r>
            <w:r w:rsidR="0020647A">
              <w:rPr>
                <w:webHidden/>
              </w:rPr>
              <w:tab/>
            </w:r>
            <w:r w:rsidR="0020647A">
              <w:rPr>
                <w:webHidden/>
              </w:rPr>
              <w:fldChar w:fldCharType="begin"/>
            </w:r>
            <w:r w:rsidR="0020647A">
              <w:rPr>
                <w:webHidden/>
              </w:rPr>
              <w:instrText xml:space="preserve"> PAGEREF _Toc454974436 \h </w:instrText>
            </w:r>
            <w:r w:rsidR="0020647A">
              <w:rPr>
                <w:webHidden/>
              </w:rPr>
            </w:r>
            <w:r w:rsidR="0020647A">
              <w:rPr>
                <w:webHidden/>
              </w:rPr>
              <w:fldChar w:fldCharType="separate"/>
            </w:r>
            <w:r>
              <w:rPr>
                <w:webHidden/>
              </w:rPr>
              <w:t>31</w:t>
            </w:r>
            <w:r w:rsidR="0020647A">
              <w:rPr>
                <w:webHidden/>
              </w:rPr>
              <w:fldChar w:fldCharType="end"/>
            </w:r>
          </w:hyperlink>
        </w:p>
        <w:p w14:paraId="78071418" w14:textId="77777777" w:rsidR="0020647A" w:rsidRDefault="00EF11A6">
          <w:pPr>
            <w:pStyle w:val="Inhopg1"/>
            <w:tabs>
              <w:tab w:val="left" w:pos="480"/>
              <w:tab w:val="right" w:leader="dot" w:pos="9062"/>
            </w:tabs>
            <w:rPr>
              <w:rFonts w:asciiTheme="minorHAnsi" w:eastAsiaTheme="minorEastAsia" w:hAnsiTheme="minorHAnsi" w:cstheme="minorBidi"/>
              <w:noProof/>
              <w:sz w:val="22"/>
              <w:lang w:val="en-US" w:eastAsia="en-US" w:bidi="ar-SA"/>
            </w:rPr>
          </w:pPr>
          <w:hyperlink w:anchor="_Toc454974437" w:history="1">
            <w:r w:rsidR="0020647A" w:rsidRPr="00641228">
              <w:rPr>
                <w:rStyle w:val="Hyperlink"/>
                <w:noProof/>
              </w:rPr>
              <w:t>II.</w:t>
            </w:r>
            <w:r w:rsidR="0020647A">
              <w:rPr>
                <w:rFonts w:asciiTheme="minorHAnsi" w:eastAsiaTheme="minorEastAsia" w:hAnsiTheme="minorHAnsi" w:cstheme="minorBidi"/>
                <w:noProof/>
                <w:sz w:val="22"/>
                <w:lang w:val="en-US" w:eastAsia="en-US" w:bidi="ar-SA"/>
              </w:rPr>
              <w:tab/>
            </w:r>
            <w:r w:rsidR="0020647A" w:rsidRPr="00641228">
              <w:rPr>
                <w:rStyle w:val="Hyperlink"/>
                <w:noProof/>
              </w:rPr>
              <w:t>Rapports présentés en 2017, 2022 et rapport final d'exécution</w:t>
            </w:r>
            <w:r w:rsidR="0020647A">
              <w:rPr>
                <w:noProof/>
                <w:webHidden/>
              </w:rPr>
              <w:tab/>
            </w:r>
            <w:r w:rsidR="0020647A">
              <w:rPr>
                <w:noProof/>
                <w:webHidden/>
              </w:rPr>
              <w:fldChar w:fldCharType="begin"/>
            </w:r>
            <w:r w:rsidR="0020647A">
              <w:rPr>
                <w:noProof/>
                <w:webHidden/>
              </w:rPr>
              <w:instrText xml:space="preserve"> PAGEREF _Toc454974437 \h </w:instrText>
            </w:r>
            <w:r w:rsidR="0020647A">
              <w:rPr>
                <w:noProof/>
                <w:webHidden/>
              </w:rPr>
            </w:r>
            <w:r w:rsidR="0020647A">
              <w:rPr>
                <w:noProof/>
                <w:webHidden/>
              </w:rPr>
              <w:fldChar w:fldCharType="separate"/>
            </w:r>
            <w:r>
              <w:rPr>
                <w:noProof/>
                <w:webHidden/>
              </w:rPr>
              <w:t>33</w:t>
            </w:r>
            <w:r w:rsidR="0020647A">
              <w:rPr>
                <w:noProof/>
                <w:webHidden/>
              </w:rPr>
              <w:fldChar w:fldCharType="end"/>
            </w:r>
          </w:hyperlink>
        </w:p>
        <w:p w14:paraId="429AC95D" w14:textId="77777777" w:rsidR="0020647A" w:rsidRDefault="00EF11A6">
          <w:pPr>
            <w:pStyle w:val="Inhopg2"/>
            <w:tabs>
              <w:tab w:val="left" w:pos="660"/>
              <w:tab w:val="right" w:leader="dot" w:pos="9062"/>
            </w:tabs>
            <w:rPr>
              <w:rFonts w:asciiTheme="minorHAnsi" w:eastAsiaTheme="minorEastAsia" w:hAnsiTheme="minorHAnsi" w:cstheme="minorBidi"/>
              <w:noProof/>
              <w:sz w:val="22"/>
              <w:lang w:val="en-US" w:eastAsia="en-US" w:bidi="ar-SA"/>
            </w:rPr>
          </w:pPr>
          <w:hyperlink w:anchor="_Toc454974438" w:history="1">
            <w:r w:rsidR="0020647A" w:rsidRPr="00641228">
              <w:rPr>
                <w:rStyle w:val="Hyperlink"/>
                <w:noProof/>
              </w:rPr>
              <w:t>3.</w:t>
            </w:r>
            <w:r w:rsidR="0020647A">
              <w:rPr>
                <w:rFonts w:asciiTheme="minorHAnsi" w:eastAsiaTheme="minorEastAsia" w:hAnsiTheme="minorHAnsi" w:cstheme="minorBidi"/>
                <w:noProof/>
                <w:sz w:val="22"/>
                <w:lang w:val="en-US" w:eastAsia="en-US" w:bidi="ar-SA"/>
              </w:rPr>
              <w:tab/>
            </w:r>
            <w:r w:rsidR="0020647A" w:rsidRPr="00641228">
              <w:rPr>
                <w:rStyle w:val="Hyperlink"/>
                <w:noProof/>
              </w:rPr>
              <w:t>Contribution à la réalisation des objectifs spécifiques et globaux du FEAD</w:t>
            </w:r>
            <w:r w:rsidR="0020647A">
              <w:rPr>
                <w:noProof/>
                <w:webHidden/>
              </w:rPr>
              <w:tab/>
            </w:r>
            <w:r w:rsidR="0020647A">
              <w:rPr>
                <w:noProof/>
                <w:webHidden/>
              </w:rPr>
              <w:fldChar w:fldCharType="begin"/>
            </w:r>
            <w:r w:rsidR="0020647A">
              <w:rPr>
                <w:noProof/>
                <w:webHidden/>
              </w:rPr>
              <w:instrText xml:space="preserve"> PAGEREF _Toc454974438 \h </w:instrText>
            </w:r>
            <w:r w:rsidR="0020647A">
              <w:rPr>
                <w:noProof/>
                <w:webHidden/>
              </w:rPr>
            </w:r>
            <w:r w:rsidR="0020647A">
              <w:rPr>
                <w:noProof/>
                <w:webHidden/>
              </w:rPr>
              <w:fldChar w:fldCharType="separate"/>
            </w:r>
            <w:r>
              <w:rPr>
                <w:noProof/>
                <w:webHidden/>
              </w:rPr>
              <w:t>33</w:t>
            </w:r>
            <w:r w:rsidR="0020647A">
              <w:rPr>
                <w:noProof/>
                <w:webHidden/>
              </w:rPr>
              <w:fldChar w:fldCharType="end"/>
            </w:r>
          </w:hyperlink>
        </w:p>
        <w:p w14:paraId="472BDD4F" w14:textId="77777777" w:rsidR="0020647A" w:rsidRDefault="00EF11A6">
          <w:pPr>
            <w:pStyle w:val="Inhopg3"/>
            <w:rPr>
              <w:rFonts w:asciiTheme="minorHAnsi" w:eastAsiaTheme="minorEastAsia" w:hAnsiTheme="minorHAnsi" w:cstheme="minorBidi"/>
              <w:sz w:val="22"/>
              <w:lang w:val="en-US" w:eastAsia="en-US" w:bidi="ar-SA"/>
            </w:rPr>
          </w:pPr>
          <w:hyperlink w:anchor="_Toc454974439" w:history="1">
            <w:r w:rsidR="0020647A" w:rsidRPr="00641228">
              <w:rPr>
                <w:rStyle w:val="Hyperlink"/>
              </w:rPr>
              <w:t>3.1.</w:t>
            </w:r>
            <w:r w:rsidR="0020647A">
              <w:rPr>
                <w:rFonts w:asciiTheme="minorHAnsi" w:eastAsiaTheme="minorEastAsia" w:hAnsiTheme="minorHAnsi" w:cstheme="minorBidi"/>
                <w:sz w:val="22"/>
                <w:lang w:val="en-US" w:eastAsia="en-US" w:bidi="ar-SA"/>
              </w:rPr>
              <w:tab/>
            </w:r>
            <w:r w:rsidR="0020647A" w:rsidRPr="00641228">
              <w:rPr>
                <w:rStyle w:val="Hyperlink"/>
              </w:rPr>
              <w:t>Information et évaluation de la contribution à la réalisation des objectifs spécifiques et globaux du FEAD, tels que spécifiés dans l'article 3 du règlement (UE) nº 223/2014</w:t>
            </w:r>
            <w:r w:rsidR="0020647A">
              <w:rPr>
                <w:webHidden/>
              </w:rPr>
              <w:tab/>
            </w:r>
            <w:r w:rsidR="0020647A">
              <w:rPr>
                <w:webHidden/>
              </w:rPr>
              <w:fldChar w:fldCharType="begin"/>
            </w:r>
            <w:r w:rsidR="0020647A">
              <w:rPr>
                <w:webHidden/>
              </w:rPr>
              <w:instrText xml:space="preserve"> PAGEREF _Toc454974439 \h </w:instrText>
            </w:r>
            <w:r w:rsidR="0020647A">
              <w:rPr>
                <w:webHidden/>
              </w:rPr>
            </w:r>
            <w:r w:rsidR="0020647A">
              <w:rPr>
                <w:webHidden/>
              </w:rPr>
              <w:fldChar w:fldCharType="separate"/>
            </w:r>
            <w:r>
              <w:rPr>
                <w:webHidden/>
              </w:rPr>
              <w:t>33</w:t>
            </w:r>
            <w:r w:rsidR="0020647A">
              <w:rPr>
                <w:webHidden/>
              </w:rPr>
              <w:fldChar w:fldCharType="end"/>
            </w:r>
          </w:hyperlink>
        </w:p>
        <w:p w14:paraId="78D60872" w14:textId="77777777" w:rsidR="0020647A" w:rsidRDefault="00EF11A6">
          <w:pPr>
            <w:pStyle w:val="Inhopg1"/>
            <w:tabs>
              <w:tab w:val="left" w:pos="480"/>
              <w:tab w:val="right" w:leader="dot" w:pos="9062"/>
            </w:tabs>
            <w:rPr>
              <w:rFonts w:asciiTheme="minorHAnsi" w:eastAsiaTheme="minorEastAsia" w:hAnsiTheme="minorHAnsi" w:cstheme="minorBidi"/>
              <w:noProof/>
              <w:sz w:val="22"/>
              <w:lang w:val="en-US" w:eastAsia="en-US" w:bidi="ar-SA"/>
            </w:rPr>
          </w:pPr>
          <w:hyperlink w:anchor="_Toc454974440" w:history="1">
            <w:r w:rsidR="0020647A" w:rsidRPr="00641228">
              <w:rPr>
                <w:rStyle w:val="Hyperlink"/>
                <w:noProof/>
              </w:rPr>
              <w:t>III.</w:t>
            </w:r>
            <w:r w:rsidR="0020647A">
              <w:rPr>
                <w:rFonts w:asciiTheme="minorHAnsi" w:eastAsiaTheme="minorEastAsia" w:hAnsiTheme="minorHAnsi" w:cstheme="minorBidi"/>
                <w:noProof/>
                <w:sz w:val="22"/>
                <w:lang w:val="en-US" w:eastAsia="en-US" w:bidi="ar-SA"/>
              </w:rPr>
              <w:tab/>
            </w:r>
            <w:r w:rsidR="0020647A" w:rsidRPr="00641228">
              <w:rPr>
                <w:rStyle w:val="Hyperlink"/>
                <w:noProof/>
              </w:rPr>
              <w:t>Annexes</w:t>
            </w:r>
            <w:r w:rsidR="0020647A">
              <w:rPr>
                <w:noProof/>
                <w:webHidden/>
              </w:rPr>
              <w:tab/>
            </w:r>
            <w:r w:rsidR="0020647A">
              <w:rPr>
                <w:noProof/>
                <w:webHidden/>
              </w:rPr>
              <w:fldChar w:fldCharType="begin"/>
            </w:r>
            <w:r w:rsidR="0020647A">
              <w:rPr>
                <w:noProof/>
                <w:webHidden/>
              </w:rPr>
              <w:instrText xml:space="preserve"> PAGEREF _Toc454974440 \h </w:instrText>
            </w:r>
            <w:r w:rsidR="0020647A">
              <w:rPr>
                <w:noProof/>
                <w:webHidden/>
              </w:rPr>
            </w:r>
            <w:r w:rsidR="0020647A">
              <w:rPr>
                <w:noProof/>
                <w:webHidden/>
              </w:rPr>
              <w:fldChar w:fldCharType="separate"/>
            </w:r>
            <w:r>
              <w:rPr>
                <w:noProof/>
                <w:webHidden/>
              </w:rPr>
              <w:t>33</w:t>
            </w:r>
            <w:r w:rsidR="0020647A">
              <w:rPr>
                <w:noProof/>
                <w:webHidden/>
              </w:rPr>
              <w:fldChar w:fldCharType="end"/>
            </w:r>
          </w:hyperlink>
        </w:p>
        <w:p w14:paraId="460EFB12" w14:textId="77777777" w:rsidR="0020647A" w:rsidRDefault="00EF11A6">
          <w:pPr>
            <w:pStyle w:val="Inhopg1"/>
            <w:tabs>
              <w:tab w:val="left" w:pos="480"/>
              <w:tab w:val="right" w:leader="dot" w:pos="9062"/>
            </w:tabs>
            <w:rPr>
              <w:rFonts w:asciiTheme="minorHAnsi" w:eastAsiaTheme="minorEastAsia" w:hAnsiTheme="minorHAnsi" w:cstheme="minorBidi"/>
              <w:noProof/>
              <w:sz w:val="22"/>
              <w:lang w:val="en-US" w:eastAsia="en-US" w:bidi="ar-SA"/>
            </w:rPr>
          </w:pPr>
          <w:hyperlink w:anchor="_Toc454974441" w:history="1">
            <w:r w:rsidR="0020647A" w:rsidRPr="00641228">
              <w:rPr>
                <w:rStyle w:val="Hyperlink"/>
                <w:noProof/>
              </w:rPr>
              <w:t>IV.</w:t>
            </w:r>
            <w:r w:rsidR="0020647A">
              <w:rPr>
                <w:rFonts w:asciiTheme="minorHAnsi" w:eastAsiaTheme="minorEastAsia" w:hAnsiTheme="minorHAnsi" w:cstheme="minorBidi"/>
                <w:noProof/>
                <w:sz w:val="22"/>
                <w:lang w:val="en-US" w:eastAsia="en-US" w:bidi="ar-SA"/>
              </w:rPr>
              <w:tab/>
            </w:r>
            <w:r w:rsidR="0020647A" w:rsidRPr="00641228">
              <w:rPr>
                <w:rStyle w:val="Hyperlink"/>
                <w:noProof/>
              </w:rPr>
              <w:t>Liste des abréviations utilisées</w:t>
            </w:r>
            <w:r w:rsidR="0020647A">
              <w:rPr>
                <w:noProof/>
                <w:webHidden/>
              </w:rPr>
              <w:tab/>
            </w:r>
            <w:r w:rsidR="0020647A">
              <w:rPr>
                <w:noProof/>
                <w:webHidden/>
              </w:rPr>
              <w:fldChar w:fldCharType="begin"/>
            </w:r>
            <w:r w:rsidR="0020647A">
              <w:rPr>
                <w:noProof/>
                <w:webHidden/>
              </w:rPr>
              <w:instrText xml:space="preserve"> PAGEREF _Toc454974441 \h </w:instrText>
            </w:r>
            <w:r w:rsidR="0020647A">
              <w:rPr>
                <w:noProof/>
                <w:webHidden/>
              </w:rPr>
            </w:r>
            <w:r w:rsidR="0020647A">
              <w:rPr>
                <w:noProof/>
                <w:webHidden/>
              </w:rPr>
              <w:fldChar w:fldCharType="separate"/>
            </w:r>
            <w:r>
              <w:rPr>
                <w:noProof/>
                <w:webHidden/>
              </w:rPr>
              <w:t>33</w:t>
            </w:r>
            <w:r w:rsidR="0020647A">
              <w:rPr>
                <w:noProof/>
                <w:webHidden/>
              </w:rPr>
              <w:fldChar w:fldCharType="end"/>
            </w:r>
          </w:hyperlink>
        </w:p>
        <w:p w14:paraId="22FBE09A" w14:textId="77777777" w:rsidR="00FF41B3" w:rsidRDefault="00FF41B3" w:rsidP="00A3247B">
          <w:r>
            <w:rPr>
              <w:b/>
              <w:bCs/>
              <w:lang w:val="nl-NL"/>
            </w:rPr>
            <w:fldChar w:fldCharType="end"/>
          </w:r>
        </w:p>
      </w:sdtContent>
    </w:sdt>
    <w:p w14:paraId="33E441F2" w14:textId="77777777" w:rsidR="00E74292" w:rsidRPr="00407488" w:rsidRDefault="00E74292" w:rsidP="00A3247B"/>
    <w:p w14:paraId="56C2BE20" w14:textId="77777777" w:rsidR="00E74292" w:rsidRPr="00407488" w:rsidRDefault="00E74292" w:rsidP="00A3247B"/>
    <w:p w14:paraId="0804A9F8" w14:textId="77777777" w:rsidR="00AB0894" w:rsidRPr="00407488" w:rsidRDefault="00AB0894" w:rsidP="00A3247B">
      <w:pPr>
        <w:jc w:val="left"/>
        <w:rPr>
          <w:smallCaps/>
          <w:spacing w:val="5"/>
          <w:sz w:val="36"/>
          <w:szCs w:val="36"/>
        </w:rPr>
      </w:pPr>
      <w:r w:rsidRPr="00407488">
        <w:br w:type="page"/>
      </w:r>
    </w:p>
    <w:p w14:paraId="35F9487D" w14:textId="77777777" w:rsidR="005614FE" w:rsidRPr="00407488" w:rsidRDefault="005614FE" w:rsidP="00A3247B">
      <w:pPr>
        <w:pStyle w:val="Kop1"/>
        <w:numPr>
          <w:ilvl w:val="0"/>
          <w:numId w:val="5"/>
        </w:numPr>
      </w:pPr>
      <w:bookmarkStart w:id="1" w:name="_Toc422390644"/>
      <w:bookmarkStart w:id="2" w:name="_Toc454974423"/>
      <w:r w:rsidRPr="00407488">
        <w:lastRenderedPageBreak/>
        <w:t>Données requises pour chaque année</w:t>
      </w:r>
      <w:bookmarkEnd w:id="1"/>
      <w:bookmarkEnd w:id="2"/>
    </w:p>
    <w:p w14:paraId="375EC27F" w14:textId="77777777" w:rsidR="005614FE" w:rsidRPr="00407488" w:rsidRDefault="005614FE" w:rsidP="00A3247B">
      <w:pPr>
        <w:pStyle w:val="Kop2"/>
        <w:numPr>
          <w:ilvl w:val="0"/>
          <w:numId w:val="2"/>
        </w:numPr>
        <w:spacing w:line="276" w:lineRule="auto"/>
      </w:pPr>
      <w:bookmarkStart w:id="3" w:name="_Toc422390645"/>
      <w:bookmarkStart w:id="4" w:name="_Toc454974424"/>
      <w:r w:rsidRPr="00407488">
        <w:t>Identification du rapport annuel</w:t>
      </w:r>
      <w:bookmarkEnd w:id="3"/>
      <w:bookmarkEnd w:id="4"/>
    </w:p>
    <w:tbl>
      <w:tblPr>
        <w:tblStyle w:val="Tabelraster"/>
        <w:tblW w:w="0" w:type="auto"/>
        <w:tblLook w:val="04A0" w:firstRow="1" w:lastRow="0" w:firstColumn="1" w:lastColumn="0" w:noHBand="0" w:noVBand="1"/>
      </w:tblPr>
      <w:tblGrid>
        <w:gridCol w:w="4521"/>
        <w:gridCol w:w="4541"/>
      </w:tblGrid>
      <w:tr w:rsidR="005614FE" w:rsidRPr="00407488" w14:paraId="517EDC0B" w14:textId="77777777" w:rsidTr="005614FE">
        <w:tc>
          <w:tcPr>
            <w:tcW w:w="4606" w:type="dxa"/>
          </w:tcPr>
          <w:p w14:paraId="495848DE" w14:textId="77777777" w:rsidR="005614FE" w:rsidRPr="00407488" w:rsidRDefault="00AB0894" w:rsidP="00A3247B">
            <w:pPr>
              <w:spacing w:line="276" w:lineRule="auto"/>
            </w:pPr>
            <w:r w:rsidRPr="00407488">
              <w:t>CCI</w:t>
            </w:r>
          </w:p>
        </w:tc>
        <w:tc>
          <w:tcPr>
            <w:tcW w:w="4606" w:type="dxa"/>
          </w:tcPr>
          <w:p w14:paraId="5AF05878" w14:textId="77777777" w:rsidR="005614FE" w:rsidRPr="00407488" w:rsidRDefault="00AB0894" w:rsidP="00A3247B">
            <w:pPr>
              <w:spacing w:line="276" w:lineRule="auto"/>
            </w:pPr>
            <w:r w:rsidRPr="00407488">
              <w:t>2014BE05FMOP001</w:t>
            </w:r>
          </w:p>
        </w:tc>
      </w:tr>
      <w:tr w:rsidR="005614FE" w:rsidRPr="00407488" w14:paraId="07C40E50" w14:textId="77777777" w:rsidTr="005614FE">
        <w:tc>
          <w:tcPr>
            <w:tcW w:w="4606" w:type="dxa"/>
          </w:tcPr>
          <w:p w14:paraId="0ACC73C8" w14:textId="77777777" w:rsidR="005614FE" w:rsidRPr="00407488" w:rsidRDefault="00AB0894" w:rsidP="00A3247B">
            <w:pPr>
              <w:spacing w:line="276" w:lineRule="auto"/>
            </w:pPr>
            <w:r w:rsidRPr="00407488">
              <w:t>Titre</w:t>
            </w:r>
          </w:p>
        </w:tc>
        <w:tc>
          <w:tcPr>
            <w:tcW w:w="4606" w:type="dxa"/>
          </w:tcPr>
          <w:p w14:paraId="608274B4" w14:textId="77777777" w:rsidR="005614FE" w:rsidRPr="00407488" w:rsidRDefault="00372B88" w:rsidP="00A3247B">
            <w:pPr>
              <w:spacing w:line="276" w:lineRule="auto"/>
            </w:pPr>
            <w:r>
              <w:t>Rapport annuel 2015</w:t>
            </w:r>
          </w:p>
        </w:tc>
      </w:tr>
      <w:tr w:rsidR="005614FE" w:rsidRPr="00407488" w14:paraId="1798A635" w14:textId="77777777" w:rsidTr="005614FE">
        <w:tc>
          <w:tcPr>
            <w:tcW w:w="4606" w:type="dxa"/>
          </w:tcPr>
          <w:p w14:paraId="0765BC47" w14:textId="77777777" w:rsidR="005614FE" w:rsidRPr="00407488" w:rsidRDefault="00AB0894" w:rsidP="00A3247B">
            <w:pPr>
              <w:spacing w:line="276" w:lineRule="auto"/>
            </w:pPr>
            <w:r w:rsidRPr="00407488">
              <w:t>Version</w:t>
            </w:r>
          </w:p>
        </w:tc>
        <w:tc>
          <w:tcPr>
            <w:tcW w:w="4606" w:type="dxa"/>
          </w:tcPr>
          <w:p w14:paraId="64F49F85" w14:textId="77777777" w:rsidR="005614FE" w:rsidRPr="00407488" w:rsidRDefault="00AB0894" w:rsidP="00A3247B">
            <w:pPr>
              <w:spacing w:line="276" w:lineRule="auto"/>
            </w:pPr>
            <w:r w:rsidRPr="00407488">
              <w:t>1</w:t>
            </w:r>
          </w:p>
        </w:tc>
      </w:tr>
      <w:tr w:rsidR="005614FE" w:rsidRPr="00407488" w14:paraId="31744C95" w14:textId="77777777" w:rsidTr="005614FE">
        <w:tc>
          <w:tcPr>
            <w:tcW w:w="4606" w:type="dxa"/>
          </w:tcPr>
          <w:p w14:paraId="562D0084" w14:textId="77777777" w:rsidR="005614FE" w:rsidRPr="008A7278" w:rsidRDefault="00AB0894" w:rsidP="00A3247B">
            <w:pPr>
              <w:spacing w:line="276" w:lineRule="auto"/>
            </w:pPr>
            <w:r w:rsidRPr="008A7278">
              <w:t>Année du rapport</w:t>
            </w:r>
          </w:p>
        </w:tc>
        <w:tc>
          <w:tcPr>
            <w:tcW w:w="4606" w:type="dxa"/>
          </w:tcPr>
          <w:p w14:paraId="1779A9D0" w14:textId="77777777" w:rsidR="005614FE" w:rsidRPr="008A7278" w:rsidRDefault="00372B88" w:rsidP="00A3247B">
            <w:pPr>
              <w:spacing w:line="276" w:lineRule="auto"/>
            </w:pPr>
            <w:r w:rsidRPr="008A7278">
              <w:t>2015</w:t>
            </w:r>
          </w:p>
        </w:tc>
      </w:tr>
      <w:tr w:rsidR="005614FE" w:rsidRPr="00407488" w14:paraId="26D416EA" w14:textId="77777777" w:rsidTr="005614FE">
        <w:tc>
          <w:tcPr>
            <w:tcW w:w="4606" w:type="dxa"/>
          </w:tcPr>
          <w:p w14:paraId="55AAB68F" w14:textId="77777777" w:rsidR="005614FE" w:rsidRPr="008A7278" w:rsidRDefault="00AB0894" w:rsidP="00A3247B">
            <w:pPr>
              <w:spacing w:line="276" w:lineRule="auto"/>
            </w:pPr>
            <w:r w:rsidRPr="008A7278">
              <w:t>Date de consultation avec les parties prenantes</w:t>
            </w:r>
          </w:p>
        </w:tc>
        <w:tc>
          <w:tcPr>
            <w:tcW w:w="4606" w:type="dxa"/>
          </w:tcPr>
          <w:p w14:paraId="112A8244" w14:textId="7C4721E3" w:rsidR="005614FE" w:rsidRPr="008A7278" w:rsidRDefault="008A7278" w:rsidP="00A3247B">
            <w:pPr>
              <w:spacing w:line="276" w:lineRule="auto"/>
            </w:pPr>
            <w:r w:rsidRPr="008A7278">
              <w:t>21/06/2016</w:t>
            </w:r>
          </w:p>
        </w:tc>
      </w:tr>
    </w:tbl>
    <w:p w14:paraId="317FC8EE" w14:textId="77777777" w:rsidR="000E45F4" w:rsidRPr="00407488" w:rsidRDefault="00741E09" w:rsidP="00A3247B">
      <w:pPr>
        <w:pStyle w:val="Kop2"/>
        <w:numPr>
          <w:ilvl w:val="0"/>
          <w:numId w:val="2"/>
        </w:numPr>
        <w:spacing w:line="276" w:lineRule="auto"/>
      </w:pPr>
      <w:bookmarkStart w:id="5" w:name="_Toc422390646"/>
      <w:bookmarkStart w:id="6" w:name="_Toc454974425"/>
      <w:r w:rsidRPr="00407488">
        <w:t>Aperçu de l'exécution du programme opérationnel</w:t>
      </w:r>
      <w:bookmarkEnd w:id="5"/>
      <w:bookmarkEnd w:id="6"/>
    </w:p>
    <w:p w14:paraId="0E4C159A" w14:textId="77777777" w:rsidR="0087680D" w:rsidRPr="00407488" w:rsidRDefault="0087680D" w:rsidP="00A3247B">
      <w:pPr>
        <w:pStyle w:val="Kop3"/>
        <w:numPr>
          <w:ilvl w:val="1"/>
          <w:numId w:val="2"/>
        </w:numPr>
        <w:spacing w:line="276" w:lineRule="auto"/>
      </w:pPr>
      <w:bookmarkStart w:id="7" w:name="_Toc422390647"/>
      <w:bookmarkStart w:id="8" w:name="_Toc454974426"/>
      <w:r w:rsidRPr="00407488">
        <w:t>Informations sur la mise en œuvre du programme en référence aux indicateurs communs</w:t>
      </w:r>
      <w:bookmarkEnd w:id="7"/>
      <w:bookmarkEnd w:id="8"/>
    </w:p>
    <w:p w14:paraId="17E55ED5" w14:textId="77777777" w:rsidR="004B5BBC" w:rsidRDefault="00C75A01" w:rsidP="00A3247B">
      <w:pPr>
        <w:pStyle w:val="Kop3"/>
        <w:numPr>
          <w:ilvl w:val="2"/>
          <w:numId w:val="2"/>
        </w:numPr>
        <w:spacing w:after="240" w:line="276" w:lineRule="auto"/>
      </w:pPr>
      <w:bookmarkStart w:id="9" w:name="_Toc422390648"/>
      <w:bookmarkStart w:id="10" w:name="_Toc454974427"/>
      <w:r w:rsidRPr="00407488">
        <w:t>Introduction</w:t>
      </w:r>
      <w:bookmarkEnd w:id="9"/>
      <w:bookmarkEnd w:id="10"/>
    </w:p>
    <w:p w14:paraId="06B5B5DD" w14:textId="0FF5CE69" w:rsidR="0082144B" w:rsidRPr="005D4117" w:rsidRDefault="0082144B" w:rsidP="0082144B">
      <w:pPr>
        <w:ind w:left="360"/>
      </w:pPr>
      <w:r w:rsidRPr="005D4117">
        <w:t xml:space="preserve">Garantir la continuité de l’aide alimentaire européenne a été l’objectif fondamental qui a sous-tendu toute l’année 2014 – première année de mise en œuvre du FEAD en Belgique. L’année de transition (entre 2013 et 2014) s’est passée sans trop de heurts, l’appel à </w:t>
      </w:r>
      <w:proofErr w:type="spellStart"/>
      <w:r w:rsidRPr="005D4117">
        <w:t>marché</w:t>
      </w:r>
      <w:proofErr w:type="spellEnd"/>
      <w:r w:rsidRPr="005D4117">
        <w:t xml:space="preserve"> </w:t>
      </w:r>
      <w:r w:rsidR="00320F94" w:rsidRPr="005D4117">
        <w:t>a</w:t>
      </w:r>
      <w:r w:rsidRPr="005D4117">
        <w:t xml:space="preserve"> pu être lancé, les produits ont pu être livrés et les préoccupations de chaque partenaire par rapport aux changements de l’année 2013 ont pu</w:t>
      </w:r>
      <w:r w:rsidR="006B61CE" w:rsidRPr="005D4117">
        <w:t xml:space="preserve"> être entendues et rencontrées.</w:t>
      </w:r>
      <w:r w:rsidR="007769CD" w:rsidRPr="005D4117">
        <w:t xml:space="preserve"> </w:t>
      </w:r>
    </w:p>
    <w:p w14:paraId="040E8CFF" w14:textId="77777777" w:rsidR="0082144B" w:rsidRPr="005D4117" w:rsidRDefault="0082144B" w:rsidP="0082144B">
      <w:pPr>
        <w:ind w:left="360"/>
      </w:pPr>
      <w:r w:rsidRPr="005D4117">
        <w:t>La gestion d’urgence étant terminée, l’AG a pu se concentrer, pendant l’année 2015, sur la mise en œuvre effective du FEAD: audits de désignation, élaboration du manuel de contrôle et de gestion, fiches de procédures, etc. Pendant l’année 2015, le FEAD atteint donc doucement sa vitesse de croisière.</w:t>
      </w:r>
    </w:p>
    <w:p w14:paraId="3D43BE78" w14:textId="42832566" w:rsidR="0082144B" w:rsidRPr="005D4117" w:rsidRDefault="0082144B" w:rsidP="0082144B">
      <w:pPr>
        <w:ind w:left="360"/>
        <w:rPr>
          <w:lang w:val="fr-BE"/>
        </w:rPr>
      </w:pPr>
      <w:r w:rsidRPr="005D4117">
        <w:t>Comme indiqué dans le PO et dans le précédent rapport, l’AG souhaite optimiser le système tout au long de la programmation et adapter le systèm</w:t>
      </w:r>
      <w:r w:rsidR="00040C60" w:rsidRPr="005D4117">
        <w:t>e aux besoins réels du terrain.</w:t>
      </w:r>
    </w:p>
    <w:p w14:paraId="6AEEE565" w14:textId="77777777" w:rsidR="0082144B" w:rsidRPr="00DA0446" w:rsidRDefault="0082144B" w:rsidP="0082144B">
      <w:pPr>
        <w:ind w:left="360"/>
      </w:pPr>
      <w:r w:rsidRPr="005D4117">
        <w:t xml:space="preserve">Les améliorations apportées durant l’année 2015 seront présentées plus loin et concernent aussi bien la qualité des produits, leur quantité (y compris par rapport à la satisfaction de la demande de terrain), leur diversité, etc. </w:t>
      </w:r>
      <w:r w:rsidRPr="00DA0446">
        <w:t>que des aspects logistiques comme les coûts de transport, l’informatisation d’une partie des outils, etc.</w:t>
      </w:r>
    </w:p>
    <w:p w14:paraId="69E351CB" w14:textId="39C393F5" w:rsidR="0082144B" w:rsidRPr="00DA0446" w:rsidRDefault="0082144B" w:rsidP="0082144B">
      <w:pPr>
        <w:ind w:left="360"/>
        <w:rPr>
          <w:lang w:val="fr-BE"/>
        </w:rPr>
      </w:pPr>
      <w:r w:rsidRPr="00DA0446">
        <w:t xml:space="preserve">Au cours de l'année 2015, une aide </w:t>
      </w:r>
      <w:r w:rsidR="00455C7C" w:rsidRPr="00DA0446">
        <w:t>non alimentaire</w:t>
      </w:r>
      <w:r w:rsidRPr="00DA0446">
        <w:t xml:space="preserve"> a également pu être proposée aux organisations partenaires. </w:t>
      </w:r>
      <w:r w:rsidRPr="00DA0446">
        <w:rPr>
          <w:lang w:val="fr-BE"/>
        </w:rPr>
        <w:t>En effet, lors du contrôle budgétaire</w:t>
      </w:r>
      <w:r w:rsidR="00B305A2" w:rsidRPr="00DA0446">
        <w:rPr>
          <w:lang w:val="fr-BE"/>
        </w:rPr>
        <w:t xml:space="preserve"> </w:t>
      </w:r>
      <w:r w:rsidR="005D4117" w:rsidRPr="00DA0446">
        <w:rPr>
          <w:lang w:val="fr-BE"/>
        </w:rPr>
        <w:t>2015</w:t>
      </w:r>
      <w:r w:rsidR="00876728" w:rsidRPr="00DA0446">
        <w:rPr>
          <w:lang w:val="fr-BE"/>
        </w:rPr>
        <w:t xml:space="preserve"> des ressources supplémentaires </w:t>
      </w:r>
      <w:r w:rsidRPr="00DA0446">
        <w:rPr>
          <w:lang w:val="fr-BE"/>
        </w:rPr>
        <w:t>belge</w:t>
      </w:r>
      <w:r w:rsidR="00876728" w:rsidRPr="00DA0446">
        <w:rPr>
          <w:lang w:val="fr-BE"/>
        </w:rPr>
        <w:t>s</w:t>
      </w:r>
      <w:r w:rsidRPr="00DA0446">
        <w:rPr>
          <w:lang w:val="fr-BE"/>
        </w:rPr>
        <w:t xml:space="preserve"> </w:t>
      </w:r>
      <w:r w:rsidR="00876728" w:rsidRPr="00DA0446">
        <w:rPr>
          <w:lang w:val="fr-BE"/>
        </w:rPr>
        <w:t>ont</w:t>
      </w:r>
      <w:r w:rsidRPr="00DA0446">
        <w:rPr>
          <w:lang w:val="fr-BE"/>
        </w:rPr>
        <w:t xml:space="preserve"> pu être </w:t>
      </w:r>
      <w:r w:rsidR="00876728" w:rsidRPr="00DA0446">
        <w:rPr>
          <w:lang w:val="fr-BE"/>
        </w:rPr>
        <w:t>obtenues</w:t>
      </w:r>
      <w:r w:rsidRPr="00DA0446">
        <w:rPr>
          <w:lang w:val="fr-BE"/>
        </w:rPr>
        <w:t xml:space="preserve"> et un budget de 477.950,00€ a été uti</w:t>
      </w:r>
      <w:r w:rsidR="005D4117" w:rsidRPr="00DA0446">
        <w:rPr>
          <w:lang w:val="fr-BE"/>
        </w:rPr>
        <w:t>lisé pour acheter deux produits</w:t>
      </w:r>
      <w:r w:rsidRPr="00DA0446">
        <w:rPr>
          <w:lang w:val="fr-BE"/>
        </w:rPr>
        <w:t>: des langes pour bébés (deux poids différents) ainsi que des kits d’hygiène (pour hommes et pour femmes). Ces produits ont rencontré un très grand succès auprès des organisations et des bénéficiaires.</w:t>
      </w:r>
    </w:p>
    <w:p w14:paraId="50C5CD8F" w14:textId="41E54D4E" w:rsidR="0082144B" w:rsidRPr="00DA0446" w:rsidRDefault="0082144B" w:rsidP="0082144B">
      <w:pPr>
        <w:ind w:left="360"/>
        <w:rPr>
          <w:szCs w:val="24"/>
          <w:lang w:val="fr-BE"/>
        </w:rPr>
      </w:pPr>
      <w:r w:rsidRPr="00DA0446">
        <w:rPr>
          <w:lang w:val="fr-BE"/>
        </w:rPr>
        <w:lastRenderedPageBreak/>
        <w:t xml:space="preserve">Au niveau de la communication, l’évènement phare de l’année 2015 a été l’organisation d’un grand colloque </w:t>
      </w:r>
      <w:r w:rsidR="00B305A2" w:rsidRPr="00DA0446">
        <w:rPr>
          <w:lang w:val="fr-BE"/>
        </w:rPr>
        <w:t>consacré au</w:t>
      </w:r>
      <w:r w:rsidRPr="00DA0446">
        <w:rPr>
          <w:lang w:val="fr-BE"/>
        </w:rPr>
        <w:t xml:space="preserve"> futur de l’aide alimentaire</w:t>
      </w:r>
      <w:r w:rsidR="00A563CF" w:rsidRPr="00DA0446">
        <w:rPr>
          <w:lang w:val="fr-BE"/>
        </w:rPr>
        <w:t xml:space="preserve"> le 28 avril 2015</w:t>
      </w:r>
      <w:r w:rsidRPr="00DA0446">
        <w:rPr>
          <w:lang w:val="fr-BE"/>
        </w:rPr>
        <w:t xml:space="preserve">. Réunissant plus de 500 participants, il a été un espace d’échange, de réflexion commune et de valorisation du travail des nombreux bénévoles du secteur. Il ressort de ce colloque que si l’aide alimentaire ne peut remplacer une politique structurelle en matière de pauvreté, elle peut servir de passerelle vers une </w:t>
      </w:r>
      <w:r w:rsidR="00B305A2" w:rsidRPr="00DA0446">
        <w:rPr>
          <w:lang w:val="fr-BE"/>
        </w:rPr>
        <w:t>meilleure activation et inclusion sociale</w:t>
      </w:r>
      <w:r w:rsidRPr="00DA0446">
        <w:rPr>
          <w:lang w:val="fr-BE"/>
        </w:rPr>
        <w:t xml:space="preserve">. </w:t>
      </w:r>
      <w:r w:rsidRPr="00DA0446">
        <w:rPr>
          <w:szCs w:val="24"/>
          <w:lang w:val="fr-BE"/>
        </w:rPr>
        <w:t xml:space="preserve">La clé de l’avenir de l’aide alimentaire réside dans les efforts, la créativité et l’enthousiasme de tous ceux qui s’investissent en faveur des plus démunis. </w:t>
      </w:r>
    </w:p>
    <w:p w14:paraId="4F6BC79B" w14:textId="1FD0346A" w:rsidR="0082144B" w:rsidRPr="00DA0446" w:rsidRDefault="0082144B" w:rsidP="0082144B">
      <w:pPr>
        <w:ind w:left="360"/>
        <w:rPr>
          <w:szCs w:val="24"/>
          <w:lang w:val="fr-BE"/>
        </w:rPr>
      </w:pPr>
      <w:r w:rsidRPr="00DA0446">
        <w:rPr>
          <w:szCs w:val="24"/>
          <w:lang w:val="fr-BE"/>
        </w:rPr>
        <w:t xml:space="preserve">Toujours dans le volet communication, en 2015, l’Autorité de gestion a mis en place un système de lettres d’informations mensuelles. Le système d’abonnement proposé est simple et ces lettres d’information </w:t>
      </w:r>
      <w:r w:rsidR="00F74E96" w:rsidRPr="00DA0446">
        <w:rPr>
          <w:szCs w:val="24"/>
          <w:lang w:val="fr-BE"/>
        </w:rPr>
        <w:t xml:space="preserve">électroniques </w:t>
      </w:r>
      <w:r w:rsidRPr="00DA0446">
        <w:rPr>
          <w:szCs w:val="24"/>
          <w:lang w:val="fr-BE"/>
        </w:rPr>
        <w:t xml:space="preserve">permettent de garder le contact avec les organisations en leur épargnant le travail de recherche d’information sur le site. Les lettres d’information sont envoyées mensuellement et ont pour objectif </w:t>
      </w:r>
      <w:r w:rsidR="001F0AC5" w:rsidRPr="00DA0446">
        <w:rPr>
          <w:szCs w:val="24"/>
          <w:lang w:val="fr-BE"/>
        </w:rPr>
        <w:t xml:space="preserve">de </w:t>
      </w:r>
      <w:r w:rsidR="00B305A2" w:rsidRPr="00DA0446">
        <w:rPr>
          <w:szCs w:val="24"/>
          <w:lang w:val="fr-BE"/>
        </w:rPr>
        <w:t>signaler</w:t>
      </w:r>
      <w:r w:rsidRPr="00DA0446">
        <w:rPr>
          <w:szCs w:val="24"/>
          <w:lang w:val="fr-BE"/>
        </w:rPr>
        <w:t xml:space="preserve"> des rappels importants, de promouvoir des initiatives intéressantes, de partager des informations et des bonnes pratiques</w:t>
      </w:r>
      <w:r w:rsidR="001F0AC5" w:rsidRPr="00DA0446">
        <w:rPr>
          <w:szCs w:val="24"/>
          <w:lang w:val="fr-BE"/>
        </w:rPr>
        <w:t>, etc</w:t>
      </w:r>
      <w:r w:rsidRPr="00DA0446">
        <w:rPr>
          <w:szCs w:val="24"/>
          <w:lang w:val="fr-BE"/>
        </w:rPr>
        <w:t>.</w:t>
      </w:r>
    </w:p>
    <w:p w14:paraId="0154D61A" w14:textId="353ECF9A" w:rsidR="00975A43" w:rsidRPr="00DA0446" w:rsidRDefault="00975A43" w:rsidP="00975A43">
      <w:pPr>
        <w:ind w:left="360"/>
      </w:pPr>
      <w:r w:rsidRPr="00DA0446">
        <w:rPr>
          <w:lang w:val="fr-BE"/>
        </w:rPr>
        <w:t>Enfin, l</w:t>
      </w:r>
      <w:r w:rsidRPr="00DA0446">
        <w:t>e 25/0</w:t>
      </w:r>
      <w:r w:rsidR="009B34D1" w:rsidRPr="00DA0446">
        <w:t>9/2015, le responsable pour l’A</w:t>
      </w:r>
      <w:r w:rsidRPr="00DA0446">
        <w:t>G, Mr Alexandre Lesiw (</w:t>
      </w:r>
      <w:r w:rsidR="009B34D1" w:rsidRPr="00DA0446">
        <w:t>Directeur G</w:t>
      </w:r>
      <w:r w:rsidR="00AE62FF" w:rsidRPr="00DA0446">
        <w:t xml:space="preserve">énéral </w:t>
      </w:r>
      <w:r w:rsidR="009B34D1" w:rsidRPr="00DA0446">
        <w:t>du</w:t>
      </w:r>
      <w:r w:rsidR="00AE62FF" w:rsidRPr="00DA0446">
        <w:t xml:space="preserve"> </w:t>
      </w:r>
      <w:r w:rsidRPr="00DA0446">
        <w:t>SPP Intégr</w:t>
      </w:r>
      <w:r w:rsidR="00AE62FF" w:rsidRPr="00DA0446">
        <w:t>ation sociale) a participé au</w:t>
      </w:r>
      <w:r w:rsidR="001557B6" w:rsidRPr="00DA0446">
        <w:t xml:space="preserve"> séminaire</w:t>
      </w:r>
      <w:r w:rsidR="00AE62FF" w:rsidRPr="00DA0446">
        <w:t xml:space="preserve"> «</w:t>
      </w:r>
      <w:r w:rsidRPr="00DA0446">
        <w:t xml:space="preserve">Ad hoc meeting of ESF and FEAD </w:t>
      </w:r>
      <w:proofErr w:type="spellStart"/>
      <w:r w:rsidRPr="00DA0446">
        <w:t>Managing</w:t>
      </w:r>
      <w:proofErr w:type="spellEnd"/>
      <w:r w:rsidRPr="00DA0446">
        <w:t xml:space="preserve"> </w:t>
      </w:r>
      <w:proofErr w:type="spellStart"/>
      <w:r w:rsidRPr="00DA0446">
        <w:t>Authorities</w:t>
      </w:r>
      <w:proofErr w:type="spellEnd"/>
      <w:r w:rsidRPr="00DA0446">
        <w:t xml:space="preserve"> in</w:t>
      </w:r>
      <w:r w:rsidR="00AE62FF" w:rsidRPr="00DA0446">
        <w:t xml:space="preserve"> </w:t>
      </w:r>
      <w:proofErr w:type="spellStart"/>
      <w:r w:rsidR="00AE62FF" w:rsidRPr="00DA0446">
        <w:t>response</w:t>
      </w:r>
      <w:proofErr w:type="spellEnd"/>
      <w:r w:rsidR="00AE62FF" w:rsidRPr="00DA0446">
        <w:t xml:space="preserve"> to the </w:t>
      </w:r>
      <w:proofErr w:type="spellStart"/>
      <w:r w:rsidR="00AE62FF" w:rsidRPr="00DA0446">
        <w:t>refugee</w:t>
      </w:r>
      <w:proofErr w:type="spellEnd"/>
      <w:r w:rsidR="00AE62FF" w:rsidRPr="00DA0446">
        <w:t xml:space="preserve"> </w:t>
      </w:r>
      <w:proofErr w:type="spellStart"/>
      <w:r w:rsidR="00AE62FF" w:rsidRPr="00DA0446">
        <w:t>crisis</w:t>
      </w:r>
      <w:proofErr w:type="spellEnd"/>
      <w:r w:rsidRPr="00DA0446">
        <w:t xml:space="preserve">» organisé par la Commission Européenne. Il y a </w:t>
      </w:r>
      <w:r w:rsidR="009B34D1" w:rsidRPr="00DA0446">
        <w:t>présenté</w:t>
      </w:r>
      <w:r w:rsidRPr="00DA0446">
        <w:t xml:space="preserve"> le rôle que le FEAD joue dans le cadre de la crise migratoire en Belgique et les piste</w:t>
      </w:r>
      <w:r w:rsidR="008F746B" w:rsidRPr="00DA0446">
        <w:t>s</w:t>
      </w:r>
      <w:r w:rsidRPr="00DA0446">
        <w:t xml:space="preserve"> possibles </w:t>
      </w:r>
      <w:r w:rsidR="00226F14" w:rsidRPr="00DA0446">
        <w:t>d’</w:t>
      </w:r>
      <w:r w:rsidRPr="00DA0446">
        <w:t>amélioration.</w:t>
      </w:r>
    </w:p>
    <w:p w14:paraId="2EF94D40" w14:textId="16071406" w:rsidR="0008704F" w:rsidRPr="00DA0446" w:rsidRDefault="0082144B" w:rsidP="005D4117">
      <w:pPr>
        <w:ind w:left="360"/>
      </w:pPr>
      <w:r w:rsidRPr="00DA0446">
        <w:t xml:space="preserve">Le présent rapport annuel comprend un aperçu des différentes activités qui ont été réalisées en 2015. Ces activités sont mises en relation avec les indicateurs communs figurant au point 2.3. </w:t>
      </w:r>
    </w:p>
    <w:p w14:paraId="728269F0" w14:textId="77777777" w:rsidR="00C954FE" w:rsidRPr="00DA0446" w:rsidRDefault="005B31F6" w:rsidP="00A3247B">
      <w:pPr>
        <w:pStyle w:val="Kop3"/>
        <w:numPr>
          <w:ilvl w:val="2"/>
          <w:numId w:val="2"/>
        </w:numPr>
        <w:spacing w:after="240" w:line="276" w:lineRule="auto"/>
      </w:pPr>
      <w:bookmarkStart w:id="11" w:name="_Toc422390650"/>
      <w:bookmarkStart w:id="12" w:name="_Toc454974428"/>
      <w:r w:rsidRPr="00DA0446">
        <w:t>P</w:t>
      </w:r>
      <w:r w:rsidR="0090351D" w:rsidRPr="00DA0446">
        <w:t>rivation matérielle</w:t>
      </w:r>
      <w:r w:rsidRPr="00DA0446">
        <w:t xml:space="preserve"> concernée</w:t>
      </w:r>
      <w:r w:rsidR="00C954FE" w:rsidRPr="00DA0446">
        <w:t xml:space="preserve">: </w:t>
      </w:r>
      <w:bookmarkEnd w:id="11"/>
      <w:r w:rsidR="0090351D" w:rsidRPr="00DA0446">
        <w:t>privation alimentaire</w:t>
      </w:r>
      <w:bookmarkEnd w:id="12"/>
    </w:p>
    <w:p w14:paraId="4C70787B" w14:textId="598228C5" w:rsidR="00351BE1" w:rsidRPr="00DA0446" w:rsidRDefault="002A17DF" w:rsidP="00A3247B">
      <w:r w:rsidRPr="00DA0446">
        <w:t>En 2015, c</w:t>
      </w:r>
      <w:r w:rsidR="00351BE1" w:rsidRPr="00DA0446">
        <w:t xml:space="preserve">omme prévu dans le Programme Opérationnel (PO), </w:t>
      </w:r>
      <w:r w:rsidR="00A779F6" w:rsidRPr="00DA0446">
        <w:t xml:space="preserve">des produits alimentaires ont été mis gratuitement à la disposition des CPAS et des organisations agréées afin qu’ils soient distribués gratuitement aux plus démunis en Belgique. </w:t>
      </w:r>
    </w:p>
    <w:p w14:paraId="10270C35" w14:textId="3E8A443F" w:rsidR="00A779F6" w:rsidRPr="00DA0446" w:rsidRDefault="00351BE1" w:rsidP="00A3247B">
      <w:r w:rsidRPr="00DA0446">
        <w:t>Nous décrivons ci-dessous la façon dont l</w:t>
      </w:r>
      <w:r w:rsidR="00A779F6" w:rsidRPr="00DA0446">
        <w:t xml:space="preserve">e système a </w:t>
      </w:r>
      <w:r w:rsidR="00630C42" w:rsidRPr="00DA0446">
        <w:t xml:space="preserve">été </w:t>
      </w:r>
      <w:r w:rsidR="00A779F6" w:rsidRPr="00DA0446">
        <w:t xml:space="preserve">mis </w:t>
      </w:r>
      <w:r w:rsidRPr="00DA0446">
        <w:t>en œuvre:</w:t>
      </w:r>
    </w:p>
    <w:p w14:paraId="450C1602" w14:textId="10B285BD" w:rsidR="00A779F6" w:rsidRPr="00DA0446" w:rsidRDefault="00A779F6" w:rsidP="00A3247B">
      <w:pPr>
        <w:numPr>
          <w:ilvl w:val="0"/>
          <w:numId w:val="11"/>
        </w:numPr>
        <w:tabs>
          <w:tab w:val="left" w:pos="720"/>
        </w:tabs>
        <w:spacing w:after="0"/>
      </w:pPr>
      <w:r w:rsidRPr="00DA0446">
        <w:rPr>
          <w:b/>
        </w:rPr>
        <w:t>Fin 2014</w:t>
      </w:r>
      <w:r w:rsidRPr="00DA0446">
        <w:t>: préparation de la liste des produits.</w:t>
      </w:r>
      <w:r w:rsidRPr="00DA0446">
        <w:tab/>
      </w:r>
      <w:r w:rsidRPr="00DA0446">
        <w:br/>
        <w:t>Le processus a déjà été décrit dans le rapport annuel de 2014 (</w:t>
      </w:r>
      <w:r w:rsidR="00351BE1" w:rsidRPr="00DA0446">
        <w:t xml:space="preserve">cf. </w:t>
      </w:r>
      <w:r w:rsidRPr="00DA0446">
        <w:t>point 2.2.3.).</w:t>
      </w:r>
    </w:p>
    <w:p w14:paraId="16C550EA" w14:textId="7DECD0E2" w:rsidR="00A779F6" w:rsidRPr="00DA0446" w:rsidRDefault="00A779F6" w:rsidP="00A3247B">
      <w:pPr>
        <w:tabs>
          <w:tab w:val="left" w:pos="720"/>
        </w:tabs>
        <w:spacing w:after="0"/>
        <w:ind w:left="720"/>
      </w:pPr>
      <w:r w:rsidRPr="00DA0446">
        <w:t xml:space="preserve">En novembre 2014, l’AG a entamé les préparatifs pour l’achat des denrées de 2015 </w:t>
      </w:r>
      <w:r w:rsidR="004D7530" w:rsidRPr="00DA0446">
        <w:t>en ce compris</w:t>
      </w:r>
      <w:r w:rsidRPr="00DA0446">
        <w:t xml:space="preserve"> l’adaptation </w:t>
      </w:r>
      <w:r w:rsidR="00630C42" w:rsidRPr="00DA0446">
        <w:t>d</w:t>
      </w:r>
      <w:r w:rsidRPr="00DA0446">
        <w:t>e la liste de produits pour l’année 2015.</w:t>
      </w:r>
      <w:r w:rsidR="002A17DF" w:rsidRPr="00DA0446">
        <w:t xml:space="preserve"> </w:t>
      </w:r>
      <w:r w:rsidR="00351BE1" w:rsidRPr="00DA0446">
        <w:t>Pour ce faire,</w:t>
      </w:r>
      <w:r w:rsidRPr="00DA0446">
        <w:t xml:space="preserve"> l’AG a tout </w:t>
      </w:r>
      <w:r w:rsidR="00351BE1" w:rsidRPr="00DA0446">
        <w:t>particulièrement</w:t>
      </w:r>
      <w:r w:rsidRPr="00DA0446">
        <w:t xml:space="preserve"> veillé à suivre les conseils de plusieurs experts en alimentation et en durabilité.</w:t>
      </w:r>
      <w:r w:rsidR="002A17DF" w:rsidRPr="00DA0446">
        <w:t xml:space="preserve"> </w:t>
      </w:r>
      <w:r w:rsidR="00351BE1" w:rsidRPr="00DA0446">
        <w:t xml:space="preserve">La liste </w:t>
      </w:r>
      <w:r w:rsidR="002A17DF" w:rsidRPr="00DA0446">
        <w:t>finale de</w:t>
      </w:r>
      <w:r w:rsidR="00351BE1" w:rsidRPr="00DA0446">
        <w:t xml:space="preserve"> produits </w:t>
      </w:r>
      <w:r w:rsidRPr="00DA0446">
        <w:t xml:space="preserve">2015, </w:t>
      </w:r>
      <w:r w:rsidR="00351BE1" w:rsidRPr="00DA0446">
        <w:t>comprenait</w:t>
      </w:r>
      <w:r w:rsidRPr="00DA0446">
        <w:t xml:space="preserve"> 15 produits. </w:t>
      </w:r>
    </w:p>
    <w:p w14:paraId="18715C00" w14:textId="77777777" w:rsidR="00351BE1" w:rsidRPr="00DA0446" w:rsidRDefault="00351BE1" w:rsidP="00A3247B">
      <w:pPr>
        <w:tabs>
          <w:tab w:val="left" w:pos="720"/>
        </w:tabs>
        <w:spacing w:after="0"/>
        <w:ind w:left="720"/>
      </w:pPr>
    </w:p>
    <w:p w14:paraId="412A595A" w14:textId="731A8AAA" w:rsidR="002A17DF" w:rsidRPr="00DA0446" w:rsidRDefault="00A779F6" w:rsidP="0096058B">
      <w:pPr>
        <w:numPr>
          <w:ilvl w:val="0"/>
          <w:numId w:val="11"/>
        </w:numPr>
        <w:tabs>
          <w:tab w:val="left" w:pos="720"/>
        </w:tabs>
        <w:spacing w:after="0"/>
      </w:pPr>
      <w:r w:rsidRPr="00DA0446">
        <w:rPr>
          <w:b/>
        </w:rPr>
        <w:t>Février – Mars 2015:</w:t>
      </w:r>
      <w:r w:rsidRPr="00DA0446">
        <w:t xml:space="preserve"> </w:t>
      </w:r>
      <w:r w:rsidR="002A17DF" w:rsidRPr="00DA0446">
        <w:t>l</w:t>
      </w:r>
      <w:r w:rsidRPr="00DA0446">
        <w:t xml:space="preserve">es CPAS et les organisations partenaires ont été invités à transmettre </w:t>
      </w:r>
      <w:r w:rsidR="00630C42" w:rsidRPr="00DA0446">
        <w:t>leur</w:t>
      </w:r>
      <w:r w:rsidRPr="00DA0446">
        <w:t xml:space="preserve"> commande de denrées alimentaires</w:t>
      </w:r>
      <w:r w:rsidR="002A17DF" w:rsidRPr="00DA0446">
        <w:t xml:space="preserve"> pour l’année 2015</w:t>
      </w:r>
      <w:r w:rsidRPr="00DA0446">
        <w:t>. Comme en 2014, cela s’est fait par voie électronique via le site Internet du SPP IS.</w:t>
      </w:r>
      <w:r w:rsidRPr="00DA0446">
        <w:tab/>
      </w:r>
      <w:r w:rsidRPr="00DA0446">
        <w:br/>
        <w:t xml:space="preserve">Pour certaines organisations, le fait </w:t>
      </w:r>
      <w:r w:rsidR="002A17DF" w:rsidRPr="00DA0446">
        <w:t xml:space="preserve">que le formulaire de commande soit un formulaire </w:t>
      </w:r>
      <w:r w:rsidR="002A17DF" w:rsidRPr="00DA0446">
        <w:lastRenderedPageBreak/>
        <w:t xml:space="preserve">électronique </w:t>
      </w:r>
      <w:r w:rsidR="00630C42" w:rsidRPr="00DA0446">
        <w:t>a posé quelques</w:t>
      </w:r>
      <w:r w:rsidRPr="00DA0446">
        <w:t xml:space="preserve"> problèmes. Ces organisations</w:t>
      </w:r>
      <w:r w:rsidR="002A17DF" w:rsidRPr="00DA0446">
        <w:t xml:space="preserve"> – minoritaires – </w:t>
      </w:r>
      <w:r w:rsidRPr="00DA0446">
        <w:t xml:space="preserve"> ont </w:t>
      </w:r>
      <w:r w:rsidR="002A17DF" w:rsidRPr="00DA0446">
        <w:t>alors reçu</w:t>
      </w:r>
      <w:r w:rsidRPr="00DA0446">
        <w:t xml:space="preserve"> une </w:t>
      </w:r>
      <w:r w:rsidR="003C5103" w:rsidRPr="00DA0446">
        <w:t>assistance</w:t>
      </w:r>
      <w:r w:rsidRPr="00DA0446">
        <w:t xml:space="preserve"> supplémentair</w:t>
      </w:r>
      <w:r w:rsidR="002A17DF" w:rsidRPr="00DA0446">
        <w:t>e</w:t>
      </w:r>
      <w:r w:rsidR="003C5103" w:rsidRPr="00DA0446">
        <w:t xml:space="preserve"> personnalisée</w:t>
      </w:r>
      <w:r w:rsidR="002A17DF" w:rsidRPr="00DA0446">
        <w:t xml:space="preserve"> pour introduire leur commande</w:t>
      </w:r>
      <w:r w:rsidRPr="00DA0446">
        <w:t xml:space="preserve">. </w:t>
      </w:r>
    </w:p>
    <w:p w14:paraId="135A2858" w14:textId="35F414DD" w:rsidR="002A17DF" w:rsidRPr="00DA0446" w:rsidRDefault="00A779F6" w:rsidP="00A3247B">
      <w:pPr>
        <w:tabs>
          <w:tab w:val="left" w:pos="720"/>
        </w:tabs>
        <w:spacing w:after="0"/>
        <w:ind w:left="720"/>
      </w:pPr>
      <w:r w:rsidRPr="00DA0446">
        <w:t xml:space="preserve">L’AG </w:t>
      </w:r>
      <w:r w:rsidR="002A17DF" w:rsidRPr="00DA0446">
        <w:t>a pu</w:t>
      </w:r>
      <w:r w:rsidRPr="00DA0446">
        <w:t xml:space="preserve"> </w:t>
      </w:r>
      <w:r w:rsidR="002A17DF" w:rsidRPr="00DA0446">
        <w:t>également compter</w:t>
      </w:r>
      <w:r w:rsidRPr="00DA0446">
        <w:t xml:space="preserve"> sur le soutien des</w:t>
      </w:r>
      <w:r w:rsidR="002A17DF" w:rsidRPr="00DA0446">
        <w:t xml:space="preserve"> banques alimentaires qui, chaque année, aident</w:t>
      </w:r>
      <w:r w:rsidRPr="00DA0446">
        <w:t xml:space="preserve"> les organisations partenaires</w:t>
      </w:r>
      <w:r w:rsidR="002A17DF" w:rsidRPr="00DA0446">
        <w:t xml:space="preserve"> qui ont des difficultés (ou qui n’ont pas de connexion internet) à </w:t>
      </w:r>
      <w:r w:rsidRPr="00DA0446">
        <w:t xml:space="preserve">introduire leur commande via le site web du SPP IS. </w:t>
      </w:r>
    </w:p>
    <w:p w14:paraId="2A2ACB92" w14:textId="49A321CC" w:rsidR="002A17DF" w:rsidRPr="00DA0446" w:rsidRDefault="002A17DF" w:rsidP="00A3247B">
      <w:pPr>
        <w:tabs>
          <w:tab w:val="left" w:pos="720"/>
        </w:tabs>
        <w:spacing w:after="0"/>
        <w:ind w:left="720"/>
      </w:pPr>
      <w:r w:rsidRPr="00DA0446">
        <w:t>Simultanément</w:t>
      </w:r>
      <w:r w:rsidR="00A779F6" w:rsidRPr="00DA0446">
        <w:t xml:space="preserve"> aux bons de commande, le «Règlement 2015» a été publié, avec les conditions à satisfaire pour </w:t>
      </w:r>
      <w:r w:rsidRPr="00DA0446">
        <w:t>obtenir</w:t>
      </w:r>
      <w:r w:rsidR="00A779F6" w:rsidRPr="00DA0446">
        <w:t xml:space="preserve"> l'aide. Ce règlement a été </w:t>
      </w:r>
      <w:r w:rsidRPr="00DA0446">
        <w:t>publié</w:t>
      </w:r>
      <w:r w:rsidR="00A779F6" w:rsidRPr="00DA0446">
        <w:t xml:space="preserve"> sur le site Internet du SPP IS, via ce lien : </w:t>
      </w:r>
      <w:hyperlink r:id="rId10" w:history="1">
        <w:r w:rsidR="00A779F6" w:rsidRPr="00DA0446">
          <w:t>http://www.mi-is.be/sites/default/files/documents/fead_-_reglement_2015_fr_-_2_0.docx</w:t>
        </w:r>
      </w:hyperlink>
      <w:r w:rsidR="00A779F6" w:rsidRPr="00DA0446">
        <w:t xml:space="preserve"> </w:t>
      </w:r>
    </w:p>
    <w:p w14:paraId="53D77951" w14:textId="420C7605" w:rsidR="00A779F6" w:rsidRPr="00DA0446" w:rsidRDefault="00A779F6" w:rsidP="00A3247B">
      <w:pPr>
        <w:tabs>
          <w:tab w:val="left" w:pos="720"/>
        </w:tabs>
        <w:spacing w:after="0"/>
        <w:ind w:left="720"/>
      </w:pPr>
      <w:r w:rsidRPr="00DA0446">
        <w:t>En passant une commande, l'organisation concernée s'engage à respecter le règlement en vigueur.</w:t>
      </w:r>
      <w:r w:rsidRPr="00DA0446">
        <w:tab/>
      </w:r>
      <w:r w:rsidRPr="00DA0446">
        <w:br/>
        <w:t xml:space="preserve">Au total, </w:t>
      </w:r>
      <w:r w:rsidRPr="00DA0446">
        <w:rPr>
          <w:b/>
        </w:rPr>
        <w:t xml:space="preserve">760 </w:t>
      </w:r>
      <w:r w:rsidRPr="00DA0446">
        <w:t xml:space="preserve">CPAS / organisations partenaires agréées ont passé commande. </w:t>
      </w:r>
    </w:p>
    <w:p w14:paraId="73187E8C" w14:textId="77777777" w:rsidR="002A17DF" w:rsidRPr="00DA0446" w:rsidRDefault="002A17DF" w:rsidP="00A3247B">
      <w:pPr>
        <w:tabs>
          <w:tab w:val="left" w:pos="720"/>
        </w:tabs>
        <w:spacing w:after="0"/>
        <w:ind w:left="720"/>
      </w:pPr>
    </w:p>
    <w:p w14:paraId="0C55F078" w14:textId="75E04F92" w:rsidR="00A779F6" w:rsidRPr="00DA0446" w:rsidRDefault="00A779F6" w:rsidP="00A3247B">
      <w:pPr>
        <w:pStyle w:val="Lijstalinea"/>
        <w:numPr>
          <w:ilvl w:val="0"/>
          <w:numId w:val="11"/>
        </w:numPr>
        <w:tabs>
          <w:tab w:val="left" w:pos="720"/>
        </w:tabs>
      </w:pPr>
      <w:r w:rsidRPr="00DA0446">
        <w:rPr>
          <w:b/>
        </w:rPr>
        <w:t xml:space="preserve">Mars 2015: </w:t>
      </w:r>
      <w:r w:rsidRPr="00DA0446">
        <w:t xml:space="preserve">L'autorité de gestion (AG – service FSE/ Activation du SPP IS responsable de la gestion du FEAD) engage la procédure pour acheter les </w:t>
      </w:r>
      <w:r w:rsidR="002161BA" w:rsidRPr="00DA0446">
        <w:t>denrées</w:t>
      </w:r>
      <w:r w:rsidRPr="00DA0446">
        <w:t xml:space="preserve"> alimentaires pour l'année 2015 via un appel d'offres ouvert européen. Cet appel d'offres a été lancé en collaboration avec le service Marchés publics et Subsides du SPP IS en date du 20 mars 2015 pour un montant de </w:t>
      </w:r>
      <w:r w:rsidR="00C24955" w:rsidRPr="00DA0446">
        <w:rPr>
          <w:b/>
        </w:rPr>
        <w:t>12.817.520,00</w:t>
      </w:r>
      <w:r w:rsidR="00316C21" w:rsidRPr="00DA0446">
        <w:rPr>
          <w:b/>
        </w:rPr>
        <w:t xml:space="preserve"> </w:t>
      </w:r>
      <w:r w:rsidRPr="00DA0446">
        <w:rPr>
          <w:b/>
        </w:rPr>
        <w:t xml:space="preserve">euros </w:t>
      </w:r>
      <w:r w:rsidRPr="00DA0446">
        <w:t xml:space="preserve">(TVA </w:t>
      </w:r>
      <w:r w:rsidR="00316C21" w:rsidRPr="00DA0446">
        <w:t>comprise</w:t>
      </w:r>
      <w:r w:rsidRPr="00DA0446">
        <w:t>)</w:t>
      </w:r>
      <w:r w:rsidRPr="00DA0446">
        <w:rPr>
          <w:b/>
        </w:rPr>
        <w:t xml:space="preserve">. </w:t>
      </w:r>
      <w:r w:rsidR="005D4117" w:rsidRPr="00DA0446">
        <w:t>Voir également le point 2.1.4</w:t>
      </w:r>
      <w:r w:rsidRPr="00DA0446">
        <w:t xml:space="preserve">.1. relatif à l'achat des denrées alimentaires. </w:t>
      </w:r>
    </w:p>
    <w:p w14:paraId="12545FA9" w14:textId="77777777" w:rsidR="002A17DF" w:rsidRPr="00DA0446" w:rsidRDefault="002A17DF" w:rsidP="002A17DF">
      <w:pPr>
        <w:pStyle w:val="Lijstalinea"/>
        <w:tabs>
          <w:tab w:val="left" w:pos="720"/>
        </w:tabs>
      </w:pPr>
    </w:p>
    <w:p w14:paraId="57F6EF7A" w14:textId="658DFC2D" w:rsidR="00A779F6" w:rsidRPr="00DA0446" w:rsidRDefault="00A779F6" w:rsidP="00A3247B">
      <w:pPr>
        <w:pStyle w:val="Lijstalinea"/>
        <w:numPr>
          <w:ilvl w:val="0"/>
          <w:numId w:val="11"/>
        </w:numPr>
        <w:tabs>
          <w:tab w:val="left" w:pos="720"/>
        </w:tabs>
        <w:spacing w:before="240" w:after="0"/>
        <w:rPr>
          <w:b/>
        </w:rPr>
      </w:pPr>
      <w:r w:rsidRPr="00DA0446">
        <w:rPr>
          <w:b/>
        </w:rPr>
        <w:t>Juin – Juillet 2015:</w:t>
      </w:r>
      <w:r w:rsidRPr="00DA0446">
        <w:t xml:space="preserve"> Les produits alimentaires disponibles</w:t>
      </w:r>
      <w:r w:rsidR="002161BA" w:rsidRPr="00DA0446">
        <w:t xml:space="preserve"> suite à l’appel d’offre</w:t>
      </w:r>
      <w:r w:rsidRPr="00DA0446">
        <w:t xml:space="preserve"> ont été répartis en fonction, d'une part</w:t>
      </w:r>
      <w:r w:rsidR="002161BA" w:rsidRPr="00DA0446">
        <w:t>,</w:t>
      </w:r>
      <w:r w:rsidRPr="00DA0446">
        <w:t xml:space="preserve"> des commandes et des quantités disponibles et, d'autre part, d'un plafond communal établi sur la base du nombre de bénéficiaires de RIS par commune concernée. </w:t>
      </w:r>
    </w:p>
    <w:p w14:paraId="374E0AE4" w14:textId="30B56548" w:rsidR="00A779F6" w:rsidRPr="00DA0446" w:rsidRDefault="00630C42" w:rsidP="00A3247B">
      <w:pPr>
        <w:pStyle w:val="Lijstalinea"/>
        <w:tabs>
          <w:tab w:val="left" w:pos="720"/>
        </w:tabs>
        <w:spacing w:before="240" w:after="0"/>
      </w:pPr>
      <w:r w:rsidRPr="00DA0446">
        <w:t>Une clé de répartition a été appliqué</w:t>
      </w:r>
      <w:r w:rsidR="00187396" w:rsidRPr="00DA0446">
        <w:t>e</w:t>
      </w:r>
      <w:r w:rsidRPr="00DA0446">
        <w:t>:</w:t>
      </w:r>
      <w:r w:rsidR="00A779F6" w:rsidRPr="00DA0446">
        <w:t xml:space="preserve"> le plafond communal établi sur </w:t>
      </w:r>
      <w:r w:rsidR="00320F94" w:rsidRPr="00DA0446">
        <w:t xml:space="preserve">la </w:t>
      </w:r>
      <w:r w:rsidR="00A779F6" w:rsidRPr="00DA0446">
        <w:t>ba</w:t>
      </w:r>
      <w:r w:rsidRPr="00DA0446">
        <w:t>se du nombre de bénéficiaires du</w:t>
      </w:r>
      <w:r w:rsidR="00A779F6" w:rsidRPr="00DA0446">
        <w:t xml:space="preserve"> RIS, a</w:t>
      </w:r>
      <w:r w:rsidR="00320F94" w:rsidRPr="00DA0446">
        <w:t xml:space="preserve"> été</w:t>
      </w:r>
      <w:r w:rsidR="00A779F6" w:rsidRPr="00DA0446">
        <w:t xml:space="preserve"> légèrement adapté afin de respecter la clé de répartition convenu</w:t>
      </w:r>
      <w:r w:rsidRPr="00DA0446">
        <w:t>e</w:t>
      </w:r>
      <w:r w:rsidR="00A779F6" w:rsidRPr="00DA0446">
        <w:t xml:space="preserve"> entre le fédéral et les régions dans le cadre du FEAD.</w:t>
      </w:r>
      <w:r w:rsidR="00A779F6" w:rsidRPr="00DA0446">
        <w:rPr>
          <w:b/>
        </w:rPr>
        <w:t xml:space="preserve"> </w:t>
      </w:r>
      <w:r w:rsidR="00A779F6" w:rsidRPr="00DA0446">
        <w:t>Cette clé de répartition est la suivante:</w:t>
      </w:r>
    </w:p>
    <w:p w14:paraId="48049210" w14:textId="77777777" w:rsidR="00A779F6" w:rsidRPr="00DA0446" w:rsidRDefault="00A779F6" w:rsidP="00A3247B">
      <w:pPr>
        <w:pStyle w:val="Lijstalinea"/>
        <w:numPr>
          <w:ilvl w:val="1"/>
          <w:numId w:val="11"/>
        </w:numPr>
        <w:tabs>
          <w:tab w:val="left" w:pos="720"/>
        </w:tabs>
        <w:spacing w:before="240" w:after="0"/>
        <w:rPr>
          <w:b/>
        </w:rPr>
      </w:pPr>
      <w:r w:rsidRPr="00DA0446">
        <w:t xml:space="preserve">Région Bruxelloise: </w:t>
      </w:r>
      <w:r w:rsidRPr="00DA0446">
        <w:tab/>
        <w:t>23,18%</w:t>
      </w:r>
    </w:p>
    <w:p w14:paraId="7264435B" w14:textId="77777777" w:rsidR="00A779F6" w:rsidRPr="00DA0446" w:rsidRDefault="00A779F6" w:rsidP="00A3247B">
      <w:pPr>
        <w:pStyle w:val="Lijstalinea"/>
        <w:numPr>
          <w:ilvl w:val="1"/>
          <w:numId w:val="11"/>
        </w:numPr>
        <w:tabs>
          <w:tab w:val="left" w:pos="720"/>
        </w:tabs>
        <w:spacing w:before="240" w:after="0"/>
        <w:rPr>
          <w:b/>
        </w:rPr>
      </w:pPr>
      <w:r w:rsidRPr="00DA0446">
        <w:t>Région Flamand:</w:t>
      </w:r>
      <w:r w:rsidRPr="00DA0446">
        <w:tab/>
        <w:t>23,24%</w:t>
      </w:r>
    </w:p>
    <w:p w14:paraId="0B78E835" w14:textId="77777777" w:rsidR="00A779F6" w:rsidRPr="00DA0446" w:rsidRDefault="00A779F6" w:rsidP="00A3247B">
      <w:pPr>
        <w:pStyle w:val="Lijstalinea"/>
        <w:numPr>
          <w:ilvl w:val="1"/>
          <w:numId w:val="11"/>
        </w:numPr>
        <w:tabs>
          <w:tab w:val="left" w:pos="720"/>
        </w:tabs>
        <w:spacing w:before="240" w:after="0"/>
        <w:rPr>
          <w:b/>
        </w:rPr>
      </w:pPr>
      <w:r w:rsidRPr="00DA0446">
        <w:t>Région Wallonne:</w:t>
      </w:r>
      <w:r w:rsidRPr="00DA0446">
        <w:tab/>
        <w:t>53,57%</w:t>
      </w:r>
    </w:p>
    <w:p w14:paraId="13103845" w14:textId="77777777" w:rsidR="002161BA" w:rsidRPr="00DA0446" w:rsidRDefault="002161BA" w:rsidP="002161BA">
      <w:pPr>
        <w:pStyle w:val="Lijstalinea"/>
        <w:tabs>
          <w:tab w:val="left" w:pos="720"/>
        </w:tabs>
        <w:spacing w:before="240" w:after="0"/>
        <w:ind w:left="1440"/>
        <w:rPr>
          <w:b/>
        </w:rPr>
      </w:pPr>
    </w:p>
    <w:p w14:paraId="3870ED54" w14:textId="593766F4" w:rsidR="00A779F6" w:rsidRPr="00DA0446" w:rsidRDefault="00A779F6" w:rsidP="00A3247B">
      <w:pPr>
        <w:pStyle w:val="Lijstalinea"/>
        <w:numPr>
          <w:ilvl w:val="0"/>
          <w:numId w:val="11"/>
        </w:numPr>
        <w:tabs>
          <w:tab w:val="left" w:pos="720"/>
        </w:tabs>
        <w:spacing w:before="240" w:after="0"/>
        <w:rPr>
          <w:b/>
        </w:rPr>
      </w:pPr>
      <w:r w:rsidRPr="00DA0446">
        <w:rPr>
          <w:b/>
        </w:rPr>
        <w:t xml:space="preserve">Septembre 2015: </w:t>
      </w:r>
      <w:r w:rsidRPr="00DA0446">
        <w:t>Début des livraisons. Les produits alimentaires ont été livrés aux organisations partenaires</w:t>
      </w:r>
      <w:r w:rsidR="002161BA" w:rsidRPr="00DA0446">
        <w:t xml:space="preserve"> agréées</w:t>
      </w:r>
      <w:r w:rsidRPr="00DA0446">
        <w:t xml:space="preserve">. </w:t>
      </w:r>
    </w:p>
    <w:p w14:paraId="704B7473" w14:textId="77777777" w:rsidR="002161BA" w:rsidRPr="00DA0446" w:rsidRDefault="002161BA" w:rsidP="002161BA">
      <w:pPr>
        <w:pStyle w:val="Lijstalinea"/>
        <w:tabs>
          <w:tab w:val="left" w:pos="720"/>
        </w:tabs>
        <w:spacing w:before="240" w:after="0"/>
        <w:rPr>
          <w:b/>
        </w:rPr>
      </w:pPr>
    </w:p>
    <w:p w14:paraId="5F4D9292" w14:textId="781F44B4" w:rsidR="00A779F6" w:rsidRPr="00DA0446" w:rsidRDefault="00A779F6" w:rsidP="00A3247B">
      <w:pPr>
        <w:pStyle w:val="Lijstalinea"/>
        <w:numPr>
          <w:ilvl w:val="0"/>
          <w:numId w:val="11"/>
        </w:numPr>
        <w:tabs>
          <w:tab w:val="left" w:pos="720"/>
        </w:tabs>
        <w:spacing w:before="240" w:after="0"/>
      </w:pPr>
      <w:r w:rsidRPr="00DA0446">
        <w:rPr>
          <w:b/>
        </w:rPr>
        <w:t xml:space="preserve">Septembre – octobre 2015: </w:t>
      </w:r>
      <w:r w:rsidRPr="00DA0446">
        <w:t>Début de la distribution aux plus démunis.</w:t>
      </w:r>
      <w:r w:rsidRPr="00DA0446">
        <w:tab/>
      </w:r>
      <w:r w:rsidRPr="00DA0446">
        <w:br/>
        <w:t xml:space="preserve">La distribution </w:t>
      </w:r>
      <w:r w:rsidR="002161BA" w:rsidRPr="00DA0446">
        <w:t>se fait</w:t>
      </w:r>
      <w:r w:rsidRPr="00DA0446">
        <w:t xml:space="preserve"> sous forme de colis alimentaires ou de repas,</w:t>
      </w:r>
      <w:r w:rsidR="002161BA" w:rsidRPr="00DA0446">
        <w:t xml:space="preserve"> généralement</w:t>
      </w:r>
      <w:r w:rsidRPr="00DA0446">
        <w:t xml:space="preserve"> dans les locaux des organisations partenaire</w:t>
      </w:r>
      <w:r w:rsidR="005D4117" w:rsidRPr="00DA0446">
        <w:t>s. Voir également le point 2.1.4</w:t>
      </w:r>
      <w:r w:rsidRPr="00DA0446">
        <w:t>.2. relatif à la distribution des produits alimentaires.</w:t>
      </w:r>
    </w:p>
    <w:p w14:paraId="40ABFC5C" w14:textId="35F86DA0" w:rsidR="00EC0AED" w:rsidRPr="00DA0446" w:rsidRDefault="00320F94" w:rsidP="00A3247B">
      <w:pPr>
        <w:tabs>
          <w:tab w:val="left" w:pos="720"/>
        </w:tabs>
        <w:spacing w:before="240" w:after="0"/>
      </w:pPr>
      <w:r w:rsidRPr="00DA0446">
        <w:t>Tous les produits livrés en 2014 aux CPAS et organisations partenaires agréées n’ont pas pu être totalement distribués aux plus démunis au cours de l’année 2014. Par conséquent, l</w:t>
      </w:r>
      <w:r w:rsidR="00A779F6" w:rsidRPr="00DA0446">
        <w:t xml:space="preserve">es  CPAS et organisations partenaires ont continué la distribution de ces produits en 2015. </w:t>
      </w:r>
    </w:p>
    <w:p w14:paraId="629B9730" w14:textId="39FB3D78" w:rsidR="005D4117" w:rsidRPr="00DA0446" w:rsidRDefault="00A779F6" w:rsidP="00A3247B">
      <w:pPr>
        <w:tabs>
          <w:tab w:val="left" w:pos="720"/>
        </w:tabs>
        <w:spacing w:before="240" w:after="0"/>
      </w:pPr>
      <w:r w:rsidRPr="00DA0446">
        <w:lastRenderedPageBreak/>
        <w:t xml:space="preserve">En 2015 ont </w:t>
      </w:r>
      <w:r w:rsidR="00320F94" w:rsidRPr="00DA0446">
        <w:t xml:space="preserve">dès lors </w:t>
      </w:r>
      <w:r w:rsidRPr="00DA0446">
        <w:t>été distribué</w:t>
      </w:r>
      <w:r w:rsidR="00630C42" w:rsidRPr="00DA0446">
        <w:t>s</w:t>
      </w:r>
      <w:r w:rsidRPr="00DA0446">
        <w:t xml:space="preserve"> aux plus démunis des produits achetés par l’AG en 2014</w:t>
      </w:r>
      <w:r w:rsidR="003B28E9" w:rsidRPr="00DA0446">
        <w:t xml:space="preserve"> (appel à </w:t>
      </w:r>
      <w:proofErr w:type="spellStart"/>
      <w:r w:rsidR="003B28E9" w:rsidRPr="00DA0446">
        <w:t>marché</w:t>
      </w:r>
      <w:proofErr w:type="spellEnd"/>
      <w:r w:rsidR="003B28E9" w:rsidRPr="00DA0446">
        <w:t xml:space="preserve"> 2014)</w:t>
      </w:r>
      <w:r w:rsidRPr="00DA0446">
        <w:t xml:space="preserve"> et des produits achetés par l’AG en 2015</w:t>
      </w:r>
      <w:r w:rsidR="003B28E9" w:rsidRPr="00DA0446">
        <w:t xml:space="preserve"> (appel à </w:t>
      </w:r>
      <w:proofErr w:type="spellStart"/>
      <w:r w:rsidR="003B28E9" w:rsidRPr="00DA0446">
        <w:t>marché</w:t>
      </w:r>
      <w:proofErr w:type="spellEnd"/>
      <w:r w:rsidR="003B28E9" w:rsidRPr="00DA0446">
        <w:t xml:space="preserve"> 2015)</w:t>
      </w:r>
      <w:r w:rsidRPr="00DA0446">
        <w:t>.</w:t>
      </w:r>
    </w:p>
    <w:p w14:paraId="25D774E0" w14:textId="77777777" w:rsidR="0035767E" w:rsidRPr="00DA0446" w:rsidRDefault="0035767E" w:rsidP="00A3247B">
      <w:pPr>
        <w:pStyle w:val="Kop3"/>
        <w:numPr>
          <w:ilvl w:val="2"/>
          <w:numId w:val="2"/>
        </w:numPr>
        <w:spacing w:after="240" w:line="276" w:lineRule="auto"/>
      </w:pPr>
      <w:bookmarkStart w:id="13" w:name="_Toc422390651"/>
      <w:bookmarkStart w:id="14" w:name="_Toc454974429"/>
      <w:r w:rsidRPr="00DA0446">
        <w:t>Identification des personnes les plus démunies</w:t>
      </w:r>
      <w:bookmarkEnd w:id="13"/>
      <w:bookmarkEnd w:id="14"/>
    </w:p>
    <w:p w14:paraId="55AB8B51" w14:textId="77777777" w:rsidR="000C7B32" w:rsidRPr="00DA0446" w:rsidRDefault="000C7B32" w:rsidP="00A3247B">
      <w:pPr>
        <w:pStyle w:val="Kop4"/>
        <w:numPr>
          <w:ilvl w:val="3"/>
          <w:numId w:val="2"/>
        </w:numPr>
        <w:spacing w:after="240" w:line="276" w:lineRule="auto"/>
      </w:pPr>
      <w:r w:rsidRPr="00DA0446">
        <w:t>Généralités</w:t>
      </w:r>
    </w:p>
    <w:p w14:paraId="310C8961" w14:textId="77777777" w:rsidR="00D21DAB" w:rsidRPr="00DA0446" w:rsidRDefault="006805DD" w:rsidP="00A3247B">
      <w:pPr>
        <w:autoSpaceDE w:val="0"/>
        <w:autoSpaceDN w:val="0"/>
        <w:adjustRightInd w:val="0"/>
        <w:spacing w:after="0"/>
      </w:pPr>
      <w:r w:rsidRPr="00DA0446">
        <w:t>Le système permettant l’identification des bénéficiaires que le BIRB avait mis en place a été repris intégralement durant l’année de transition (2014)</w:t>
      </w:r>
      <w:r w:rsidR="009A34EC" w:rsidRPr="00DA0446">
        <w:t xml:space="preserve"> – dans un souci de continuité</w:t>
      </w:r>
      <w:r w:rsidRPr="00DA0446">
        <w:t xml:space="preserve">. </w:t>
      </w:r>
      <w:r w:rsidR="009A34EC" w:rsidRPr="00DA0446">
        <w:t xml:space="preserve">Pour rappel, en 2014, </w:t>
      </w:r>
      <w:r w:rsidR="00D21DAB" w:rsidRPr="00DA0446">
        <w:t xml:space="preserve">six catégories de bénéficiaires </w:t>
      </w:r>
      <w:r w:rsidR="002A3D1E" w:rsidRPr="00DA0446">
        <w:t>avaient été identifiées</w:t>
      </w:r>
      <w:r w:rsidR="009A34EC" w:rsidRPr="00DA0446">
        <w:t xml:space="preserve">: </w:t>
      </w:r>
      <w:r w:rsidR="00D21DAB" w:rsidRPr="00DA0446">
        <w:t>les personnes et membres de leurs familles bénéfi</w:t>
      </w:r>
      <w:r w:rsidR="002A3D1E" w:rsidRPr="00DA0446">
        <w:t>ciant d'un revenu d'intégration</w:t>
      </w:r>
      <w:r w:rsidR="00D21DAB" w:rsidRPr="00DA0446">
        <w:t>; les personnes sans domicile fixe (SDF); les personnes sans papiers; les personnes en séjour illégal; les réfugiés; les personnes vivant sous le seuil de pauvreté.</w:t>
      </w:r>
    </w:p>
    <w:p w14:paraId="48FF17BE" w14:textId="77777777" w:rsidR="000D120C" w:rsidRPr="00DA0446" w:rsidRDefault="000D120C" w:rsidP="00A3247B">
      <w:pPr>
        <w:autoSpaceDE w:val="0"/>
        <w:autoSpaceDN w:val="0"/>
        <w:adjustRightInd w:val="0"/>
        <w:spacing w:after="0"/>
      </w:pPr>
    </w:p>
    <w:p w14:paraId="7D3EB521" w14:textId="0CCDAA6D" w:rsidR="000D120C" w:rsidRPr="00DA0446" w:rsidRDefault="00D21DAB" w:rsidP="00A3247B">
      <w:pPr>
        <w:autoSpaceDE w:val="0"/>
        <w:autoSpaceDN w:val="0"/>
        <w:adjustRightInd w:val="0"/>
        <w:spacing w:after="0"/>
      </w:pPr>
      <w:r w:rsidRPr="00DA0446">
        <w:t xml:space="preserve">En 2015, ces six catégories </w:t>
      </w:r>
      <w:r w:rsidR="00320F94" w:rsidRPr="00DA0446">
        <w:t>ont été réunies</w:t>
      </w:r>
      <w:r w:rsidRPr="00DA0446">
        <w:t xml:space="preserve"> pour n</w:t>
      </w:r>
      <w:r w:rsidR="000D120C" w:rsidRPr="00DA0446">
        <w:t>e</w:t>
      </w:r>
      <w:r w:rsidR="00C87271" w:rsidRPr="00DA0446">
        <w:t xml:space="preserve"> former plus qu’une seule </w:t>
      </w:r>
      <w:r w:rsidR="00187396" w:rsidRPr="00DA0446">
        <w:t>et même catégorie</w:t>
      </w:r>
      <w:r w:rsidR="00E95116" w:rsidRPr="00DA0446">
        <w:t xml:space="preserve">: toute personne vivant sous le seuil de pauvreté </w:t>
      </w:r>
      <w:r w:rsidR="000D120C" w:rsidRPr="00DA0446">
        <w:t xml:space="preserve">(indicateur AROP – voir : </w:t>
      </w:r>
      <w:hyperlink r:id="rId11" w:history="1">
        <w:r w:rsidR="005B1999" w:rsidRPr="00DA0446">
          <w:t>http://statbel.fgov.be/fr/binaries/Publication_Silc_FR_04NOV14_tcm326-257352.xls</w:t>
        </w:r>
      </w:hyperlink>
    </w:p>
    <w:p w14:paraId="69B79C69" w14:textId="429F4259" w:rsidR="000D120C" w:rsidRPr="00DA0446" w:rsidRDefault="00187396" w:rsidP="00A3247B">
      <w:pPr>
        <w:autoSpaceDE w:val="0"/>
        <w:autoSpaceDN w:val="0"/>
        <w:adjustRightInd w:val="0"/>
        <w:spacing w:after="0"/>
      </w:pPr>
      <w:r w:rsidRPr="00DA0446">
        <w:t>- onglet seuil de pauvreté).</w:t>
      </w:r>
    </w:p>
    <w:p w14:paraId="7BD201E2" w14:textId="44339107" w:rsidR="00187396" w:rsidRPr="00DA0446" w:rsidRDefault="00187396" w:rsidP="00A3247B">
      <w:pPr>
        <w:autoSpaceDE w:val="0"/>
        <w:autoSpaceDN w:val="0"/>
        <w:adjustRightInd w:val="0"/>
        <w:spacing w:after="0"/>
      </w:pPr>
      <w:r w:rsidRPr="00DA0446">
        <w:t>Cette catégorie a été retenu</w:t>
      </w:r>
      <w:r w:rsidR="00E43659" w:rsidRPr="00DA0446">
        <w:t>e</w:t>
      </w:r>
      <w:r w:rsidRPr="00DA0446">
        <w:t xml:space="preserve"> parce qu’elle est  simple, objecti</w:t>
      </w:r>
      <w:r w:rsidR="00E43659" w:rsidRPr="00DA0446">
        <w:t>ve et inclusive</w:t>
      </w:r>
      <w:r w:rsidR="004569A1" w:rsidRPr="00DA0446">
        <w:t> : c</w:t>
      </w:r>
      <w:r w:rsidRPr="00DA0446">
        <w:t>haque type de bénéficiaire se retrouve dans cette catégorie</w:t>
      </w:r>
      <w:r w:rsidR="0062494A" w:rsidRPr="00DA0446">
        <w:t xml:space="preserve"> – </w:t>
      </w:r>
      <w:r w:rsidRPr="00DA0446">
        <w:t xml:space="preserve">sans-abri, réfugiés, </w:t>
      </w:r>
      <w:r w:rsidR="004569A1" w:rsidRPr="00DA0446">
        <w:t xml:space="preserve">sans papier, </w:t>
      </w:r>
      <w:r w:rsidR="00E43659" w:rsidRPr="00DA0446">
        <w:t>etc.</w:t>
      </w:r>
    </w:p>
    <w:p w14:paraId="1AD7C1FA" w14:textId="77777777" w:rsidR="004569A1" w:rsidRPr="00DA0446" w:rsidRDefault="004569A1" w:rsidP="003C5103">
      <w:pPr>
        <w:autoSpaceDE w:val="0"/>
        <w:autoSpaceDN w:val="0"/>
        <w:adjustRightInd w:val="0"/>
        <w:spacing w:after="0"/>
      </w:pPr>
    </w:p>
    <w:p w14:paraId="7010A892" w14:textId="493B6AC8" w:rsidR="003C5103" w:rsidRPr="00DA0446" w:rsidRDefault="00276C65" w:rsidP="003C5103">
      <w:pPr>
        <w:autoSpaceDE w:val="0"/>
        <w:autoSpaceDN w:val="0"/>
        <w:adjustRightInd w:val="0"/>
        <w:spacing w:after="0"/>
      </w:pPr>
      <w:r w:rsidRPr="00DA0446">
        <w:t>Il est à noter qu’il existe une exception à ce principe</w:t>
      </w:r>
      <w:r w:rsidR="004569A1" w:rsidRPr="00DA0446">
        <w:t> :</w:t>
      </w:r>
      <w:r w:rsidR="003C5103" w:rsidRPr="00DA0446">
        <w:t xml:space="preserve"> les personnes prises en charge par une initiative locale d’accueil (ILA) ne peuvent</w:t>
      </w:r>
      <w:r w:rsidR="004569A1" w:rsidRPr="00DA0446">
        <w:t xml:space="preserve"> pas</w:t>
      </w:r>
      <w:r w:rsidR="0019564F" w:rsidRPr="00DA0446">
        <w:t xml:space="preserve"> </w:t>
      </w:r>
      <w:r w:rsidR="003C5103" w:rsidRPr="00DA0446">
        <w:t xml:space="preserve">recevoir de produits FEAD. En effet, dans le cadre d’une initiative locale d’accueil (ILA), </w:t>
      </w:r>
      <w:r w:rsidR="004569A1" w:rsidRPr="00DA0446">
        <w:t>le</w:t>
      </w:r>
      <w:r w:rsidR="003C5103" w:rsidRPr="00DA0446">
        <w:t xml:space="preserve"> CPAS</w:t>
      </w:r>
      <w:r w:rsidR="004569A1" w:rsidRPr="00DA0446">
        <w:t xml:space="preserve"> a pour responsabilité</w:t>
      </w:r>
      <w:r w:rsidR="003C5103" w:rsidRPr="00DA0446">
        <w:t xml:space="preserve"> de pourvoir aux besoins matériels (y compris alimentaires)</w:t>
      </w:r>
      <w:r w:rsidR="004569A1" w:rsidRPr="00DA0446">
        <w:t xml:space="preserve"> des personnes concernées</w:t>
      </w:r>
      <w:r w:rsidR="003C5103" w:rsidRPr="00DA0446">
        <w:t xml:space="preserve">. </w:t>
      </w:r>
      <w:r w:rsidRPr="00DA0446">
        <w:t xml:space="preserve">Le CPAS reçoit des moyens financiers </w:t>
      </w:r>
      <w:r w:rsidR="00E43659" w:rsidRPr="00DA0446">
        <w:t>pour venir en aide aux personnes bénéficiant d’une ILA. A</w:t>
      </w:r>
      <w:r w:rsidRPr="00DA0446">
        <w:t xml:space="preserve">fin d’éviter </w:t>
      </w:r>
      <w:r w:rsidR="00E43659" w:rsidRPr="00DA0446">
        <w:t>un risque de</w:t>
      </w:r>
      <w:r w:rsidRPr="00DA0446">
        <w:t xml:space="preserve"> double financement, les personnes en ILA ne peuvent </w:t>
      </w:r>
      <w:r w:rsidR="004569A1" w:rsidRPr="00DA0446">
        <w:t xml:space="preserve">donc </w:t>
      </w:r>
      <w:r w:rsidRPr="00DA0446">
        <w:t xml:space="preserve">pas recevoir de produits FEAD. </w:t>
      </w:r>
    </w:p>
    <w:p w14:paraId="449F3720" w14:textId="77777777" w:rsidR="003C5103" w:rsidRPr="00DA0446" w:rsidRDefault="003C5103" w:rsidP="00A3247B">
      <w:pPr>
        <w:autoSpaceDE w:val="0"/>
        <w:autoSpaceDN w:val="0"/>
        <w:adjustRightInd w:val="0"/>
        <w:spacing w:after="0"/>
      </w:pPr>
    </w:p>
    <w:p w14:paraId="294F8C75" w14:textId="1CF6C938" w:rsidR="00E95116" w:rsidRPr="00DA0446" w:rsidRDefault="00E95116" w:rsidP="00A3247B">
      <w:pPr>
        <w:autoSpaceDE w:val="0"/>
        <w:autoSpaceDN w:val="0"/>
        <w:adjustRightInd w:val="0"/>
        <w:spacing w:after="0"/>
      </w:pPr>
      <w:r w:rsidRPr="00DA0446">
        <w:t>Le seuil de pauvreté est calculé</w:t>
      </w:r>
      <w:r w:rsidR="009A34EC" w:rsidRPr="00DA0446">
        <w:t xml:space="preserve"> et mis à jour</w:t>
      </w:r>
      <w:r w:rsidRPr="00DA0446">
        <w:t xml:space="preserve"> chaque année et l’informa</w:t>
      </w:r>
      <w:r w:rsidR="002A3D1E" w:rsidRPr="00DA0446">
        <w:t>tion est</w:t>
      </w:r>
      <w:r w:rsidR="00320F94" w:rsidRPr="00DA0446">
        <w:t xml:space="preserve"> mise à disposition des </w:t>
      </w:r>
      <w:r w:rsidR="002A3D1E" w:rsidRPr="00DA0446">
        <w:t>o</w:t>
      </w:r>
      <w:r w:rsidR="009A34EC" w:rsidRPr="00DA0446">
        <w:t>rganisations partenaires agréées</w:t>
      </w:r>
      <w:r w:rsidRPr="00DA0446">
        <w:t xml:space="preserve"> et</w:t>
      </w:r>
      <w:r w:rsidR="009A34EC" w:rsidRPr="00DA0446">
        <w:t xml:space="preserve"> </w:t>
      </w:r>
      <w:r w:rsidR="00320F94" w:rsidRPr="00DA0446">
        <w:t xml:space="preserve">des </w:t>
      </w:r>
      <w:r w:rsidRPr="00DA0446">
        <w:t>CPAS.</w:t>
      </w:r>
    </w:p>
    <w:p w14:paraId="6BCC2FCE" w14:textId="77777777" w:rsidR="009A34EC" w:rsidRPr="00DA0446" w:rsidRDefault="009A34EC" w:rsidP="00A3247B">
      <w:pPr>
        <w:autoSpaceDE w:val="0"/>
        <w:autoSpaceDN w:val="0"/>
        <w:adjustRightInd w:val="0"/>
        <w:spacing w:after="0"/>
      </w:pPr>
    </w:p>
    <w:p w14:paraId="1352E0BC" w14:textId="77777777" w:rsidR="00E95116" w:rsidRPr="00DA0446" w:rsidRDefault="00E95116" w:rsidP="00A3247B">
      <w:pPr>
        <w:autoSpaceDE w:val="0"/>
        <w:autoSpaceDN w:val="0"/>
        <w:adjustRightInd w:val="0"/>
        <w:spacing w:after="0"/>
      </w:pPr>
      <w:r w:rsidRPr="00DA0446">
        <w:t>Pour l’année 2</w:t>
      </w:r>
      <w:r w:rsidR="002A3D1E" w:rsidRPr="00DA0446">
        <w:t>015, le calcul était le suivant</w:t>
      </w:r>
      <w:r w:rsidRPr="00DA0446">
        <w:t>:</w:t>
      </w:r>
    </w:p>
    <w:p w14:paraId="6D84392D" w14:textId="77777777" w:rsidR="00E95116" w:rsidRPr="00DA0446" w:rsidRDefault="00E95116" w:rsidP="00A3247B">
      <w:pPr>
        <w:pStyle w:val="Lijstalinea"/>
        <w:numPr>
          <w:ilvl w:val="1"/>
          <w:numId w:val="30"/>
        </w:numPr>
        <w:spacing w:after="0"/>
        <w:ind w:left="1434" w:hanging="357"/>
        <w:contextualSpacing w:val="0"/>
        <w:jc w:val="left"/>
      </w:pPr>
      <w:r w:rsidRPr="00DA0446">
        <w:t>Personne isolée : 12.890€/ net par an</w:t>
      </w:r>
    </w:p>
    <w:p w14:paraId="04926BFC" w14:textId="385EA698" w:rsidR="00E95116" w:rsidRPr="00DA0446" w:rsidRDefault="003B28E9" w:rsidP="00A3247B">
      <w:pPr>
        <w:pStyle w:val="Lijstalinea"/>
        <w:numPr>
          <w:ilvl w:val="1"/>
          <w:numId w:val="30"/>
        </w:numPr>
        <w:spacing w:after="0"/>
        <w:ind w:left="1434" w:hanging="357"/>
        <w:contextualSpacing w:val="0"/>
        <w:jc w:val="left"/>
      </w:pPr>
      <w:r w:rsidRPr="00DA0446">
        <w:t>2 adultes et 2 enfants</w:t>
      </w:r>
      <w:r w:rsidR="00E95116" w:rsidRPr="00DA0446">
        <w:t>: 27.068€/ net par an</w:t>
      </w:r>
    </w:p>
    <w:p w14:paraId="0045671C" w14:textId="3B58170F" w:rsidR="00E95116" w:rsidRPr="005D4117" w:rsidRDefault="00E95116" w:rsidP="00A3247B">
      <w:pPr>
        <w:pStyle w:val="Lijstalinea"/>
        <w:numPr>
          <w:ilvl w:val="1"/>
          <w:numId w:val="30"/>
        </w:numPr>
        <w:spacing w:after="0"/>
        <w:ind w:left="1434" w:hanging="357"/>
        <w:contextualSpacing w:val="0"/>
        <w:jc w:val="left"/>
      </w:pPr>
      <w:r w:rsidRPr="005D4117">
        <w:t xml:space="preserve">Pour </w:t>
      </w:r>
      <w:r w:rsidR="003B28E9" w:rsidRPr="005D4117">
        <w:t>d’autres formations de familles</w:t>
      </w:r>
      <w:r w:rsidRPr="005D4117">
        <w:t xml:space="preserve">: On assigne une pondération de 1 au premier adulte du ménage, de 0,5 à chaque membre âgé de plus de 14 ans et de 0,3 aux enfants de moins de 14 ans (source échelle modifiée de l’OCDE). </w:t>
      </w:r>
    </w:p>
    <w:p w14:paraId="0191585F" w14:textId="77777777" w:rsidR="000D120C" w:rsidRPr="005D4117" w:rsidRDefault="000D120C" w:rsidP="00A3247B">
      <w:pPr>
        <w:autoSpaceDE w:val="0"/>
        <w:autoSpaceDN w:val="0"/>
        <w:adjustRightInd w:val="0"/>
        <w:spacing w:after="0"/>
      </w:pPr>
    </w:p>
    <w:p w14:paraId="3FF7D4A8" w14:textId="77777777" w:rsidR="000D120C" w:rsidRPr="005D4117" w:rsidRDefault="000D120C" w:rsidP="00A3247B">
      <w:pPr>
        <w:autoSpaceDE w:val="0"/>
        <w:autoSpaceDN w:val="0"/>
        <w:adjustRightInd w:val="0"/>
        <w:spacing w:after="0"/>
      </w:pPr>
      <w:r w:rsidRPr="005D4117">
        <w:t xml:space="preserve">Sur la base de cette catégorie, chaque CPAS et organisation partenaire agréée </w:t>
      </w:r>
      <w:r w:rsidR="008130F4" w:rsidRPr="005D4117">
        <w:t>est</w:t>
      </w:r>
      <w:r w:rsidRPr="005D4117">
        <w:t xml:space="preserve"> tenu(e) de mettre sur pied un mécanisme permettant de vérifier que les bénéficiaires satisfont effectivement aux conditions. Ce mécanisme </w:t>
      </w:r>
      <w:r w:rsidR="008130F4" w:rsidRPr="005D4117">
        <w:t>est</w:t>
      </w:r>
      <w:r w:rsidRPr="005D4117">
        <w:t xml:space="preserve"> </w:t>
      </w:r>
      <w:r w:rsidR="009A34EC" w:rsidRPr="005D4117">
        <w:t xml:space="preserve">systématiquement </w:t>
      </w:r>
      <w:r w:rsidRPr="005D4117">
        <w:t xml:space="preserve">vérifié lors </w:t>
      </w:r>
      <w:r w:rsidR="00010DF4" w:rsidRPr="005D4117">
        <w:t>des</w:t>
      </w:r>
      <w:r w:rsidRPr="005D4117">
        <w:t xml:space="preserve"> contrôles.</w:t>
      </w:r>
    </w:p>
    <w:p w14:paraId="21A61653" w14:textId="77777777" w:rsidR="00E95116" w:rsidRPr="005D4117" w:rsidRDefault="00E95116" w:rsidP="00A3247B">
      <w:pPr>
        <w:autoSpaceDE w:val="0"/>
        <w:autoSpaceDN w:val="0"/>
        <w:adjustRightInd w:val="0"/>
        <w:spacing w:after="0"/>
      </w:pPr>
    </w:p>
    <w:p w14:paraId="7BB32C6A" w14:textId="77777777" w:rsidR="00F07D9C" w:rsidRPr="005D4117" w:rsidRDefault="00F07D9C" w:rsidP="00A3247B">
      <w:pPr>
        <w:autoSpaceDE w:val="0"/>
        <w:autoSpaceDN w:val="0"/>
        <w:adjustRightInd w:val="0"/>
        <w:spacing w:after="0"/>
      </w:pPr>
      <w:r w:rsidRPr="005D4117">
        <w:lastRenderedPageBreak/>
        <w:t xml:space="preserve">Le partenariat entre le CPAS et l'organisation partenaire agréée </w:t>
      </w:r>
      <w:r w:rsidR="008130F4" w:rsidRPr="005D4117">
        <w:t>continue de jouer</w:t>
      </w:r>
      <w:r w:rsidRPr="005D4117">
        <w:t xml:space="preserve"> un rôle essentiel à cet égard. Chaque organisation partenaire agréée </w:t>
      </w:r>
      <w:r w:rsidR="000D0373" w:rsidRPr="005D4117">
        <w:t>est</w:t>
      </w:r>
      <w:r w:rsidRPr="005D4117">
        <w:t xml:space="preserve"> </w:t>
      </w:r>
      <w:r w:rsidR="00407488" w:rsidRPr="005D4117">
        <w:t>tenue</w:t>
      </w:r>
      <w:r w:rsidRPr="005D4117">
        <w:t xml:space="preserve"> de souscrire une convention de partenariat avec le CPAS de la commune ou des communes dans laquelle/lesquelles elle opère.</w:t>
      </w:r>
    </w:p>
    <w:p w14:paraId="23BBDC8A" w14:textId="77777777" w:rsidR="008130F4" w:rsidRPr="005D4117" w:rsidRDefault="008130F4" w:rsidP="00A3247B">
      <w:pPr>
        <w:autoSpaceDE w:val="0"/>
        <w:autoSpaceDN w:val="0"/>
        <w:adjustRightInd w:val="0"/>
        <w:spacing w:after="0"/>
      </w:pPr>
    </w:p>
    <w:p w14:paraId="790861B0" w14:textId="77777777" w:rsidR="00381100" w:rsidRPr="005D4117" w:rsidRDefault="00F07D9C" w:rsidP="00A3247B">
      <w:pPr>
        <w:autoSpaceDE w:val="0"/>
        <w:autoSpaceDN w:val="0"/>
        <w:adjustRightInd w:val="0"/>
        <w:spacing w:after="0"/>
      </w:pPr>
      <w:r w:rsidRPr="005D4117">
        <w:t xml:space="preserve">Le mécanisme d'identification des plus démunis doit être défini dans cet accord de partenariat. </w:t>
      </w:r>
      <w:r w:rsidR="008130F4" w:rsidRPr="005D4117">
        <w:t>Pour rappel</w:t>
      </w:r>
      <w:r w:rsidRPr="005D4117">
        <w:t>, on dist</w:t>
      </w:r>
      <w:r w:rsidR="002A3D1E" w:rsidRPr="005D4117">
        <w:t>ingue trois types de mécanismes</w:t>
      </w:r>
      <w:r w:rsidRPr="005D4117">
        <w:t>:</w:t>
      </w:r>
    </w:p>
    <w:p w14:paraId="519888AF" w14:textId="77777777" w:rsidR="00135F56" w:rsidRPr="005D4117" w:rsidRDefault="00135F56" w:rsidP="00A3247B">
      <w:pPr>
        <w:numPr>
          <w:ilvl w:val="0"/>
          <w:numId w:val="18"/>
        </w:numPr>
        <w:spacing w:after="0"/>
      </w:pPr>
      <w:r w:rsidRPr="005D4117">
        <w:t>les bénéficiaires de l'organisation partenaire agréée sont en possession d'une attestation individuelle (</w:t>
      </w:r>
      <w:r w:rsidR="002A3D1E" w:rsidRPr="005D4117">
        <w:t>familiale) délivrée par le CPAS</w:t>
      </w:r>
      <w:r w:rsidRPr="005D4117">
        <w:t>;</w:t>
      </w:r>
    </w:p>
    <w:p w14:paraId="63C08334" w14:textId="77777777" w:rsidR="00135F56" w:rsidRPr="005D4117" w:rsidRDefault="00135F56" w:rsidP="00A3247B">
      <w:pPr>
        <w:numPr>
          <w:ilvl w:val="0"/>
          <w:numId w:val="18"/>
        </w:numPr>
        <w:spacing w:after="0"/>
      </w:pPr>
      <w:r w:rsidRPr="005D4117">
        <w:t>la liste des bénéficiaires de l'organisation partenaire</w:t>
      </w:r>
      <w:r w:rsidR="002A3D1E" w:rsidRPr="005D4117">
        <w:t xml:space="preserve"> agréée est validée par le CPAS</w:t>
      </w:r>
      <w:r w:rsidRPr="005D4117">
        <w:t>;</w:t>
      </w:r>
    </w:p>
    <w:p w14:paraId="6B7655BA" w14:textId="77777777" w:rsidR="000C7B32" w:rsidRPr="005D4117" w:rsidRDefault="00135F56" w:rsidP="00A3247B">
      <w:pPr>
        <w:numPr>
          <w:ilvl w:val="0"/>
          <w:numId w:val="18"/>
        </w:numPr>
        <w:spacing w:after="0"/>
      </w:pPr>
      <w:r w:rsidRPr="005D4117">
        <w:t>le CPAS et l'organisation partenaire agréée reconnaissent que l'organisation partenaire a la capacité de vérifier si la personne satisfait aux critères stipulés. Dans ce cas, l'organisation partenaire agréée doit naturellement mettre en place son propre mécanisme pour identifier les plus démunis.</w:t>
      </w:r>
    </w:p>
    <w:p w14:paraId="35C3B9BB" w14:textId="77777777" w:rsidR="004A6747" w:rsidRPr="00DA0446" w:rsidRDefault="004A6747" w:rsidP="00A3247B">
      <w:pPr>
        <w:spacing w:after="0"/>
        <w:rPr>
          <w:highlight w:val="yellow"/>
        </w:rPr>
      </w:pPr>
    </w:p>
    <w:p w14:paraId="30B909D6" w14:textId="77777777" w:rsidR="004A6747" w:rsidRPr="00DA0446" w:rsidRDefault="004A6747" w:rsidP="00A3247B">
      <w:pPr>
        <w:spacing w:after="0"/>
      </w:pPr>
      <w:r w:rsidRPr="00DA0446">
        <w:t>Des informations complémentaires sur les conditions d'agrément des CPAS et des organisations par</w:t>
      </w:r>
      <w:r w:rsidR="002A3D1E" w:rsidRPr="00DA0446">
        <w:t>tenaires figurent au point 2.1.5</w:t>
      </w:r>
      <w:r w:rsidRPr="00DA0446">
        <w:t xml:space="preserve">. Sélection des organisations partenaires. </w:t>
      </w:r>
    </w:p>
    <w:p w14:paraId="21AF4C62" w14:textId="77777777" w:rsidR="001179FE" w:rsidRPr="00DA0446" w:rsidRDefault="001179FE" w:rsidP="00A3247B">
      <w:pPr>
        <w:spacing w:after="0"/>
      </w:pPr>
    </w:p>
    <w:p w14:paraId="5D1208D1" w14:textId="2AC39E5A" w:rsidR="001179FE" w:rsidRPr="00DA0446" w:rsidRDefault="00616D3C" w:rsidP="00A3247B">
      <w:pPr>
        <w:spacing w:after="0"/>
      </w:pPr>
      <w:r w:rsidRPr="00DA0446">
        <w:t xml:space="preserve">En 2015, le FEAD a également joué un rôle dans le cadre </w:t>
      </w:r>
      <w:r w:rsidR="00E43659" w:rsidRPr="00DA0446">
        <w:t>de la crise migratoire</w:t>
      </w:r>
      <w:r w:rsidRPr="00DA0446">
        <w:t xml:space="preserve">. </w:t>
      </w:r>
      <w:r w:rsidR="00E43659" w:rsidRPr="00DA0446">
        <w:t>La définition d’un bénéficiaire étant inclusive en Belgique, les réfugiés ou les personnes n’ayant pas de papiers peuvent bénéficier de produits FEAD</w:t>
      </w:r>
      <w:r w:rsidRPr="00DA0446">
        <w:t>.</w:t>
      </w:r>
    </w:p>
    <w:p w14:paraId="5102FF2D" w14:textId="17C391E0" w:rsidR="00616D3C" w:rsidRPr="00DA0446" w:rsidRDefault="00616D3C" w:rsidP="00A3247B">
      <w:pPr>
        <w:spacing w:after="0"/>
      </w:pPr>
      <w:r w:rsidRPr="00DA0446">
        <w:t>Dans la plupart des organisations partenaires le</w:t>
      </w:r>
      <w:r w:rsidR="00E43659" w:rsidRPr="00DA0446">
        <w:t xml:space="preserve"> public</w:t>
      </w:r>
      <w:r w:rsidRPr="00DA0446">
        <w:t xml:space="preserve"> cible est mixte: migrants, </w:t>
      </w:r>
      <w:r w:rsidR="009E3302" w:rsidRPr="00DA0446">
        <w:t>autochtones,</w:t>
      </w:r>
      <w:r w:rsidR="00E43659" w:rsidRPr="00DA0446">
        <w:t xml:space="preserve"> </w:t>
      </w:r>
      <w:r w:rsidR="006A0EAC" w:rsidRPr="00DA0446">
        <w:t xml:space="preserve">SDF, </w:t>
      </w:r>
      <w:r w:rsidR="009E3302" w:rsidRPr="00DA0446">
        <w:t xml:space="preserve">etc. </w:t>
      </w:r>
      <w:r w:rsidR="00E43659" w:rsidRPr="00DA0446">
        <w:t xml:space="preserve">Néanmoins, </w:t>
      </w:r>
      <w:r w:rsidRPr="00DA0446">
        <w:t>il existe des organisations partenaires qui se sont spécialisé</w:t>
      </w:r>
      <w:r w:rsidR="009E3302" w:rsidRPr="00DA0446">
        <w:t>e</w:t>
      </w:r>
      <w:r w:rsidRPr="00DA0446">
        <w:t xml:space="preserve">s </w:t>
      </w:r>
      <w:r w:rsidR="00E43659" w:rsidRPr="00DA0446">
        <w:t xml:space="preserve">dans l’aide fournie aux </w:t>
      </w:r>
      <w:r w:rsidRPr="00DA0446">
        <w:t>migrants, réfugiés, sans-papiers.</w:t>
      </w:r>
    </w:p>
    <w:p w14:paraId="61135F1F" w14:textId="77777777" w:rsidR="009E3302" w:rsidRPr="00DA0446" w:rsidRDefault="009E3302" w:rsidP="00A3247B">
      <w:pPr>
        <w:spacing w:after="0"/>
      </w:pPr>
    </w:p>
    <w:p w14:paraId="5EE23F84" w14:textId="1673DE6B" w:rsidR="00616D3C" w:rsidRPr="00DA0446" w:rsidRDefault="00CA36AE" w:rsidP="00A3247B">
      <w:pPr>
        <w:spacing w:after="0"/>
      </w:pPr>
      <w:r w:rsidRPr="00DA0446">
        <w:t>En Belgique, u</w:t>
      </w:r>
      <w:r w:rsidR="00616D3C" w:rsidRPr="00DA0446">
        <w:t xml:space="preserve">ne fois qu’un demandeur d’asile a introduit sa demande d’asile </w:t>
      </w:r>
      <w:r w:rsidR="00E43659" w:rsidRPr="00DA0446">
        <w:t>auprès de</w:t>
      </w:r>
      <w:r w:rsidR="00616D3C" w:rsidRPr="00DA0446">
        <w:t xml:space="preserve"> l’office de</w:t>
      </w:r>
      <w:r w:rsidR="00E43659" w:rsidRPr="00DA0446">
        <w:t xml:space="preserve">s </w:t>
      </w:r>
      <w:r w:rsidR="00616D3C" w:rsidRPr="00DA0446">
        <w:t>étranger</w:t>
      </w:r>
      <w:r w:rsidR="00E43659" w:rsidRPr="00DA0446">
        <w:t>s</w:t>
      </w:r>
      <w:r w:rsidR="00616D3C" w:rsidRPr="00DA0446">
        <w:t xml:space="preserve">, c’est le service fédéral </w:t>
      </w:r>
      <w:proofErr w:type="spellStart"/>
      <w:r w:rsidRPr="00DA0446">
        <w:t>Fedasil</w:t>
      </w:r>
      <w:proofErr w:type="spellEnd"/>
      <w:r w:rsidR="00616D3C" w:rsidRPr="00DA0446">
        <w:t xml:space="preserve"> qui s’occupe de l’accueil et garantit l’octroi d’une aide matérielle</w:t>
      </w:r>
      <w:r w:rsidRPr="00DA0446">
        <w:t xml:space="preserve"> pendant la procédure d’asile</w:t>
      </w:r>
      <w:r w:rsidR="00616D3C" w:rsidRPr="00DA0446">
        <w:t xml:space="preserve">. </w:t>
      </w:r>
      <w:r w:rsidRPr="00DA0446">
        <w:t xml:space="preserve">Le FEAD peut intervenir avant </w:t>
      </w:r>
      <w:r w:rsidR="00E43659" w:rsidRPr="00DA0446">
        <w:t>que la demande d’asile n’ait</w:t>
      </w:r>
      <w:r w:rsidRPr="00DA0446">
        <w:t xml:space="preserve"> été soumise, pendant la procédure pour les ‘no shows’ et </w:t>
      </w:r>
      <w:r w:rsidR="006A0EAC" w:rsidRPr="00DA0446">
        <w:t>enfin</w:t>
      </w:r>
      <w:r w:rsidRPr="00DA0446">
        <w:t xml:space="preserve"> une fois que la décision a été prise (statut octroyé, protection subsidiaire ou refus). </w:t>
      </w:r>
    </w:p>
    <w:p w14:paraId="45BB147C" w14:textId="77777777" w:rsidR="00135F56" w:rsidRPr="00407488" w:rsidRDefault="00135F56" w:rsidP="00A3247B">
      <w:pPr>
        <w:spacing w:after="0"/>
      </w:pPr>
    </w:p>
    <w:p w14:paraId="350DA64D" w14:textId="77777777" w:rsidR="00135F56" w:rsidRDefault="00135F56" w:rsidP="00A3247B">
      <w:pPr>
        <w:pStyle w:val="Kop4"/>
        <w:numPr>
          <w:ilvl w:val="3"/>
          <w:numId w:val="2"/>
        </w:numPr>
        <w:spacing w:after="240" w:line="276" w:lineRule="auto"/>
      </w:pPr>
      <w:r w:rsidRPr="00407488">
        <w:t>Mesures d'accompagnement</w:t>
      </w:r>
    </w:p>
    <w:p w14:paraId="67B195DD" w14:textId="75D8E6EF" w:rsidR="0078335A" w:rsidRPr="005D4117" w:rsidRDefault="008130F4" w:rsidP="00A3247B">
      <w:pPr>
        <w:spacing w:after="0"/>
      </w:pPr>
      <w:r w:rsidRPr="005D4117">
        <w:t xml:space="preserve">Durant l’année 2015, </w:t>
      </w:r>
      <w:r w:rsidR="005F2CF1" w:rsidRPr="005D4117">
        <w:t>l’AG a pu commencer l</w:t>
      </w:r>
      <w:r w:rsidRPr="005D4117">
        <w:t xml:space="preserve">es contrôles </w:t>
      </w:r>
      <w:r w:rsidR="00EE181F" w:rsidRPr="005D4117">
        <w:t>au niveau des</w:t>
      </w:r>
      <w:r w:rsidRPr="005D4117">
        <w:t xml:space="preserve"> organisations</w:t>
      </w:r>
      <w:r w:rsidR="00EE181F" w:rsidRPr="005D4117">
        <w:t xml:space="preserve"> partenaires agréées (distribution 2014)</w:t>
      </w:r>
      <w:r w:rsidRPr="005D4117">
        <w:t xml:space="preserve">. Pour rappel, chaque année, l’AG contrôle environ </w:t>
      </w:r>
      <w:r w:rsidR="0023312A" w:rsidRPr="005D4117">
        <w:t>17</w:t>
      </w:r>
      <w:r w:rsidR="00815D72" w:rsidRPr="005D4117">
        <w:t>0</w:t>
      </w:r>
      <w:r w:rsidRPr="005D4117">
        <w:t xml:space="preserve"> organisations partenaires agréées qui distribuent la nourriture aux plus démunis (un échantillon d’organisations est établi sur la base d’une analyse de risque</w:t>
      </w:r>
      <w:r w:rsidR="009546DC" w:rsidRPr="005D4117">
        <w:t>s</w:t>
      </w:r>
      <w:r w:rsidR="00961456" w:rsidRPr="005D4117">
        <w:t xml:space="preserve"> renouvelée chaque année</w:t>
      </w:r>
      <w:r w:rsidRPr="005D4117">
        <w:t xml:space="preserve">). </w:t>
      </w:r>
      <w:r w:rsidR="0078335A" w:rsidRPr="005D4117">
        <w:t>Cela a permis</w:t>
      </w:r>
      <w:r w:rsidR="00961456" w:rsidRPr="005D4117">
        <w:t xml:space="preserve"> – entre autre</w:t>
      </w:r>
      <w:r w:rsidR="00320F94" w:rsidRPr="005D4117">
        <w:t>s</w:t>
      </w:r>
      <w:r w:rsidR="00961456" w:rsidRPr="005D4117">
        <w:t xml:space="preserve"> –</w:t>
      </w:r>
      <w:r w:rsidR="00815D72" w:rsidRPr="005D4117">
        <w:t xml:space="preserve"> à l’AG</w:t>
      </w:r>
      <w:r w:rsidR="0078335A" w:rsidRPr="005D4117">
        <w:t xml:space="preserve"> d’avoir un aperçu complet des mesures d’accompagnement qui sont mise</w:t>
      </w:r>
      <w:r w:rsidR="009546DC" w:rsidRPr="005D4117">
        <w:t>s</w:t>
      </w:r>
      <w:r w:rsidR="00320F94" w:rsidRPr="005D4117">
        <w:t xml:space="preserve"> en place par les o</w:t>
      </w:r>
      <w:r w:rsidR="00010DF4" w:rsidRPr="005D4117">
        <w:t xml:space="preserve">rganisations </w:t>
      </w:r>
      <w:r w:rsidR="00320F94" w:rsidRPr="005D4117">
        <w:t>p</w:t>
      </w:r>
      <w:r w:rsidR="00010DF4" w:rsidRPr="005D4117">
        <w:t>artenaires agréées</w:t>
      </w:r>
      <w:r w:rsidR="00321CB6" w:rsidRPr="005D4117">
        <w:t xml:space="preserve"> et qui doivent être offertes aux personnes les plus démunies tel que défini à l'article 7§4 du règlement (EU) 223/2014</w:t>
      </w:r>
      <w:r w:rsidR="0078335A" w:rsidRPr="005D4117">
        <w:t>.</w:t>
      </w:r>
    </w:p>
    <w:p w14:paraId="22CF1A7A" w14:textId="77777777" w:rsidR="00010DF4" w:rsidRPr="005D4117" w:rsidRDefault="00010DF4" w:rsidP="00A3247B">
      <w:pPr>
        <w:spacing w:after="0"/>
      </w:pPr>
    </w:p>
    <w:p w14:paraId="7E376FF7" w14:textId="77777777" w:rsidR="0078335A" w:rsidRPr="005D4117" w:rsidRDefault="009546DC" w:rsidP="00A3247B">
      <w:pPr>
        <w:spacing w:after="0"/>
      </w:pPr>
      <w:r w:rsidRPr="005D4117">
        <w:t>En effet, l</w:t>
      </w:r>
      <w:r w:rsidR="008130F4" w:rsidRPr="005D4117">
        <w:t>ors de ces contrôles, les mesures d’accompagnement</w:t>
      </w:r>
      <w:r w:rsidR="0078335A" w:rsidRPr="005D4117">
        <w:t xml:space="preserve"> mise</w:t>
      </w:r>
      <w:r w:rsidRPr="005D4117">
        <w:t>s</w:t>
      </w:r>
      <w:r w:rsidR="0078335A" w:rsidRPr="005D4117">
        <w:t xml:space="preserve"> en place par </w:t>
      </w:r>
      <w:r w:rsidR="00961456" w:rsidRPr="005D4117">
        <w:t>l’organisation partenaire agréée</w:t>
      </w:r>
      <w:r w:rsidR="008130F4" w:rsidRPr="005D4117">
        <w:t xml:space="preserve"> sont systématiquement vérifiées</w:t>
      </w:r>
      <w:r w:rsidR="00961456" w:rsidRPr="005D4117">
        <w:t xml:space="preserve"> (l</w:t>
      </w:r>
      <w:r w:rsidR="0078335A" w:rsidRPr="005D4117">
        <w:t xml:space="preserve">e questionnaire de contrôle </w:t>
      </w:r>
      <w:r w:rsidR="0078335A" w:rsidRPr="005D4117">
        <w:lastRenderedPageBreak/>
        <w:t>contient des questions sur les mesures d’accompagnement : l’organisation dispose-t-elle d’une o</w:t>
      </w:r>
      <w:r w:rsidR="002A3D1E" w:rsidRPr="005D4117">
        <w:t>ffre de mesure d’accompagnement</w:t>
      </w:r>
      <w:r w:rsidR="0078335A" w:rsidRPr="005D4117">
        <w:t xml:space="preserve">? Quels sont les résultats </w:t>
      </w:r>
      <w:r w:rsidR="002A3D1E" w:rsidRPr="005D4117">
        <w:t>de ces mesures d’accompagnement</w:t>
      </w:r>
      <w:r w:rsidR="0078335A" w:rsidRPr="005D4117">
        <w:t>?).</w:t>
      </w:r>
    </w:p>
    <w:p w14:paraId="2FCF5908" w14:textId="77777777" w:rsidR="0078335A" w:rsidRPr="00DA0446" w:rsidRDefault="0078335A" w:rsidP="00A3247B">
      <w:pPr>
        <w:spacing w:after="0"/>
      </w:pPr>
      <w:r w:rsidRPr="005D4117">
        <w:t>Il est demandé à l’organisation de pouvoir prouver/documenter l’existence de cette offre – par exemple avec l’existence de brochures, de documents de collaborations avec les CPAS, etc.</w:t>
      </w:r>
    </w:p>
    <w:p w14:paraId="40975CF3" w14:textId="77777777" w:rsidR="00961456" w:rsidRPr="00DA0446" w:rsidRDefault="00961456" w:rsidP="00A3247B">
      <w:pPr>
        <w:spacing w:after="0"/>
      </w:pPr>
    </w:p>
    <w:p w14:paraId="09D5B657" w14:textId="58500C3D" w:rsidR="00961456" w:rsidRPr="00DA0446" w:rsidRDefault="00961456" w:rsidP="00A3247B">
      <w:pPr>
        <w:spacing w:after="0"/>
      </w:pPr>
      <w:r w:rsidRPr="00DA0446">
        <w:t>I</w:t>
      </w:r>
      <w:r w:rsidR="00321CB6" w:rsidRPr="00DA0446">
        <w:t>l ressort de ces contrôles que l’offre de mesures d’accom</w:t>
      </w:r>
      <w:r w:rsidR="002A3D1E" w:rsidRPr="00DA0446">
        <w:t>pagnement est diverse et variée</w:t>
      </w:r>
      <w:r w:rsidR="00321CB6" w:rsidRPr="00DA0446">
        <w:t xml:space="preserve">: ateliers de cuisine, accompagnement psychologique, accompagnement nutritionnel, groupes de parole, espaces de partage, etc. </w:t>
      </w:r>
      <w:r w:rsidR="00385BC1" w:rsidRPr="00DA0446">
        <w:t>Ces différentes initiatives viennent compléter</w:t>
      </w:r>
      <w:r w:rsidR="00321CB6" w:rsidRPr="00DA0446">
        <w:t xml:space="preserve"> la mesure d’accompagnement </w:t>
      </w:r>
      <w:r w:rsidR="00385BC1" w:rsidRPr="00DA0446">
        <w:t>que toutes les organisa</w:t>
      </w:r>
      <w:r w:rsidR="000824C7" w:rsidRPr="00DA0446">
        <w:t xml:space="preserve">tions mettent en œuvre d’office </w:t>
      </w:r>
      <w:r w:rsidR="00385BC1" w:rsidRPr="00DA0446">
        <w:t xml:space="preserve">à savoir </w:t>
      </w:r>
      <w:r w:rsidR="00321CB6" w:rsidRPr="00DA0446">
        <w:t xml:space="preserve">la redirection du bénéficiaire vers les services compétents (services sociaux/administratifs). </w:t>
      </w:r>
    </w:p>
    <w:p w14:paraId="66C0D5D6" w14:textId="77777777" w:rsidR="0078335A" w:rsidRPr="00DA0446" w:rsidRDefault="0078335A" w:rsidP="00A3247B">
      <w:pPr>
        <w:spacing w:after="0"/>
      </w:pPr>
    </w:p>
    <w:p w14:paraId="1D2050A5" w14:textId="77777777" w:rsidR="00320F94" w:rsidRPr="00DA0446" w:rsidRDefault="00321CB6" w:rsidP="00A3247B">
      <w:pPr>
        <w:spacing w:after="0"/>
      </w:pPr>
      <w:r w:rsidRPr="00DA0446">
        <w:t>Dans ce cadre, l</w:t>
      </w:r>
      <w:r w:rsidR="00650952" w:rsidRPr="00DA0446">
        <w:t xml:space="preserve">'accord de partenariat avec le CPAS </w:t>
      </w:r>
      <w:r w:rsidRPr="00DA0446">
        <w:t>continue de jouer</w:t>
      </w:r>
      <w:r w:rsidR="00650952" w:rsidRPr="00DA0446">
        <w:t xml:space="preserve"> un rôle important dans le cadre des mesures d'accompagnement.</w:t>
      </w:r>
      <w:r w:rsidR="00650952" w:rsidRPr="00DA0446">
        <w:tab/>
      </w:r>
    </w:p>
    <w:p w14:paraId="0ED84F5B" w14:textId="5EF0E6EE" w:rsidR="00321CB6" w:rsidRPr="005D4117" w:rsidRDefault="00650952" w:rsidP="00A3247B">
      <w:pPr>
        <w:spacing w:after="0"/>
      </w:pPr>
      <w:r w:rsidRPr="00DA0446">
        <w:br/>
      </w:r>
      <w:r w:rsidR="00321CB6" w:rsidRPr="005D4117">
        <w:t xml:space="preserve">En effet, selon son mandat légal, le </w:t>
      </w:r>
      <w:r w:rsidRPr="005D4117">
        <w:t xml:space="preserve">CPAS </w:t>
      </w:r>
      <w:r w:rsidR="00321CB6" w:rsidRPr="005D4117">
        <w:t xml:space="preserve">doit </w:t>
      </w:r>
      <w:r w:rsidRPr="005D4117">
        <w:t xml:space="preserve">garantir le droit à l'intégration sociale. </w:t>
      </w:r>
      <w:r w:rsidR="00321CB6" w:rsidRPr="005D4117">
        <w:t xml:space="preserve">Ils assurent la prestation d’un certain nombre de services sociaux et ont pour mission de permettre à chacun d’être en mesure de mener une existence conforme à la dignité humaine Ils sont donc chargés de dispenser une aide sociale en faveur de certaines personnes, mais aussi, d’autres mesures spécifiques d’accompagnement et de soutien, d’ordre </w:t>
      </w:r>
      <w:r w:rsidR="008A1946" w:rsidRPr="005D4117">
        <w:t>psychologique</w:t>
      </w:r>
      <w:r w:rsidR="00321CB6" w:rsidRPr="005D4117">
        <w:t>, social, financi</w:t>
      </w:r>
      <w:r w:rsidR="00320F94" w:rsidRPr="005D4117">
        <w:t>er, médical, administratif leur sont accordé</w:t>
      </w:r>
      <w:r w:rsidR="00321CB6" w:rsidRPr="005D4117">
        <w:t>s en vue de leur permettre de se réinsérer dans une vie sociale active. Orienter les bénéficiaires finaux vers les CPAS compétents constitue donc une mise en œuvre des mesures d’accompagnement.</w:t>
      </w:r>
    </w:p>
    <w:p w14:paraId="6F052A20" w14:textId="77777777" w:rsidR="00BB5B1A" w:rsidRPr="005D4117" w:rsidRDefault="00BB5B1A" w:rsidP="00A3247B">
      <w:pPr>
        <w:spacing w:after="0"/>
      </w:pPr>
    </w:p>
    <w:p w14:paraId="2A8AFCD1" w14:textId="77777777" w:rsidR="000C7B32" w:rsidRDefault="000C7B32" w:rsidP="00A3247B">
      <w:pPr>
        <w:pStyle w:val="Kop4"/>
        <w:numPr>
          <w:ilvl w:val="3"/>
          <w:numId w:val="2"/>
        </w:numPr>
        <w:spacing w:after="240" w:line="276" w:lineRule="auto"/>
      </w:pPr>
      <w:r w:rsidRPr="00407488">
        <w:t>Connexion avec les indicateurs de résultat</w:t>
      </w:r>
    </w:p>
    <w:p w14:paraId="206D7766" w14:textId="77777777" w:rsidR="0091184E" w:rsidRPr="005D4117" w:rsidRDefault="00A779F6" w:rsidP="00A3247B">
      <w:pPr>
        <w:autoSpaceDE w:val="0"/>
        <w:autoSpaceDN w:val="0"/>
        <w:adjustRightInd w:val="0"/>
        <w:spacing w:after="0"/>
      </w:pPr>
      <w:r w:rsidRPr="005D4117">
        <w:t xml:space="preserve">À qui les produits FEAD ont-ils été distribués? </w:t>
      </w:r>
    </w:p>
    <w:p w14:paraId="3111BA04" w14:textId="64A49D78" w:rsidR="00A779F6" w:rsidRPr="005D4117" w:rsidRDefault="00A779F6" w:rsidP="00A3247B">
      <w:pPr>
        <w:autoSpaceDE w:val="0"/>
        <w:autoSpaceDN w:val="0"/>
        <w:adjustRightInd w:val="0"/>
        <w:spacing w:after="0"/>
      </w:pPr>
      <w:r w:rsidRPr="005D4117">
        <w:t>Pour pouvoir répondre à cette question et fournir les chiffres des indicateurs de résultat demandés, en mars 2016, les organisations ont été invitées à donner une estimation du nombre de personnes ayant bénéficié de l'aide en 2015 et à fournir des indications sur le profil des bénéficiaires. Comme en 2014, ces questions ont été posées</w:t>
      </w:r>
      <w:r w:rsidR="0091184E" w:rsidRPr="005D4117">
        <w:t xml:space="preserve"> aux organisations partenaires agréées</w:t>
      </w:r>
      <w:r w:rsidRPr="005D4117">
        <w:t xml:space="preserve"> à l’occasion </w:t>
      </w:r>
      <w:r w:rsidR="00BB5B1A" w:rsidRPr="00283F2D">
        <w:t>de la soumission</w:t>
      </w:r>
      <w:r w:rsidRPr="00283F2D">
        <w:t xml:space="preserve"> des commandes</w:t>
      </w:r>
      <w:r w:rsidRPr="005D4117">
        <w:t xml:space="preserve"> pour l'année 2016. Cela signifie que les données ont dû être envoyées via un formulaire Web électronique disponible sur le site Internet du SPP IS. </w:t>
      </w:r>
    </w:p>
    <w:p w14:paraId="30805488" w14:textId="77777777" w:rsidR="0091184E" w:rsidRPr="005D4117" w:rsidRDefault="0091184E" w:rsidP="00A3247B">
      <w:pPr>
        <w:autoSpaceDE w:val="0"/>
        <w:autoSpaceDN w:val="0"/>
        <w:adjustRightInd w:val="0"/>
        <w:spacing w:after="0"/>
      </w:pPr>
    </w:p>
    <w:p w14:paraId="03A8B9FC" w14:textId="105DD39E" w:rsidR="0091184E" w:rsidRPr="005D4117" w:rsidRDefault="0091184E" w:rsidP="00A3247B">
      <w:pPr>
        <w:autoSpaceDE w:val="0"/>
        <w:autoSpaceDN w:val="0"/>
        <w:adjustRightInd w:val="0"/>
        <w:spacing w:after="0"/>
      </w:pPr>
      <w:r w:rsidRPr="005D4117">
        <w:t>Cette année,</w:t>
      </w:r>
      <w:r w:rsidR="00A779F6" w:rsidRPr="005D4117">
        <w:t xml:space="preserve"> l’AG a ajouté aux statistiques demandé</w:t>
      </w:r>
      <w:r w:rsidR="00630C42" w:rsidRPr="005D4117">
        <w:t>e</w:t>
      </w:r>
      <w:r w:rsidR="00A779F6" w:rsidRPr="005D4117">
        <w:t>s quelques questions</w:t>
      </w:r>
      <w:r w:rsidRPr="005D4117">
        <w:t xml:space="preserve"> plus précises</w:t>
      </w:r>
      <w:r w:rsidR="00A779F6" w:rsidRPr="005D4117">
        <w:t xml:space="preserve"> concernant la définition d’un colis alimentaire, la fréquence de la distribution, la forme de distribution, </w:t>
      </w:r>
      <w:r w:rsidRPr="005D4117">
        <w:t>etc. ;</w:t>
      </w:r>
      <w:r w:rsidR="00A779F6" w:rsidRPr="005D4117">
        <w:t xml:space="preserve"> </w:t>
      </w:r>
      <w:r w:rsidRPr="005D4117">
        <w:t>cela avait pour but d’avoir</w:t>
      </w:r>
      <w:r w:rsidR="00A779F6" w:rsidRPr="005D4117">
        <w:t xml:space="preserve"> une idée plus claire </w:t>
      </w:r>
      <w:r w:rsidRPr="005D4117">
        <w:t>de</w:t>
      </w:r>
      <w:r w:rsidR="00A779F6" w:rsidRPr="005D4117">
        <w:t xml:space="preserve"> la distribution réelle aux plus démunis sur le terrain (voir point </w:t>
      </w:r>
      <w:r w:rsidR="002A3D1E" w:rsidRPr="005D4117">
        <w:t>2.1.4.2.</w:t>
      </w:r>
      <w:r w:rsidR="00A779F6" w:rsidRPr="005D4117">
        <w:t xml:space="preserve">). </w:t>
      </w:r>
      <w:r w:rsidR="00A779F6" w:rsidRPr="005D4117">
        <w:tab/>
      </w:r>
    </w:p>
    <w:p w14:paraId="1019E800" w14:textId="2E0E71E6" w:rsidR="00A779F6" w:rsidRPr="005D4117" w:rsidRDefault="00A779F6" w:rsidP="00A3247B">
      <w:pPr>
        <w:autoSpaceDE w:val="0"/>
        <w:autoSpaceDN w:val="0"/>
        <w:adjustRightInd w:val="0"/>
        <w:spacing w:after="0"/>
        <w:rPr>
          <w:rFonts w:cs="TimesNewRoman"/>
        </w:rPr>
      </w:pPr>
      <w:r w:rsidRPr="005D4117">
        <w:br/>
        <w:t xml:space="preserve">Etant donné que ces questions étaient </w:t>
      </w:r>
      <w:r w:rsidR="0091184E" w:rsidRPr="005D4117">
        <w:t>couplées</w:t>
      </w:r>
      <w:r w:rsidRPr="005D4117">
        <w:t xml:space="preserve"> aux commandes </w:t>
      </w:r>
      <w:r w:rsidR="0091184E" w:rsidRPr="005D4117">
        <w:t xml:space="preserve">de denrées </w:t>
      </w:r>
      <w:r w:rsidRPr="005D4117">
        <w:t xml:space="preserve">pour l'année 2016, les réponses obtenues ont été très volumineuses. Un aperçu des données reçues est présenté dans l'annexe 1. </w:t>
      </w:r>
    </w:p>
    <w:p w14:paraId="4CE5F27C" w14:textId="77777777" w:rsidR="00A779F6" w:rsidRPr="005D4117" w:rsidRDefault="00A779F6" w:rsidP="00A3247B">
      <w:pPr>
        <w:autoSpaceDE w:val="0"/>
        <w:autoSpaceDN w:val="0"/>
        <w:adjustRightInd w:val="0"/>
        <w:spacing w:after="0"/>
        <w:rPr>
          <w:rFonts w:cs="TimesNewRoman"/>
        </w:rPr>
      </w:pPr>
    </w:p>
    <w:p w14:paraId="27406D5B" w14:textId="625FE583" w:rsidR="0091184E" w:rsidRPr="005D4117" w:rsidRDefault="0091184E" w:rsidP="00A3247B">
      <w:pPr>
        <w:autoSpaceDE w:val="0"/>
        <w:autoSpaceDN w:val="0"/>
        <w:adjustRightInd w:val="0"/>
        <w:spacing w:after="0"/>
        <w:rPr>
          <w:rFonts w:cs="TimesNewRoman"/>
        </w:rPr>
      </w:pPr>
      <w:r w:rsidRPr="005D4117">
        <w:rPr>
          <w:rFonts w:cs="TimesNewRoman"/>
        </w:rPr>
        <w:t xml:space="preserve">En 2014 </w:t>
      </w:r>
      <w:r w:rsidR="00A779F6" w:rsidRPr="005D4117">
        <w:rPr>
          <w:rFonts w:cs="TimesNewRoman"/>
        </w:rPr>
        <w:t xml:space="preserve">cette question </w:t>
      </w:r>
      <w:r w:rsidRPr="005D4117">
        <w:rPr>
          <w:rFonts w:cs="TimesNewRoman"/>
        </w:rPr>
        <w:t>liée aux</w:t>
      </w:r>
      <w:r w:rsidR="00A779F6" w:rsidRPr="005D4117">
        <w:rPr>
          <w:rFonts w:cs="TimesNewRoman"/>
        </w:rPr>
        <w:t xml:space="preserve"> indicateurs de résultat a suscité un certain</w:t>
      </w:r>
      <w:r w:rsidRPr="005D4117">
        <w:rPr>
          <w:rFonts w:cs="TimesNewRoman"/>
        </w:rPr>
        <w:t xml:space="preserve"> nombre de</w:t>
      </w:r>
      <w:r w:rsidR="00A779F6" w:rsidRPr="005D4117">
        <w:rPr>
          <w:rFonts w:cs="TimesNewRoman"/>
        </w:rPr>
        <w:t xml:space="preserve"> préoccupation</w:t>
      </w:r>
      <w:r w:rsidRPr="005D4117">
        <w:rPr>
          <w:rFonts w:cs="TimesNewRoman"/>
        </w:rPr>
        <w:t>s</w:t>
      </w:r>
      <w:r w:rsidR="00A779F6" w:rsidRPr="005D4117">
        <w:rPr>
          <w:rFonts w:cs="TimesNewRoman"/>
        </w:rPr>
        <w:t xml:space="preserve"> </w:t>
      </w:r>
      <w:r w:rsidR="00320F94" w:rsidRPr="005D4117">
        <w:rPr>
          <w:rFonts w:cs="TimesNewRoman"/>
        </w:rPr>
        <w:t>auprès de</w:t>
      </w:r>
      <w:r w:rsidR="00A779F6" w:rsidRPr="005D4117">
        <w:rPr>
          <w:rFonts w:cs="TimesNewRoman"/>
        </w:rPr>
        <w:t xml:space="preserve"> plusieurs organisations. En effet, il n’avait pas été annoncé préalablement qu’une telle question allait </w:t>
      </w:r>
      <w:r w:rsidRPr="005D4117">
        <w:rPr>
          <w:rFonts w:cs="TimesNewRoman"/>
        </w:rPr>
        <w:t xml:space="preserve">leur </w:t>
      </w:r>
      <w:r w:rsidR="00A779F6" w:rsidRPr="005D4117">
        <w:rPr>
          <w:rFonts w:cs="TimesNewRoman"/>
        </w:rPr>
        <w:t xml:space="preserve">être posée. </w:t>
      </w:r>
    </w:p>
    <w:p w14:paraId="4561C9C5" w14:textId="77777777" w:rsidR="0091184E" w:rsidRPr="005D4117" w:rsidRDefault="00A779F6" w:rsidP="00A3247B">
      <w:pPr>
        <w:autoSpaceDE w:val="0"/>
        <w:autoSpaceDN w:val="0"/>
        <w:adjustRightInd w:val="0"/>
        <w:spacing w:after="0"/>
        <w:rPr>
          <w:rFonts w:cs="TimesNewRoman"/>
        </w:rPr>
      </w:pPr>
      <w:r w:rsidRPr="005D4117">
        <w:rPr>
          <w:rFonts w:cs="TimesNewRoman"/>
        </w:rPr>
        <w:t>Dans certains cas, les chiffres transmis par les organisations semblaient être surévalués. Les org</w:t>
      </w:r>
      <w:r w:rsidR="00630C42" w:rsidRPr="005D4117">
        <w:rPr>
          <w:rFonts w:cs="TimesNewRoman"/>
        </w:rPr>
        <w:t xml:space="preserve">anisations affirmaient </w:t>
      </w:r>
      <w:r w:rsidRPr="005D4117">
        <w:rPr>
          <w:rFonts w:cs="TimesNewRoman"/>
        </w:rPr>
        <w:t>avoir aidé un total de 675.124 personnes</w:t>
      </w:r>
      <w:r w:rsidR="0091184E" w:rsidRPr="005D4117">
        <w:rPr>
          <w:rFonts w:cs="TimesNewRoman"/>
        </w:rPr>
        <w:t xml:space="preserve"> en 2014</w:t>
      </w:r>
      <w:r w:rsidRPr="005D4117">
        <w:rPr>
          <w:rFonts w:cs="TimesNewRoman"/>
        </w:rPr>
        <w:t xml:space="preserve">, alors que le nombre de bénéficiaires figurant dans les agréments de ces mêmes organisations atteignaient seulement un total de 225.549 personnes. </w:t>
      </w:r>
    </w:p>
    <w:p w14:paraId="74EADCA6" w14:textId="575C6290" w:rsidR="00A779F6" w:rsidRPr="005D4117" w:rsidRDefault="00A779F6" w:rsidP="00A3247B">
      <w:pPr>
        <w:autoSpaceDE w:val="0"/>
        <w:autoSpaceDN w:val="0"/>
        <w:adjustRightInd w:val="0"/>
        <w:spacing w:after="0"/>
        <w:rPr>
          <w:rFonts w:cs="TimesNewRoman"/>
        </w:rPr>
      </w:pPr>
      <w:r w:rsidRPr="005D4117">
        <w:rPr>
          <w:rFonts w:cs="TimesNewRoman"/>
        </w:rPr>
        <w:t>C’est pourquoi l’AG a révisé la façon dont ces indicateurs sont collect</w:t>
      </w:r>
      <w:r w:rsidR="0091184E" w:rsidRPr="005D4117">
        <w:rPr>
          <w:rFonts w:cs="TimesNewRoman"/>
        </w:rPr>
        <w:t xml:space="preserve">és pour le rapport annuel 2015 et a pris </w:t>
      </w:r>
      <w:r w:rsidRPr="005D4117">
        <w:rPr>
          <w:rFonts w:cs="TimesNewRoman"/>
        </w:rPr>
        <w:t>les mesures suivantes:</w:t>
      </w:r>
    </w:p>
    <w:p w14:paraId="64738AB6" w14:textId="77777777" w:rsidR="0091184E" w:rsidRPr="005D4117" w:rsidRDefault="0091184E" w:rsidP="00A3247B">
      <w:pPr>
        <w:autoSpaceDE w:val="0"/>
        <w:autoSpaceDN w:val="0"/>
        <w:adjustRightInd w:val="0"/>
        <w:spacing w:after="0"/>
        <w:rPr>
          <w:rFonts w:cs="TimesNewRoman"/>
        </w:rPr>
      </w:pPr>
    </w:p>
    <w:p w14:paraId="711FBF04" w14:textId="7879F9A7" w:rsidR="00A779F6" w:rsidRPr="005D4117" w:rsidRDefault="00A779F6" w:rsidP="00A3247B">
      <w:pPr>
        <w:pStyle w:val="Lijstalinea"/>
        <w:numPr>
          <w:ilvl w:val="0"/>
          <w:numId w:val="18"/>
        </w:numPr>
        <w:autoSpaceDE w:val="0"/>
        <w:autoSpaceDN w:val="0"/>
        <w:adjustRightInd w:val="0"/>
        <w:spacing w:after="0"/>
        <w:rPr>
          <w:rFonts w:cs="TimesNewRoman"/>
        </w:rPr>
      </w:pPr>
      <w:r w:rsidRPr="005D4117">
        <w:rPr>
          <w:rFonts w:cs="TimesNewRoman"/>
        </w:rPr>
        <w:t xml:space="preserve">Une section spéciale concernant les statistiques a été </w:t>
      </w:r>
      <w:r w:rsidR="0091184E" w:rsidRPr="005D4117">
        <w:rPr>
          <w:rFonts w:cs="TimesNewRoman"/>
        </w:rPr>
        <w:t>inclue</w:t>
      </w:r>
      <w:r w:rsidRPr="005D4117">
        <w:rPr>
          <w:rFonts w:cs="TimesNewRoman"/>
        </w:rPr>
        <w:t xml:space="preserve"> dans le règlement 2016 (Point J – Règlement 2016 - </w:t>
      </w:r>
      <w:hyperlink r:id="rId12" w:history="1">
        <w:r w:rsidRPr="005D4117">
          <w:rPr>
            <w:rStyle w:val="Hyperlink"/>
            <w:rFonts w:cs="TimesNewRoman"/>
            <w:color w:val="auto"/>
          </w:rPr>
          <w:t>http://www.mi-is.be/sites/default/files/documents/fead_-_reglement_2016_fr_3.docx</w:t>
        </w:r>
      </w:hyperlink>
      <w:r w:rsidRPr="005D4117">
        <w:rPr>
          <w:rFonts w:cs="TimesNewRoman"/>
        </w:rPr>
        <w:t xml:space="preserve"> ). Dans cette section l’AG a essayé de reprendre des instructions </w:t>
      </w:r>
      <w:r w:rsidR="0091184E" w:rsidRPr="005D4117">
        <w:rPr>
          <w:rFonts w:cs="TimesNewRoman"/>
        </w:rPr>
        <w:t>aussi</w:t>
      </w:r>
      <w:r w:rsidRPr="005D4117">
        <w:rPr>
          <w:rFonts w:cs="TimesNewRoman"/>
        </w:rPr>
        <w:t xml:space="preserve"> claires </w:t>
      </w:r>
      <w:r w:rsidR="0091184E" w:rsidRPr="005D4117">
        <w:rPr>
          <w:rFonts w:cs="TimesNewRoman"/>
        </w:rPr>
        <w:t xml:space="preserve">que possible </w:t>
      </w:r>
      <w:r w:rsidRPr="005D4117">
        <w:rPr>
          <w:rFonts w:cs="TimesNewRoman"/>
        </w:rPr>
        <w:t>concernant les statistiques</w:t>
      </w:r>
      <w:r w:rsidR="0091184E" w:rsidRPr="005D4117">
        <w:rPr>
          <w:rFonts w:cs="TimesNewRoman"/>
        </w:rPr>
        <w:t xml:space="preserve"> en y insérant</w:t>
      </w:r>
      <w:r w:rsidRPr="005D4117">
        <w:rPr>
          <w:rFonts w:cs="TimesNewRoman"/>
        </w:rPr>
        <w:t xml:space="preserve"> des exemples concrets et des cas spécifiques.</w:t>
      </w:r>
    </w:p>
    <w:p w14:paraId="69F00040" w14:textId="5F795AE6" w:rsidR="00A779F6" w:rsidRPr="00283F2D" w:rsidRDefault="00A779F6" w:rsidP="00A3247B">
      <w:pPr>
        <w:pStyle w:val="Lijstalinea"/>
        <w:autoSpaceDE w:val="0"/>
        <w:autoSpaceDN w:val="0"/>
        <w:adjustRightInd w:val="0"/>
        <w:spacing w:after="0"/>
        <w:rPr>
          <w:rFonts w:cs="TimesNewRoman"/>
        </w:rPr>
      </w:pPr>
      <w:r w:rsidRPr="005D4117">
        <w:rPr>
          <w:rFonts w:cs="TimesNewRoman"/>
        </w:rPr>
        <w:t>Une erreur faite fréquemment était par exemple</w:t>
      </w:r>
      <w:r w:rsidR="0091184E" w:rsidRPr="005D4117">
        <w:rPr>
          <w:rFonts w:cs="TimesNewRoman"/>
        </w:rPr>
        <w:t xml:space="preserve"> que les organisations comptaient </w:t>
      </w:r>
      <w:r w:rsidR="0091184E" w:rsidRPr="00283F2D">
        <w:rPr>
          <w:rFonts w:cs="TimesNewRoman"/>
        </w:rPr>
        <w:t>plusieurs fois une même personne quand elle se présentait régulièrement – faussant ainsi les statistiques finales.</w:t>
      </w:r>
      <w:r w:rsidRPr="00283F2D">
        <w:rPr>
          <w:rFonts w:cs="TimesNewRoman"/>
        </w:rPr>
        <w:t xml:space="preserve"> </w:t>
      </w:r>
    </w:p>
    <w:p w14:paraId="1F0D2826" w14:textId="61B24F15" w:rsidR="0091184E" w:rsidRPr="00283F2D" w:rsidRDefault="0091184E" w:rsidP="00A3247B">
      <w:pPr>
        <w:pStyle w:val="Lijstalinea"/>
        <w:numPr>
          <w:ilvl w:val="0"/>
          <w:numId w:val="18"/>
        </w:numPr>
        <w:autoSpaceDE w:val="0"/>
        <w:autoSpaceDN w:val="0"/>
        <w:adjustRightInd w:val="0"/>
        <w:spacing w:after="0"/>
        <w:rPr>
          <w:rFonts w:cs="TimesNewRoman"/>
        </w:rPr>
      </w:pPr>
      <w:r w:rsidRPr="00283F2D">
        <w:rPr>
          <w:rFonts w:cs="TimesNewRoman"/>
        </w:rPr>
        <w:t>Tout au long de l’année, l’importance de remplir correctement les statist</w:t>
      </w:r>
      <w:r w:rsidR="001C381D" w:rsidRPr="00283F2D">
        <w:rPr>
          <w:rFonts w:cs="TimesNewRoman"/>
        </w:rPr>
        <w:t>iques demandées a été soulignée</w:t>
      </w:r>
      <w:r w:rsidRPr="00283F2D">
        <w:rPr>
          <w:rFonts w:cs="TimesNewRoman"/>
        </w:rPr>
        <w:t>: dans les lettres d’information mensuelles ainsi que dans la lettre informant les organisations partenaires et les CPAS que la période de commande 2016 était ouverte.</w:t>
      </w:r>
    </w:p>
    <w:p w14:paraId="2758AF68" w14:textId="49B3A8B3" w:rsidR="00A779F6" w:rsidRPr="0020647A" w:rsidRDefault="0091184E" w:rsidP="00283F2D">
      <w:pPr>
        <w:pStyle w:val="Lijstalinea"/>
        <w:numPr>
          <w:ilvl w:val="0"/>
          <w:numId w:val="18"/>
        </w:numPr>
        <w:autoSpaceDE w:val="0"/>
        <w:autoSpaceDN w:val="0"/>
        <w:adjustRightInd w:val="0"/>
        <w:spacing w:after="0"/>
        <w:rPr>
          <w:rFonts w:ascii="Calibri" w:hAnsi="Calibri"/>
          <w:sz w:val="22"/>
          <w:lang w:val="fr-BE"/>
        </w:rPr>
      </w:pPr>
      <w:r w:rsidRPr="00283F2D">
        <w:rPr>
          <w:rFonts w:cs="TimesNewRoman"/>
        </w:rPr>
        <w:t>L’AG a également travaillé</w:t>
      </w:r>
      <w:r w:rsidR="001C381D" w:rsidRPr="00283F2D">
        <w:rPr>
          <w:rFonts w:cs="TimesNewRoman"/>
        </w:rPr>
        <w:t xml:space="preserve"> sur </w:t>
      </w:r>
      <w:r w:rsidR="0006072E" w:rsidRPr="00283F2D">
        <w:rPr>
          <w:rFonts w:cs="TimesNewRoman"/>
        </w:rPr>
        <w:t>l’ensemble des données reçues</w:t>
      </w:r>
      <w:r w:rsidR="001C381D" w:rsidRPr="00283F2D">
        <w:rPr>
          <w:rFonts w:cs="TimesNewRoman"/>
        </w:rPr>
        <w:t xml:space="preserve"> </w:t>
      </w:r>
      <w:r w:rsidRPr="00283F2D">
        <w:rPr>
          <w:rFonts w:cs="TimesNewRoman"/>
        </w:rPr>
        <w:t xml:space="preserve">en contactant directement toutes les organisations </w:t>
      </w:r>
      <w:r w:rsidR="0006072E" w:rsidRPr="00283F2D">
        <w:rPr>
          <w:rFonts w:cs="TimesNewRoman"/>
        </w:rPr>
        <w:t>ayant</w:t>
      </w:r>
      <w:r w:rsidRPr="00283F2D">
        <w:rPr>
          <w:rFonts w:cs="TimesNewRoman"/>
        </w:rPr>
        <w:t xml:space="preserve"> introduit des chiffres</w:t>
      </w:r>
      <w:r w:rsidR="0006072E" w:rsidRPr="00283F2D">
        <w:rPr>
          <w:rFonts w:cs="TimesNewRoman"/>
        </w:rPr>
        <w:t xml:space="preserve"> paraissant</w:t>
      </w:r>
      <w:r w:rsidRPr="00283F2D">
        <w:rPr>
          <w:rFonts w:cs="TimesNewRoman"/>
        </w:rPr>
        <w:t xml:space="preserve"> disproportionnés </w:t>
      </w:r>
      <w:r w:rsidR="0006072E" w:rsidRPr="00283F2D">
        <w:rPr>
          <w:rFonts w:cs="TimesNewRoman"/>
        </w:rPr>
        <w:t>au vu du</w:t>
      </w:r>
      <w:r w:rsidRPr="00283F2D">
        <w:rPr>
          <w:rFonts w:cs="TimesNewRoman"/>
        </w:rPr>
        <w:t xml:space="preserve"> nombre de bénéficiaires repris dans leur agrément</w:t>
      </w:r>
      <w:r w:rsidR="000D52C2" w:rsidRPr="00283F2D">
        <w:rPr>
          <w:rFonts w:cs="TimesNewRoman"/>
        </w:rPr>
        <w:t xml:space="preserve"> et </w:t>
      </w:r>
      <w:r w:rsidR="0006072E" w:rsidRPr="00283F2D">
        <w:rPr>
          <w:rFonts w:cs="TimesNewRoman"/>
        </w:rPr>
        <w:t xml:space="preserve">ainsi </w:t>
      </w:r>
      <w:r w:rsidR="000D52C2" w:rsidRPr="00283F2D">
        <w:rPr>
          <w:rFonts w:cs="TimesNewRoman"/>
        </w:rPr>
        <w:t>obtenir davantage d’explications. Dans l</w:t>
      </w:r>
      <w:r w:rsidR="00A779F6" w:rsidRPr="00283F2D">
        <w:rPr>
          <w:rFonts w:cs="TimesNewRoman"/>
        </w:rPr>
        <w:t xml:space="preserve">a plupart des cas </w:t>
      </w:r>
      <w:r w:rsidR="000D52C2" w:rsidRPr="00283F2D">
        <w:rPr>
          <w:rFonts w:cs="TimesNewRoman"/>
        </w:rPr>
        <w:t>les</w:t>
      </w:r>
      <w:r w:rsidR="00A779F6" w:rsidRPr="00283F2D">
        <w:rPr>
          <w:rFonts w:cs="TimesNewRoman"/>
        </w:rPr>
        <w:t xml:space="preserve"> organisations </w:t>
      </w:r>
      <w:r w:rsidR="000D52C2" w:rsidRPr="00283F2D">
        <w:rPr>
          <w:rFonts w:cs="TimesNewRoman"/>
        </w:rPr>
        <w:t xml:space="preserve">concernées </w:t>
      </w:r>
      <w:r w:rsidR="00A779F6" w:rsidRPr="00283F2D">
        <w:rPr>
          <w:rFonts w:cs="TimesNewRoman"/>
        </w:rPr>
        <w:t>s’étaient trompées</w:t>
      </w:r>
      <w:r w:rsidR="00FF619F" w:rsidRPr="00283F2D">
        <w:rPr>
          <w:rFonts w:cs="TimesNewRoman"/>
        </w:rPr>
        <w:t> : elles avaient compté plusieurs fois</w:t>
      </w:r>
      <w:r w:rsidR="0006072E" w:rsidRPr="00283F2D">
        <w:rPr>
          <w:rFonts w:cs="TimesNewRoman"/>
        </w:rPr>
        <w:t xml:space="preserve"> d</w:t>
      </w:r>
      <w:r w:rsidR="00FF619F" w:rsidRPr="00283F2D">
        <w:rPr>
          <w:rFonts w:cs="TimesNewRoman"/>
        </w:rPr>
        <w:t xml:space="preserve">es personnes qui </w:t>
      </w:r>
      <w:r w:rsidR="0006072E" w:rsidRPr="00283F2D">
        <w:rPr>
          <w:rFonts w:cs="TimesNewRoman"/>
        </w:rPr>
        <w:t>s’étaient présentées régulièrement</w:t>
      </w:r>
      <w:r w:rsidR="00FF619F" w:rsidRPr="00283F2D">
        <w:rPr>
          <w:rFonts w:cs="TimesNewRoman"/>
        </w:rPr>
        <w:t xml:space="preserve"> – gonflant ainsi énormément les chiffres</w:t>
      </w:r>
      <w:r w:rsidR="00A779F6" w:rsidRPr="00283F2D">
        <w:rPr>
          <w:rFonts w:cs="TimesNewRoman"/>
        </w:rPr>
        <w:t xml:space="preserve">. </w:t>
      </w:r>
      <w:r w:rsidR="0020647A">
        <w:rPr>
          <w:rFonts w:cs="TimesNewRoman"/>
        </w:rPr>
        <w:tab/>
      </w:r>
      <w:r w:rsidR="00FF619F" w:rsidRPr="00283F2D">
        <w:rPr>
          <w:rFonts w:cs="TimesNewRoman"/>
        </w:rPr>
        <w:br/>
        <w:t>Néanmoins</w:t>
      </w:r>
      <w:r w:rsidR="00BB5B1A" w:rsidRPr="00283F2D">
        <w:rPr>
          <w:rFonts w:cs="TimesNewRoman"/>
        </w:rPr>
        <w:t xml:space="preserve">, certaines organisations connaissent un roulement important dans leurs bénéficiaires augmentant </w:t>
      </w:r>
      <w:r w:rsidR="00BB5B1A" w:rsidRPr="00283F2D">
        <w:rPr>
          <w:rFonts w:cs="TimesNewRoman"/>
          <w:i/>
        </w:rPr>
        <w:t>de facto</w:t>
      </w:r>
      <w:r w:rsidR="00BB5B1A" w:rsidRPr="00283F2D">
        <w:rPr>
          <w:rFonts w:cs="TimesNewRoman"/>
        </w:rPr>
        <w:t xml:space="preserve"> le nombre de personnes différentes aidées par an</w:t>
      </w:r>
      <w:r w:rsidR="00FF619F" w:rsidRPr="00283F2D">
        <w:rPr>
          <w:rFonts w:cs="TimesNewRoman"/>
        </w:rPr>
        <w:t xml:space="preserve">. </w:t>
      </w:r>
      <w:r w:rsidR="00FF619F" w:rsidRPr="00283F2D">
        <w:rPr>
          <w:lang w:val="fr-BE"/>
        </w:rPr>
        <w:t>Ainsi, une personne peut se présenter deux mois d’affilée, puis ne plus venir et donc être remplacée par une autre personne et ainsi de suite.</w:t>
      </w:r>
      <w:r w:rsidR="0020647A">
        <w:rPr>
          <w:lang w:val="fr-BE"/>
        </w:rPr>
        <w:tab/>
      </w:r>
      <w:r w:rsidR="0020647A">
        <w:rPr>
          <w:lang w:val="fr-BE"/>
        </w:rPr>
        <w:br/>
      </w:r>
      <w:r w:rsidR="000D52C2" w:rsidRPr="0020647A">
        <w:rPr>
          <w:rFonts w:cs="TimesNewRoman"/>
        </w:rPr>
        <w:t>E</w:t>
      </w:r>
      <w:r w:rsidR="00A779F6" w:rsidRPr="0020647A">
        <w:rPr>
          <w:rFonts w:cs="TimesNewRoman"/>
        </w:rPr>
        <w:t>n 2015</w:t>
      </w:r>
      <w:r w:rsidR="000D52C2" w:rsidRPr="0020647A">
        <w:rPr>
          <w:rFonts w:cs="TimesNewRoman"/>
        </w:rPr>
        <w:t xml:space="preserve"> de nouveau</w:t>
      </w:r>
      <w:r w:rsidR="00A779F6" w:rsidRPr="0020647A">
        <w:rPr>
          <w:rFonts w:cs="TimesNewRoman"/>
        </w:rPr>
        <w:t xml:space="preserve">, </w:t>
      </w:r>
      <w:r w:rsidR="00FF619F" w:rsidRPr="0020647A">
        <w:rPr>
          <w:rFonts w:cs="TimesNewRoman"/>
        </w:rPr>
        <w:t>communiquer ces</w:t>
      </w:r>
      <w:r w:rsidR="000D52C2" w:rsidRPr="0020647A">
        <w:rPr>
          <w:rFonts w:cs="TimesNewRoman"/>
        </w:rPr>
        <w:t xml:space="preserve"> chiffres a paru être une tâche très complexe </w:t>
      </w:r>
      <w:r w:rsidR="00A779F6" w:rsidRPr="0020647A">
        <w:rPr>
          <w:rFonts w:cs="TimesNewRoman"/>
        </w:rPr>
        <w:t xml:space="preserve">pour certaines organisations. </w:t>
      </w:r>
      <w:r w:rsidR="001C381D" w:rsidRPr="0020647A">
        <w:rPr>
          <w:rFonts w:cs="TimesNewRoman"/>
        </w:rPr>
        <w:t>Pour info</w:t>
      </w:r>
      <w:r w:rsidR="00BB5B1A" w:rsidRPr="0020647A">
        <w:rPr>
          <w:rFonts w:cs="TimesNewRoman"/>
        </w:rPr>
        <w:t>rmation</w:t>
      </w:r>
      <w:r w:rsidR="001C381D" w:rsidRPr="0020647A">
        <w:rPr>
          <w:rFonts w:cs="TimesNewRoman"/>
        </w:rPr>
        <w:t xml:space="preserve">, plus de 80 organisations ont été contactées afin </w:t>
      </w:r>
      <w:r w:rsidR="00AB1B46" w:rsidRPr="0020647A">
        <w:rPr>
          <w:rFonts w:cs="TimesNewRoman"/>
        </w:rPr>
        <w:t>qu’elles nous fournissent</w:t>
      </w:r>
      <w:r w:rsidR="001C381D" w:rsidRPr="0020647A">
        <w:rPr>
          <w:rFonts w:cs="TimesNewRoman"/>
        </w:rPr>
        <w:t xml:space="preserve"> une explication concernant les chiffres introduits. </w:t>
      </w:r>
    </w:p>
    <w:p w14:paraId="104DDE82" w14:textId="77777777" w:rsidR="00A779F6" w:rsidRPr="00283F2D" w:rsidRDefault="00A779F6" w:rsidP="00A3247B">
      <w:pPr>
        <w:autoSpaceDE w:val="0"/>
        <w:autoSpaceDN w:val="0"/>
        <w:adjustRightInd w:val="0"/>
        <w:spacing w:after="0"/>
        <w:rPr>
          <w:rFonts w:cs="TimesNewRoman"/>
        </w:rPr>
      </w:pPr>
    </w:p>
    <w:p w14:paraId="165DDDC6" w14:textId="76285E4C" w:rsidR="00A779F6" w:rsidRPr="00DA0446" w:rsidRDefault="000D52C2" w:rsidP="00A3247B">
      <w:pPr>
        <w:autoSpaceDE w:val="0"/>
        <w:autoSpaceDN w:val="0"/>
        <w:adjustRightInd w:val="0"/>
        <w:spacing w:after="0"/>
        <w:rPr>
          <w:rFonts w:cs="TimesNewRoman"/>
        </w:rPr>
      </w:pPr>
      <w:r w:rsidRPr="00283F2D">
        <w:rPr>
          <w:rFonts w:cs="TimesNewRoman"/>
        </w:rPr>
        <w:t>Malgré l</w:t>
      </w:r>
      <w:r w:rsidR="00A779F6" w:rsidRPr="00283F2D">
        <w:rPr>
          <w:rFonts w:cs="TimesNewRoman"/>
        </w:rPr>
        <w:t xml:space="preserve">es explications </w:t>
      </w:r>
      <w:r w:rsidRPr="00DA0446">
        <w:rPr>
          <w:rFonts w:cs="TimesNewRoman"/>
        </w:rPr>
        <w:t xml:space="preserve">complémentaires </w:t>
      </w:r>
      <w:r w:rsidR="00A779F6" w:rsidRPr="00DA0446">
        <w:rPr>
          <w:rFonts w:cs="TimesNewRoman"/>
        </w:rPr>
        <w:t xml:space="preserve">fournies et les efforts réalisés </w:t>
      </w:r>
      <w:r w:rsidRPr="00DA0446">
        <w:rPr>
          <w:rFonts w:cs="TimesNewRoman"/>
        </w:rPr>
        <w:t>pour améliorer la fiabilité des statistiques</w:t>
      </w:r>
      <w:r w:rsidR="00A779F6" w:rsidRPr="00DA0446">
        <w:rPr>
          <w:rFonts w:cs="TimesNewRoman"/>
        </w:rPr>
        <w:t xml:space="preserve">, l’AG </w:t>
      </w:r>
      <w:r w:rsidRPr="00DA0446">
        <w:rPr>
          <w:rFonts w:cs="TimesNewRoman"/>
        </w:rPr>
        <w:t>se rend compte que</w:t>
      </w:r>
      <w:r w:rsidR="00A779F6" w:rsidRPr="00DA0446">
        <w:rPr>
          <w:rFonts w:cs="TimesNewRoman"/>
        </w:rPr>
        <w:t xml:space="preserve"> </w:t>
      </w:r>
      <w:r w:rsidR="008013D6" w:rsidRPr="00DA0446">
        <w:rPr>
          <w:rFonts w:cs="TimesNewRoman"/>
        </w:rPr>
        <w:t>certaines</w:t>
      </w:r>
      <w:r w:rsidR="00A779F6" w:rsidRPr="00DA0446">
        <w:rPr>
          <w:rFonts w:cs="TimesNewRoman"/>
        </w:rPr>
        <w:t xml:space="preserve"> organisations ont fourni des chiffres </w:t>
      </w:r>
      <w:r w:rsidR="008013D6" w:rsidRPr="00DA0446">
        <w:rPr>
          <w:rFonts w:cs="TimesNewRoman"/>
        </w:rPr>
        <w:t>qui semblent manquer de cohérence</w:t>
      </w:r>
      <w:r w:rsidR="00A779F6" w:rsidRPr="00DA0446">
        <w:rPr>
          <w:rFonts w:cs="TimesNewRoman"/>
        </w:rPr>
        <w:t xml:space="preserve">. L’AG constate à nouveau que le fait que la plupart des organisations reposent sur le dévouement de bénévoles – parmi lesquels il peut y avoir un roulement fréquent – ne facilite pas les choses. </w:t>
      </w:r>
    </w:p>
    <w:p w14:paraId="2A119F6A" w14:textId="77777777" w:rsidR="00A779F6" w:rsidRPr="00283F2D" w:rsidRDefault="00A779F6" w:rsidP="00A3247B">
      <w:pPr>
        <w:autoSpaceDE w:val="0"/>
        <w:autoSpaceDN w:val="0"/>
        <w:adjustRightInd w:val="0"/>
        <w:spacing w:after="0"/>
        <w:rPr>
          <w:rFonts w:cs="TimesNewRoman"/>
        </w:rPr>
      </w:pPr>
    </w:p>
    <w:p w14:paraId="011D7EFA" w14:textId="505BC069" w:rsidR="00A779F6" w:rsidRPr="00283F2D" w:rsidRDefault="00FF619F" w:rsidP="00A3247B">
      <w:pPr>
        <w:autoSpaceDE w:val="0"/>
        <w:autoSpaceDN w:val="0"/>
        <w:adjustRightInd w:val="0"/>
        <w:spacing w:after="0"/>
        <w:rPr>
          <w:rFonts w:cs="TimesNewRoman"/>
        </w:rPr>
      </w:pPr>
      <w:r w:rsidRPr="00283F2D">
        <w:rPr>
          <w:rFonts w:cs="TimesNewRoman"/>
        </w:rPr>
        <w:t>En 2015, le</w:t>
      </w:r>
      <w:r w:rsidR="00A779F6" w:rsidRPr="00283F2D">
        <w:rPr>
          <w:rFonts w:cs="TimesNewRoman"/>
        </w:rPr>
        <w:t>s organisations affirment</w:t>
      </w:r>
      <w:r w:rsidRPr="00283F2D">
        <w:rPr>
          <w:rFonts w:cs="TimesNewRoman"/>
        </w:rPr>
        <w:t xml:space="preserve"> </w:t>
      </w:r>
      <w:r w:rsidR="00A779F6" w:rsidRPr="00283F2D">
        <w:rPr>
          <w:rFonts w:cs="TimesNewRoman"/>
        </w:rPr>
        <w:t xml:space="preserve">avoir aidé un total de </w:t>
      </w:r>
      <w:r w:rsidR="001C381D" w:rsidRPr="00283F2D">
        <w:rPr>
          <w:rFonts w:cs="TimesNewRoman"/>
          <w:b/>
        </w:rPr>
        <w:t>436.328</w:t>
      </w:r>
      <w:r w:rsidR="00A779F6" w:rsidRPr="00283F2D">
        <w:rPr>
          <w:rFonts w:cs="TimesNewRoman"/>
        </w:rPr>
        <w:t xml:space="preserve"> personnes, alors que le nombre de bénéficiaires figurant dans les agréments de ces mêmes organisations atteignent seulement un total de </w:t>
      </w:r>
      <w:r w:rsidR="001C381D" w:rsidRPr="00283F2D">
        <w:rPr>
          <w:rFonts w:cs="TimesNewRoman"/>
          <w:b/>
        </w:rPr>
        <w:t>273.121</w:t>
      </w:r>
      <w:r w:rsidR="00A779F6" w:rsidRPr="00283F2D">
        <w:rPr>
          <w:rFonts w:cs="TimesNewRoman"/>
        </w:rPr>
        <w:t xml:space="preserve"> personnes. </w:t>
      </w:r>
      <w:r w:rsidR="000D52C2" w:rsidRPr="00283F2D">
        <w:rPr>
          <w:rFonts w:cs="TimesNewRoman"/>
        </w:rPr>
        <w:t xml:space="preserve">Il est tout à fait </w:t>
      </w:r>
      <w:r w:rsidR="00A779F6" w:rsidRPr="00283F2D">
        <w:rPr>
          <w:rFonts w:cs="TimesNewRoman"/>
        </w:rPr>
        <w:t xml:space="preserve">possible que les CPAS/ organisations partenaires aident </w:t>
      </w:r>
      <w:r w:rsidR="000D52C2" w:rsidRPr="00283F2D">
        <w:rPr>
          <w:rFonts w:cs="TimesNewRoman"/>
        </w:rPr>
        <w:t>davantage</w:t>
      </w:r>
      <w:r w:rsidR="00A779F6" w:rsidRPr="00283F2D">
        <w:rPr>
          <w:rFonts w:cs="TimesNewRoman"/>
        </w:rPr>
        <w:t xml:space="preserve"> de personnes </w:t>
      </w:r>
      <w:r w:rsidR="000D52C2" w:rsidRPr="00283F2D">
        <w:rPr>
          <w:rFonts w:cs="TimesNewRoman"/>
        </w:rPr>
        <w:t>que ce qui est mentionné dans</w:t>
      </w:r>
      <w:r w:rsidR="00A779F6" w:rsidRPr="00283F2D">
        <w:rPr>
          <w:rFonts w:cs="TimesNewRoman"/>
        </w:rPr>
        <w:t xml:space="preserve"> leur agrément</w:t>
      </w:r>
      <w:r w:rsidR="00CD61BA" w:rsidRPr="00283F2D">
        <w:rPr>
          <w:rFonts w:cs="TimesNewRoman"/>
        </w:rPr>
        <w:t xml:space="preserve"> – c’est effectivement le cas pour une grande partie d’entre eux</w:t>
      </w:r>
      <w:r w:rsidR="00A779F6" w:rsidRPr="00283F2D">
        <w:rPr>
          <w:rFonts w:cs="TimesNewRoman"/>
        </w:rPr>
        <w:t xml:space="preserve">. Mais une différence de </w:t>
      </w:r>
      <w:r w:rsidR="001C381D" w:rsidRPr="00283F2D">
        <w:rPr>
          <w:rFonts w:cs="TimesNewRoman"/>
        </w:rPr>
        <w:t>163.207</w:t>
      </w:r>
      <w:r w:rsidR="00A779F6" w:rsidRPr="00283F2D">
        <w:rPr>
          <w:rFonts w:cs="TimesNewRoman"/>
        </w:rPr>
        <w:t xml:space="preserve"> nous semble </w:t>
      </w:r>
      <w:r w:rsidR="00EB404F" w:rsidRPr="00283F2D">
        <w:rPr>
          <w:rFonts w:cs="TimesNewRoman"/>
        </w:rPr>
        <w:t>trop importante que pour être justifiée seulement par cela</w:t>
      </w:r>
      <w:r w:rsidR="00276C65">
        <w:rPr>
          <w:rFonts w:cs="TimesNewRoman"/>
        </w:rPr>
        <w:t>.</w:t>
      </w:r>
    </w:p>
    <w:p w14:paraId="639CEBA6" w14:textId="77777777" w:rsidR="00A779F6" w:rsidRPr="00283F2D" w:rsidRDefault="00A779F6" w:rsidP="00A3247B">
      <w:pPr>
        <w:autoSpaceDE w:val="0"/>
        <w:autoSpaceDN w:val="0"/>
        <w:adjustRightInd w:val="0"/>
        <w:spacing w:after="0"/>
        <w:rPr>
          <w:rFonts w:cs="TimesNewRoman"/>
        </w:rPr>
      </w:pPr>
    </w:p>
    <w:p w14:paraId="16092D4E" w14:textId="1CA17A3B" w:rsidR="00A779F6" w:rsidRPr="005D4117" w:rsidRDefault="00A779F6" w:rsidP="00A3247B">
      <w:pPr>
        <w:autoSpaceDE w:val="0"/>
        <w:autoSpaceDN w:val="0"/>
        <w:adjustRightInd w:val="0"/>
        <w:spacing w:after="0"/>
        <w:rPr>
          <w:rFonts w:cs="TimesNewRoman"/>
        </w:rPr>
      </w:pPr>
      <w:r w:rsidRPr="00283F2D">
        <w:rPr>
          <w:rFonts w:cs="TimesNewRoman"/>
        </w:rPr>
        <w:t xml:space="preserve">L’AG a par conséquence </w:t>
      </w:r>
      <w:r w:rsidR="000D52C2" w:rsidRPr="00283F2D">
        <w:rPr>
          <w:rFonts w:cs="TimesNewRoman"/>
        </w:rPr>
        <w:t xml:space="preserve">de </w:t>
      </w:r>
      <w:r w:rsidRPr="00283F2D">
        <w:rPr>
          <w:rFonts w:cs="TimesNewRoman"/>
        </w:rPr>
        <w:t xml:space="preserve">nouveau </w:t>
      </w:r>
      <w:r w:rsidR="000D52C2" w:rsidRPr="00283F2D">
        <w:rPr>
          <w:rFonts w:cs="TimesNewRoman"/>
        </w:rPr>
        <w:t xml:space="preserve">ajusté </w:t>
      </w:r>
      <w:r w:rsidRPr="00283F2D">
        <w:rPr>
          <w:rFonts w:cs="TimesNewRoman"/>
        </w:rPr>
        <w:t>les données reçues en fonction du nombre</w:t>
      </w:r>
      <w:r w:rsidRPr="005D4117">
        <w:rPr>
          <w:rFonts w:cs="TimesNewRoman"/>
        </w:rPr>
        <w:t xml:space="preserve"> de bénéficiaires stipulé dans les agréments. </w:t>
      </w:r>
    </w:p>
    <w:p w14:paraId="791BBAC9" w14:textId="77777777" w:rsidR="00A779F6" w:rsidRPr="005D4117" w:rsidRDefault="00A779F6" w:rsidP="00A3247B">
      <w:pPr>
        <w:autoSpaceDE w:val="0"/>
        <w:autoSpaceDN w:val="0"/>
        <w:adjustRightInd w:val="0"/>
        <w:spacing w:after="0"/>
        <w:rPr>
          <w:rFonts w:cs="TimesNewRoman"/>
        </w:rPr>
      </w:pPr>
      <w:r w:rsidRPr="005D4117">
        <w:rPr>
          <w:rFonts w:cs="TimesNewRoman"/>
        </w:rPr>
        <w:t>Comme en 2014, p</w:t>
      </w:r>
      <w:r w:rsidRPr="005D4117">
        <w:t xml:space="preserve">our la répartition par profil des bénéficiaires finaux, les pourcentages des données transmises par les organisations partenaires ont été appliqués au nombre total de bénéficiaires de l'ensemble des agréments. Le calcul est présenté dans l'Annexe 1. </w:t>
      </w:r>
    </w:p>
    <w:p w14:paraId="37D9ACBA" w14:textId="77777777" w:rsidR="00A779F6" w:rsidRPr="00DA0446" w:rsidRDefault="00A779F6" w:rsidP="00A3247B">
      <w:pPr>
        <w:autoSpaceDE w:val="0"/>
        <w:autoSpaceDN w:val="0"/>
        <w:adjustRightInd w:val="0"/>
        <w:spacing w:after="0"/>
      </w:pPr>
    </w:p>
    <w:p w14:paraId="1D485EDB" w14:textId="3D8C6546" w:rsidR="00AB1B46" w:rsidRPr="00DA0446" w:rsidRDefault="000D52C2" w:rsidP="00A3247B">
      <w:pPr>
        <w:autoSpaceDE w:val="0"/>
        <w:autoSpaceDN w:val="0"/>
        <w:adjustRightInd w:val="0"/>
        <w:spacing w:after="0"/>
      </w:pPr>
      <w:r w:rsidRPr="00DA0446">
        <w:t>Il est</w:t>
      </w:r>
      <w:r w:rsidR="00A779F6" w:rsidRPr="00DA0446">
        <w:t xml:space="preserve"> clair que la façon dont ces indicateurs sont collectés reste un point d’amélioration durant toute la programmation. Plus de sensibilisation et de </w:t>
      </w:r>
      <w:r w:rsidRPr="00DA0446">
        <w:t>travail sur les chiffres fourni</w:t>
      </w:r>
      <w:r w:rsidR="00A779F6" w:rsidRPr="00DA0446">
        <w:t>s par les CPAS et le</w:t>
      </w:r>
      <w:r w:rsidRPr="00DA0446">
        <w:t>s organisations partenaires s’avère être</w:t>
      </w:r>
      <w:r w:rsidR="00A779F6" w:rsidRPr="00DA0446">
        <w:t xml:space="preserve"> nécessaire.</w:t>
      </w:r>
      <w:r w:rsidR="00276C65" w:rsidRPr="00DA0446">
        <w:tab/>
      </w:r>
      <w:r w:rsidR="00276C65" w:rsidRPr="00DA0446">
        <w:tab/>
      </w:r>
      <w:r w:rsidR="00276C65" w:rsidRPr="00DA0446">
        <w:br/>
        <w:t>Le travail réalisé</w:t>
      </w:r>
      <w:r w:rsidR="00B6567E" w:rsidRPr="00DA0446">
        <w:t xml:space="preserve"> </w:t>
      </w:r>
      <w:r w:rsidR="006361DC" w:rsidRPr="00DA0446">
        <w:t xml:space="preserve">par l’AG </w:t>
      </w:r>
      <w:r w:rsidR="00276C65" w:rsidRPr="00DA0446">
        <w:t xml:space="preserve">sur les statistiques est la raison </w:t>
      </w:r>
      <w:r w:rsidR="006361DC" w:rsidRPr="00DA0446">
        <w:t>qui explique qu’</w:t>
      </w:r>
      <w:r w:rsidR="00276C65" w:rsidRPr="00DA0446">
        <w:t>il y a</w:t>
      </w:r>
      <w:r w:rsidR="00B6567E" w:rsidRPr="00DA0446">
        <w:t>it</w:t>
      </w:r>
      <w:r w:rsidR="00276C65" w:rsidRPr="00DA0446">
        <w:t xml:space="preserve"> parfois des varia</w:t>
      </w:r>
      <w:r w:rsidR="006361DC" w:rsidRPr="00DA0446">
        <w:t>tions entre les chiffres fourni</w:t>
      </w:r>
      <w:r w:rsidR="00276C65" w:rsidRPr="00DA0446">
        <w:t xml:space="preserve">s entre 2014 et 2015, par exemple pour l’indicateur </w:t>
      </w:r>
      <w:r w:rsidR="00891837" w:rsidRPr="00DA0446">
        <w:t>(14</w:t>
      </w:r>
      <w:r w:rsidR="00276C65" w:rsidRPr="00DA0446">
        <w:t xml:space="preserve">f). </w:t>
      </w:r>
    </w:p>
    <w:p w14:paraId="65A0D60F" w14:textId="77777777" w:rsidR="00C75A01" w:rsidRPr="00DA0446" w:rsidRDefault="00C75A01" w:rsidP="00A3247B">
      <w:pPr>
        <w:pStyle w:val="Kop3"/>
        <w:numPr>
          <w:ilvl w:val="2"/>
          <w:numId w:val="2"/>
        </w:numPr>
        <w:spacing w:after="240" w:line="276" w:lineRule="auto"/>
      </w:pPr>
      <w:bookmarkStart w:id="15" w:name="_Toc422390652"/>
      <w:bookmarkStart w:id="16" w:name="_Toc454974430"/>
      <w:r w:rsidRPr="00DA0446">
        <w:t>Sélection des opérations</w:t>
      </w:r>
      <w:bookmarkEnd w:id="15"/>
      <w:bookmarkEnd w:id="16"/>
    </w:p>
    <w:p w14:paraId="6640D770" w14:textId="77777777" w:rsidR="00B46C36" w:rsidRPr="00407488" w:rsidRDefault="00841D38" w:rsidP="00A3247B">
      <w:r w:rsidRPr="00407488">
        <w:t xml:space="preserve">Le PO distingue trois types d'actions. </w:t>
      </w:r>
      <w:r w:rsidR="00B46C36">
        <w:t>Nous présentons</w:t>
      </w:r>
      <w:r w:rsidRPr="00407488">
        <w:t xml:space="preserve"> ci-</w:t>
      </w:r>
      <w:r w:rsidR="00B46C36">
        <w:t>dessous</w:t>
      </w:r>
      <w:r w:rsidRPr="00407488">
        <w:t xml:space="preserve"> un aperçu </w:t>
      </w:r>
      <w:r w:rsidR="00F07827">
        <w:t>des opérations réalisées en 2015</w:t>
      </w:r>
      <w:r w:rsidRPr="00407488">
        <w:t>.</w:t>
      </w:r>
    </w:p>
    <w:p w14:paraId="6095C34B" w14:textId="77777777" w:rsidR="006B6327" w:rsidRDefault="00BC0251" w:rsidP="00A3247B">
      <w:pPr>
        <w:pStyle w:val="Kop4"/>
        <w:numPr>
          <w:ilvl w:val="3"/>
          <w:numId w:val="2"/>
        </w:numPr>
        <w:spacing w:after="240" w:line="276" w:lineRule="auto"/>
      </w:pPr>
      <w:r w:rsidRPr="00407488">
        <w:t>Achat de denrées alimentaires et d'articles via marché public européen et leur mise à la disposition des organisations partenaires</w:t>
      </w:r>
    </w:p>
    <w:p w14:paraId="6C720BC1" w14:textId="52BB4D5C" w:rsidR="0074478D" w:rsidRPr="005D4117" w:rsidRDefault="009546DC" w:rsidP="00A3247B">
      <w:r w:rsidRPr="005D4117">
        <w:t xml:space="preserve">En 2015, le lancement de l’appel d’offre </w:t>
      </w:r>
      <w:r w:rsidR="002C31D6" w:rsidRPr="005D4117">
        <w:t xml:space="preserve">(lancé le </w:t>
      </w:r>
      <w:r w:rsidR="00592B96" w:rsidRPr="005D4117">
        <w:t>20/03/2015</w:t>
      </w:r>
      <w:r w:rsidR="002C31D6" w:rsidRPr="005D4117">
        <w:t xml:space="preserve">) </w:t>
      </w:r>
      <w:r w:rsidRPr="005D4117">
        <w:t xml:space="preserve">pour l’achat de denrées alimentaires a porté sur un budget de </w:t>
      </w:r>
      <w:r w:rsidR="0074478D" w:rsidRPr="005D4117">
        <w:t>12.092.000 €</w:t>
      </w:r>
      <w:r w:rsidR="002A3D1E" w:rsidRPr="005D4117">
        <w:t xml:space="preserve"> (</w:t>
      </w:r>
      <w:r w:rsidR="001C5154" w:rsidRPr="005D4117">
        <w:t>hors TVA</w:t>
      </w:r>
      <w:r w:rsidR="002A3D1E" w:rsidRPr="005D4117">
        <w:t>)</w:t>
      </w:r>
      <w:r w:rsidR="002C31D6" w:rsidRPr="005D4117">
        <w:t xml:space="preserve"> </w:t>
      </w:r>
      <w:r w:rsidRPr="005D4117">
        <w:t xml:space="preserve">réparti sur </w:t>
      </w:r>
      <w:r w:rsidR="0074478D" w:rsidRPr="005D4117">
        <w:t>15</w:t>
      </w:r>
      <w:r w:rsidR="002A3D1E" w:rsidRPr="005D4117">
        <w:t xml:space="preserve"> produits</w:t>
      </w:r>
      <w:r w:rsidRPr="005D4117">
        <w:t>:</w:t>
      </w:r>
      <w:r w:rsidR="002A3D1E" w:rsidRPr="005D4117">
        <w:t xml:space="preserve"> lait demi écrémé</w:t>
      </w:r>
      <w:r w:rsidR="0074478D" w:rsidRPr="005D4117">
        <w:t xml:space="preserve"> (UHT), sardines à l’huile d’olive, lentilles en conserve, poulet en sauce, pâtes (2 types), semoule/couscous, tomates pelées concassées en cubes, haricots verts entiers très fins, fromage fondu à tartiner, mousseline de pomme, hu</w:t>
      </w:r>
      <w:r w:rsidR="002C31D6" w:rsidRPr="005D4117">
        <w:t>i</w:t>
      </w:r>
      <w:r w:rsidR="0074478D" w:rsidRPr="005D4117">
        <w:t xml:space="preserve">le d’olive, confiture extra aux fraises, pétales de mais sucrés, pétales de blé au chocolat, chocolat au lait.  </w:t>
      </w:r>
    </w:p>
    <w:p w14:paraId="3D648700" w14:textId="3005DBC8" w:rsidR="009546DC" w:rsidRPr="005D4117" w:rsidRDefault="00965CF7" w:rsidP="00A3247B">
      <w:r w:rsidRPr="005D4117">
        <w:t xml:space="preserve">La répartition du budget de </w:t>
      </w:r>
      <w:r w:rsidR="0074478D" w:rsidRPr="005D4117">
        <w:t>12.092.000</w:t>
      </w:r>
      <w:r w:rsidRPr="005D4117">
        <w:t xml:space="preserve"> </w:t>
      </w:r>
      <w:r w:rsidR="00C20D7E" w:rsidRPr="005D4117">
        <w:t xml:space="preserve">euros </w:t>
      </w:r>
      <w:r w:rsidR="009546DC" w:rsidRPr="005D4117">
        <w:t>selon</w:t>
      </w:r>
      <w:r w:rsidR="00C20D7E" w:rsidRPr="005D4117">
        <w:t xml:space="preserve"> les différents lots est présen</w:t>
      </w:r>
      <w:r w:rsidR="002C31D6" w:rsidRPr="005D4117">
        <w:t xml:space="preserve">tée en </w:t>
      </w:r>
      <w:r w:rsidRPr="005D4117">
        <w:rPr>
          <w:spacing w:val="5"/>
        </w:rPr>
        <w:t xml:space="preserve">Annexe </w:t>
      </w:r>
      <w:r w:rsidR="00C20D7E" w:rsidRPr="005D4117">
        <w:rPr>
          <w:spacing w:val="5"/>
        </w:rPr>
        <w:t>II</w:t>
      </w:r>
      <w:r w:rsidR="00815D72" w:rsidRPr="005D4117">
        <w:t xml:space="preserve">. </w:t>
      </w:r>
      <w:r w:rsidR="009546DC" w:rsidRPr="005D4117">
        <w:t>Cette répartition tient compte de la demande de produits en 2014</w:t>
      </w:r>
      <w:r w:rsidR="002C31D6" w:rsidRPr="005D4117">
        <w:t xml:space="preserve"> des différentes organisations</w:t>
      </w:r>
      <w:r w:rsidR="009546DC" w:rsidRPr="005D4117">
        <w:t>.</w:t>
      </w:r>
    </w:p>
    <w:p w14:paraId="549BE224" w14:textId="77777777" w:rsidR="005D5DAE" w:rsidRDefault="004A6747" w:rsidP="00A3247B">
      <w:r w:rsidRPr="005D4117">
        <w:t>En ce qui concerne les indicateurs de résultat, le tableau ci-dess</w:t>
      </w:r>
      <w:r w:rsidR="00B46C36" w:rsidRPr="005D4117">
        <w:t>o</w:t>
      </w:r>
      <w:r w:rsidRPr="005D4117">
        <w:t>us</w:t>
      </w:r>
      <w:r w:rsidR="00B46C36" w:rsidRPr="005D4117">
        <w:t xml:space="preserve"> spécifie</w:t>
      </w:r>
      <w:r w:rsidRPr="005D4117">
        <w:t xml:space="preserve"> à quel indicateur chaque produit a été associé. </w:t>
      </w:r>
    </w:p>
    <w:p w14:paraId="278CA51D" w14:textId="77777777" w:rsidR="00B6567E" w:rsidRDefault="00B6567E" w:rsidP="00A3247B">
      <w:pPr>
        <w:rPr>
          <w:bCs/>
          <w:spacing w:val="5"/>
          <w:szCs w:val="24"/>
        </w:rPr>
      </w:pPr>
    </w:p>
    <w:p w14:paraId="3D39DCE5" w14:textId="77777777" w:rsidR="00DA0446" w:rsidRPr="005D4117" w:rsidRDefault="00DA0446" w:rsidP="00A3247B">
      <w:pPr>
        <w:rPr>
          <w:bCs/>
          <w:spacing w:val="5"/>
          <w:szCs w:val="24"/>
        </w:rPr>
      </w:pPr>
    </w:p>
    <w:tbl>
      <w:tblPr>
        <w:tblStyle w:val="Tabelraster"/>
        <w:tblW w:w="0" w:type="auto"/>
        <w:tblLook w:val="04A0" w:firstRow="1" w:lastRow="0" w:firstColumn="1" w:lastColumn="0" w:noHBand="0" w:noVBand="1"/>
      </w:tblPr>
      <w:tblGrid>
        <w:gridCol w:w="4151"/>
        <w:gridCol w:w="4911"/>
      </w:tblGrid>
      <w:tr w:rsidR="005D4117" w:rsidRPr="005D4117" w14:paraId="027A6494" w14:textId="77777777" w:rsidTr="00DB644A">
        <w:tc>
          <w:tcPr>
            <w:tcW w:w="4219" w:type="dxa"/>
            <w:shd w:val="clear" w:color="auto" w:fill="A6A6A6" w:themeFill="background1" w:themeFillShade="A6"/>
          </w:tcPr>
          <w:p w14:paraId="7B3F626E" w14:textId="77777777" w:rsidR="005D5DAE" w:rsidRPr="005D4117" w:rsidRDefault="00916F5D" w:rsidP="00A3247B">
            <w:pPr>
              <w:spacing w:line="276" w:lineRule="auto"/>
              <w:rPr>
                <w:b/>
                <w:szCs w:val="24"/>
              </w:rPr>
            </w:pPr>
            <w:r w:rsidRPr="005D4117">
              <w:rPr>
                <w:b/>
                <w:szCs w:val="24"/>
              </w:rPr>
              <w:lastRenderedPageBreak/>
              <w:t>Produits 2015</w:t>
            </w:r>
          </w:p>
        </w:tc>
        <w:tc>
          <w:tcPr>
            <w:tcW w:w="4993" w:type="dxa"/>
            <w:shd w:val="clear" w:color="auto" w:fill="A6A6A6" w:themeFill="background1" w:themeFillShade="A6"/>
          </w:tcPr>
          <w:p w14:paraId="49B0109E" w14:textId="77777777" w:rsidR="005D5DAE" w:rsidRPr="005D4117" w:rsidRDefault="005C35C9" w:rsidP="00A3247B">
            <w:pPr>
              <w:spacing w:line="276" w:lineRule="auto"/>
              <w:rPr>
                <w:b/>
                <w:szCs w:val="24"/>
              </w:rPr>
            </w:pPr>
            <w:r w:rsidRPr="005D4117">
              <w:rPr>
                <w:b/>
                <w:szCs w:val="24"/>
              </w:rPr>
              <w:t>Lien avec les indicateurs communs</w:t>
            </w:r>
          </w:p>
        </w:tc>
      </w:tr>
      <w:tr w:rsidR="005D4117" w:rsidRPr="005D4117" w14:paraId="050F72E4" w14:textId="77777777" w:rsidTr="00DB644A">
        <w:tc>
          <w:tcPr>
            <w:tcW w:w="4219" w:type="dxa"/>
          </w:tcPr>
          <w:p w14:paraId="2C7139D0" w14:textId="77777777" w:rsidR="0074478D" w:rsidRPr="005D4117" w:rsidRDefault="0074478D" w:rsidP="00A3247B">
            <w:pPr>
              <w:spacing w:line="276" w:lineRule="auto"/>
              <w:rPr>
                <w:szCs w:val="24"/>
              </w:rPr>
            </w:pPr>
            <w:r w:rsidRPr="005D4117">
              <w:rPr>
                <w:szCs w:val="24"/>
              </w:rPr>
              <w:t>Lait demi-écrémé UHT:</w:t>
            </w:r>
          </w:p>
        </w:tc>
        <w:tc>
          <w:tcPr>
            <w:tcW w:w="4993" w:type="dxa"/>
            <w:shd w:val="clear" w:color="auto" w:fill="auto"/>
          </w:tcPr>
          <w:p w14:paraId="0EC3B550" w14:textId="77777777" w:rsidR="0074478D" w:rsidRPr="005D4117" w:rsidRDefault="0074478D" w:rsidP="00A3247B">
            <w:pPr>
              <w:spacing w:before="100" w:beforeAutospacing="1" w:after="100" w:afterAutospacing="1" w:line="276" w:lineRule="auto"/>
              <w:rPr>
                <w:bCs/>
                <w:szCs w:val="24"/>
              </w:rPr>
            </w:pPr>
            <w:r w:rsidRPr="005D4117">
              <w:rPr>
                <w:szCs w:val="24"/>
              </w:rPr>
              <w:t>Produits laitiers</w:t>
            </w:r>
          </w:p>
        </w:tc>
      </w:tr>
      <w:tr w:rsidR="005D4117" w:rsidRPr="005D4117" w14:paraId="4849E6F2" w14:textId="77777777" w:rsidTr="00DB644A">
        <w:tc>
          <w:tcPr>
            <w:tcW w:w="4219" w:type="dxa"/>
          </w:tcPr>
          <w:p w14:paraId="3CB74A7A" w14:textId="77777777" w:rsidR="0074478D" w:rsidRPr="005D4117" w:rsidRDefault="0074478D" w:rsidP="00A3247B">
            <w:pPr>
              <w:spacing w:line="276" w:lineRule="auto"/>
              <w:rPr>
                <w:szCs w:val="24"/>
              </w:rPr>
            </w:pPr>
            <w:r w:rsidRPr="005D4117">
              <w:rPr>
                <w:szCs w:val="24"/>
              </w:rPr>
              <w:t>Sardines à huile d’olive:</w:t>
            </w:r>
          </w:p>
        </w:tc>
        <w:tc>
          <w:tcPr>
            <w:tcW w:w="4993" w:type="dxa"/>
            <w:shd w:val="clear" w:color="auto" w:fill="auto"/>
          </w:tcPr>
          <w:p w14:paraId="5EB10641" w14:textId="77777777" w:rsidR="0074478D" w:rsidRPr="005D4117" w:rsidRDefault="0074478D" w:rsidP="00A3247B">
            <w:pPr>
              <w:spacing w:before="100" w:beforeAutospacing="1" w:after="100" w:afterAutospacing="1" w:line="276" w:lineRule="auto"/>
              <w:rPr>
                <w:bCs/>
                <w:szCs w:val="24"/>
              </w:rPr>
            </w:pPr>
            <w:r w:rsidRPr="005D4117">
              <w:rPr>
                <w:szCs w:val="24"/>
              </w:rPr>
              <w:t>Viandes, œufs, poissons et fruits de mer</w:t>
            </w:r>
          </w:p>
        </w:tc>
      </w:tr>
      <w:tr w:rsidR="005D4117" w:rsidRPr="005D4117" w14:paraId="52BCC180" w14:textId="77777777" w:rsidTr="00DB644A">
        <w:tc>
          <w:tcPr>
            <w:tcW w:w="4219" w:type="dxa"/>
          </w:tcPr>
          <w:p w14:paraId="562DAB01" w14:textId="77777777" w:rsidR="0074478D" w:rsidRPr="005D4117" w:rsidRDefault="0074478D" w:rsidP="00A3247B">
            <w:pPr>
              <w:spacing w:line="276" w:lineRule="auto"/>
              <w:rPr>
                <w:szCs w:val="24"/>
              </w:rPr>
            </w:pPr>
            <w:r w:rsidRPr="005D4117">
              <w:rPr>
                <w:szCs w:val="24"/>
              </w:rPr>
              <w:t>Lentilles en conserve:</w:t>
            </w:r>
          </w:p>
        </w:tc>
        <w:tc>
          <w:tcPr>
            <w:tcW w:w="4993" w:type="dxa"/>
            <w:shd w:val="clear" w:color="auto" w:fill="auto"/>
          </w:tcPr>
          <w:p w14:paraId="31061E14" w14:textId="77777777" w:rsidR="0074478D" w:rsidRPr="005D4117" w:rsidRDefault="008E2A81" w:rsidP="00A3247B">
            <w:pPr>
              <w:spacing w:before="100" w:beforeAutospacing="1" w:after="100" w:afterAutospacing="1" w:line="276" w:lineRule="auto"/>
              <w:rPr>
                <w:szCs w:val="24"/>
              </w:rPr>
            </w:pPr>
            <w:r w:rsidRPr="005D4117">
              <w:rPr>
                <w:szCs w:val="24"/>
              </w:rPr>
              <w:t>Fruits et légumes</w:t>
            </w:r>
          </w:p>
        </w:tc>
      </w:tr>
      <w:tr w:rsidR="005D4117" w:rsidRPr="005D4117" w14:paraId="19F5159E" w14:textId="77777777" w:rsidTr="00DB644A">
        <w:tc>
          <w:tcPr>
            <w:tcW w:w="4219" w:type="dxa"/>
          </w:tcPr>
          <w:p w14:paraId="2E583C58" w14:textId="77777777" w:rsidR="0074478D" w:rsidRPr="005D4117" w:rsidRDefault="0074478D" w:rsidP="00A3247B">
            <w:pPr>
              <w:spacing w:line="276" w:lineRule="auto"/>
              <w:rPr>
                <w:szCs w:val="24"/>
              </w:rPr>
            </w:pPr>
            <w:r w:rsidRPr="005D4117">
              <w:rPr>
                <w:szCs w:val="24"/>
              </w:rPr>
              <w:t>Poulet en sauce:</w:t>
            </w:r>
          </w:p>
        </w:tc>
        <w:tc>
          <w:tcPr>
            <w:tcW w:w="4993" w:type="dxa"/>
            <w:shd w:val="clear" w:color="auto" w:fill="auto"/>
          </w:tcPr>
          <w:p w14:paraId="0A0FC494" w14:textId="77777777" w:rsidR="0074478D" w:rsidRPr="005D4117" w:rsidRDefault="0074478D" w:rsidP="00A3247B">
            <w:pPr>
              <w:spacing w:line="276" w:lineRule="auto"/>
              <w:rPr>
                <w:szCs w:val="24"/>
              </w:rPr>
            </w:pPr>
            <w:r w:rsidRPr="005D4117">
              <w:rPr>
                <w:szCs w:val="24"/>
              </w:rPr>
              <w:t>Viandes, œufs, poissons et fruits de mer</w:t>
            </w:r>
          </w:p>
        </w:tc>
      </w:tr>
      <w:tr w:rsidR="005D4117" w:rsidRPr="005D4117" w14:paraId="4B26A6D3" w14:textId="77777777" w:rsidTr="00DB644A">
        <w:tc>
          <w:tcPr>
            <w:tcW w:w="4219" w:type="dxa"/>
          </w:tcPr>
          <w:p w14:paraId="6A4B1C8C" w14:textId="77777777" w:rsidR="0074478D" w:rsidRPr="005D4117" w:rsidRDefault="0074478D" w:rsidP="00A3247B">
            <w:pPr>
              <w:spacing w:line="276" w:lineRule="auto"/>
              <w:rPr>
                <w:szCs w:val="24"/>
              </w:rPr>
            </w:pPr>
            <w:r w:rsidRPr="005D4117">
              <w:rPr>
                <w:szCs w:val="24"/>
              </w:rPr>
              <w:t>Pâtes (2 types):</w:t>
            </w:r>
          </w:p>
        </w:tc>
        <w:tc>
          <w:tcPr>
            <w:tcW w:w="4993" w:type="dxa"/>
            <w:shd w:val="clear" w:color="auto" w:fill="auto"/>
          </w:tcPr>
          <w:p w14:paraId="5E931201" w14:textId="77777777" w:rsidR="0074478D" w:rsidRPr="005D4117" w:rsidRDefault="0074478D" w:rsidP="00A3247B">
            <w:pPr>
              <w:spacing w:line="276" w:lineRule="auto"/>
              <w:rPr>
                <w:szCs w:val="24"/>
              </w:rPr>
            </w:pPr>
            <w:r w:rsidRPr="005D4117">
              <w:rPr>
                <w:szCs w:val="24"/>
              </w:rPr>
              <w:t>Farine, pain, pommes de terre, riz et autres produits riches en amidon</w:t>
            </w:r>
          </w:p>
        </w:tc>
      </w:tr>
      <w:tr w:rsidR="005D4117" w:rsidRPr="005D4117" w14:paraId="2EA23C13" w14:textId="77777777" w:rsidTr="00DB644A">
        <w:tc>
          <w:tcPr>
            <w:tcW w:w="4219" w:type="dxa"/>
          </w:tcPr>
          <w:p w14:paraId="24DACD29" w14:textId="77777777" w:rsidR="0074478D" w:rsidRPr="005D4117" w:rsidRDefault="0074478D" w:rsidP="00A3247B">
            <w:pPr>
              <w:spacing w:line="276" w:lineRule="auto"/>
              <w:rPr>
                <w:szCs w:val="24"/>
              </w:rPr>
            </w:pPr>
            <w:r w:rsidRPr="005D4117">
              <w:rPr>
                <w:szCs w:val="24"/>
              </w:rPr>
              <w:t>Semoule/ couscous:</w:t>
            </w:r>
          </w:p>
        </w:tc>
        <w:tc>
          <w:tcPr>
            <w:tcW w:w="4993" w:type="dxa"/>
            <w:shd w:val="clear" w:color="auto" w:fill="auto"/>
          </w:tcPr>
          <w:p w14:paraId="78FD75EF" w14:textId="77777777" w:rsidR="0074478D" w:rsidRPr="005D4117" w:rsidRDefault="0074478D" w:rsidP="00A3247B">
            <w:pPr>
              <w:spacing w:before="100" w:beforeAutospacing="1" w:after="100" w:afterAutospacing="1" w:line="276" w:lineRule="auto"/>
              <w:rPr>
                <w:szCs w:val="24"/>
              </w:rPr>
            </w:pPr>
            <w:r w:rsidRPr="005D4117">
              <w:rPr>
                <w:szCs w:val="24"/>
              </w:rPr>
              <w:t>Farine, pain, pommes de terre, riz et autres produits riches en amidon</w:t>
            </w:r>
          </w:p>
        </w:tc>
      </w:tr>
      <w:tr w:rsidR="005D4117" w:rsidRPr="005D4117" w14:paraId="1568561C" w14:textId="77777777" w:rsidTr="00DB644A">
        <w:tc>
          <w:tcPr>
            <w:tcW w:w="4219" w:type="dxa"/>
          </w:tcPr>
          <w:p w14:paraId="20E76E42" w14:textId="77777777" w:rsidR="0074478D" w:rsidRPr="005D4117" w:rsidRDefault="0074478D" w:rsidP="00A3247B">
            <w:pPr>
              <w:spacing w:line="276" w:lineRule="auto"/>
              <w:rPr>
                <w:szCs w:val="24"/>
              </w:rPr>
            </w:pPr>
            <w:r w:rsidRPr="005D4117">
              <w:rPr>
                <w:szCs w:val="24"/>
              </w:rPr>
              <w:t>Tomates pelées concassées en cubes:</w:t>
            </w:r>
          </w:p>
        </w:tc>
        <w:tc>
          <w:tcPr>
            <w:tcW w:w="4993" w:type="dxa"/>
            <w:shd w:val="clear" w:color="auto" w:fill="auto"/>
          </w:tcPr>
          <w:p w14:paraId="697DAD25" w14:textId="77777777" w:rsidR="0074478D" w:rsidRPr="005D4117" w:rsidRDefault="0074478D" w:rsidP="00A3247B">
            <w:pPr>
              <w:spacing w:before="100" w:beforeAutospacing="1" w:after="100" w:afterAutospacing="1" w:line="276" w:lineRule="auto"/>
              <w:rPr>
                <w:szCs w:val="24"/>
              </w:rPr>
            </w:pPr>
            <w:r w:rsidRPr="005D4117">
              <w:rPr>
                <w:szCs w:val="24"/>
              </w:rPr>
              <w:t>Fruits et légumes</w:t>
            </w:r>
          </w:p>
        </w:tc>
      </w:tr>
      <w:tr w:rsidR="005D4117" w:rsidRPr="005D4117" w14:paraId="0002537E" w14:textId="77777777" w:rsidTr="00DB644A">
        <w:tc>
          <w:tcPr>
            <w:tcW w:w="4219" w:type="dxa"/>
          </w:tcPr>
          <w:p w14:paraId="5EBC38B3" w14:textId="77777777" w:rsidR="0074478D" w:rsidRPr="005D4117" w:rsidRDefault="0074478D" w:rsidP="00A3247B">
            <w:pPr>
              <w:spacing w:line="276" w:lineRule="auto"/>
              <w:rPr>
                <w:szCs w:val="24"/>
              </w:rPr>
            </w:pPr>
            <w:r w:rsidRPr="005D4117">
              <w:rPr>
                <w:szCs w:val="24"/>
              </w:rPr>
              <w:t>Haricots verts entiers très fins en conserve:</w:t>
            </w:r>
          </w:p>
        </w:tc>
        <w:tc>
          <w:tcPr>
            <w:tcW w:w="4993" w:type="dxa"/>
            <w:shd w:val="clear" w:color="auto" w:fill="auto"/>
          </w:tcPr>
          <w:p w14:paraId="75D824A2" w14:textId="77777777" w:rsidR="0074478D" w:rsidRPr="005D4117" w:rsidRDefault="0074478D" w:rsidP="00A3247B">
            <w:pPr>
              <w:spacing w:before="100" w:beforeAutospacing="1" w:after="100" w:afterAutospacing="1" w:line="276" w:lineRule="auto"/>
              <w:rPr>
                <w:szCs w:val="24"/>
              </w:rPr>
            </w:pPr>
            <w:r w:rsidRPr="005D4117">
              <w:rPr>
                <w:szCs w:val="24"/>
              </w:rPr>
              <w:t>Fruits et légumes</w:t>
            </w:r>
          </w:p>
        </w:tc>
      </w:tr>
      <w:tr w:rsidR="005D4117" w:rsidRPr="005D4117" w14:paraId="7157301C" w14:textId="77777777" w:rsidTr="00DB644A">
        <w:tc>
          <w:tcPr>
            <w:tcW w:w="4219" w:type="dxa"/>
          </w:tcPr>
          <w:p w14:paraId="7449A6F7" w14:textId="77777777" w:rsidR="0074478D" w:rsidRPr="005D4117" w:rsidRDefault="0074478D" w:rsidP="00A3247B">
            <w:pPr>
              <w:spacing w:line="276" w:lineRule="auto"/>
              <w:rPr>
                <w:szCs w:val="24"/>
              </w:rPr>
            </w:pPr>
            <w:r w:rsidRPr="005D4117">
              <w:rPr>
                <w:szCs w:val="24"/>
              </w:rPr>
              <w:t>Fromage fondu à tartiner:</w:t>
            </w:r>
          </w:p>
        </w:tc>
        <w:tc>
          <w:tcPr>
            <w:tcW w:w="4993" w:type="dxa"/>
            <w:shd w:val="clear" w:color="auto" w:fill="auto"/>
          </w:tcPr>
          <w:p w14:paraId="489759A7" w14:textId="77777777" w:rsidR="0074478D" w:rsidRPr="005D4117" w:rsidRDefault="004054EB" w:rsidP="00A3247B">
            <w:pPr>
              <w:spacing w:before="100" w:beforeAutospacing="1" w:after="100" w:afterAutospacing="1" w:line="276" w:lineRule="auto"/>
              <w:rPr>
                <w:szCs w:val="24"/>
              </w:rPr>
            </w:pPr>
            <w:r w:rsidRPr="005D4117">
              <w:rPr>
                <w:szCs w:val="24"/>
              </w:rPr>
              <w:t>Produits laitiers</w:t>
            </w:r>
          </w:p>
        </w:tc>
      </w:tr>
      <w:tr w:rsidR="005D4117" w:rsidRPr="005D4117" w14:paraId="73640847" w14:textId="77777777" w:rsidTr="00DB644A">
        <w:tc>
          <w:tcPr>
            <w:tcW w:w="4219" w:type="dxa"/>
          </w:tcPr>
          <w:p w14:paraId="38DD9736" w14:textId="77777777" w:rsidR="0074478D" w:rsidRPr="005D4117" w:rsidRDefault="0074478D" w:rsidP="00A3247B">
            <w:pPr>
              <w:spacing w:line="276" w:lineRule="auto"/>
              <w:rPr>
                <w:szCs w:val="24"/>
              </w:rPr>
            </w:pPr>
            <w:r w:rsidRPr="005D4117">
              <w:rPr>
                <w:szCs w:val="24"/>
              </w:rPr>
              <w:t>Mousseline de pomme:</w:t>
            </w:r>
          </w:p>
        </w:tc>
        <w:tc>
          <w:tcPr>
            <w:tcW w:w="4993" w:type="dxa"/>
            <w:shd w:val="clear" w:color="auto" w:fill="auto"/>
          </w:tcPr>
          <w:p w14:paraId="27FEC1F8" w14:textId="77777777" w:rsidR="0074478D" w:rsidRPr="005D4117" w:rsidRDefault="00554567" w:rsidP="00A3247B">
            <w:pPr>
              <w:spacing w:before="100" w:beforeAutospacing="1" w:after="100" w:afterAutospacing="1" w:line="276" w:lineRule="auto"/>
              <w:rPr>
                <w:szCs w:val="24"/>
              </w:rPr>
            </w:pPr>
            <w:r w:rsidRPr="005D4117">
              <w:rPr>
                <w:szCs w:val="24"/>
              </w:rPr>
              <w:t>Fruits et légumes</w:t>
            </w:r>
          </w:p>
        </w:tc>
      </w:tr>
      <w:tr w:rsidR="005D4117" w:rsidRPr="005D4117" w14:paraId="6CC9656D" w14:textId="77777777" w:rsidTr="00DB644A">
        <w:tc>
          <w:tcPr>
            <w:tcW w:w="4219" w:type="dxa"/>
          </w:tcPr>
          <w:p w14:paraId="5F9E8D0B" w14:textId="77777777" w:rsidR="0074478D" w:rsidRPr="005D4117" w:rsidRDefault="0074478D" w:rsidP="00A3247B">
            <w:pPr>
              <w:spacing w:line="276" w:lineRule="auto"/>
              <w:rPr>
                <w:szCs w:val="24"/>
              </w:rPr>
            </w:pPr>
            <w:r w:rsidRPr="005D4117">
              <w:rPr>
                <w:szCs w:val="24"/>
              </w:rPr>
              <w:t>Huile d’olive:</w:t>
            </w:r>
          </w:p>
        </w:tc>
        <w:tc>
          <w:tcPr>
            <w:tcW w:w="4993" w:type="dxa"/>
            <w:shd w:val="clear" w:color="auto" w:fill="auto"/>
          </w:tcPr>
          <w:p w14:paraId="6095C592" w14:textId="77777777" w:rsidR="0074478D" w:rsidRPr="005D4117" w:rsidRDefault="0074478D" w:rsidP="00A3247B">
            <w:pPr>
              <w:spacing w:line="276" w:lineRule="auto"/>
              <w:rPr>
                <w:szCs w:val="24"/>
              </w:rPr>
            </w:pPr>
            <w:r w:rsidRPr="005D4117">
              <w:rPr>
                <w:szCs w:val="24"/>
              </w:rPr>
              <w:t>Graisses, huiles</w:t>
            </w:r>
          </w:p>
        </w:tc>
      </w:tr>
      <w:tr w:rsidR="005D4117" w:rsidRPr="005D4117" w14:paraId="34803402" w14:textId="77777777" w:rsidTr="00DB644A">
        <w:tc>
          <w:tcPr>
            <w:tcW w:w="4219" w:type="dxa"/>
          </w:tcPr>
          <w:p w14:paraId="0544FC50" w14:textId="77777777" w:rsidR="0074478D" w:rsidRPr="005D4117" w:rsidRDefault="0074478D" w:rsidP="00A3247B">
            <w:pPr>
              <w:spacing w:line="276" w:lineRule="auto"/>
              <w:rPr>
                <w:szCs w:val="24"/>
              </w:rPr>
            </w:pPr>
            <w:r w:rsidRPr="005D4117">
              <w:rPr>
                <w:szCs w:val="24"/>
              </w:rPr>
              <w:t>Confiture extra aux fraises:</w:t>
            </w:r>
          </w:p>
        </w:tc>
        <w:tc>
          <w:tcPr>
            <w:tcW w:w="4993" w:type="dxa"/>
            <w:shd w:val="clear" w:color="auto" w:fill="auto"/>
          </w:tcPr>
          <w:p w14:paraId="42904A53" w14:textId="77777777" w:rsidR="0074478D" w:rsidRPr="005D4117" w:rsidRDefault="0074478D" w:rsidP="00A3247B">
            <w:pPr>
              <w:spacing w:line="276" w:lineRule="auto"/>
              <w:rPr>
                <w:szCs w:val="24"/>
              </w:rPr>
            </w:pPr>
            <w:r w:rsidRPr="005D4117">
              <w:rPr>
                <w:szCs w:val="24"/>
              </w:rPr>
              <w:t>Plats cuisinés, autres denrées alimentaires</w:t>
            </w:r>
          </w:p>
        </w:tc>
      </w:tr>
      <w:tr w:rsidR="005D4117" w:rsidRPr="005D4117" w14:paraId="0A4C0D43" w14:textId="77777777" w:rsidTr="00DB644A">
        <w:tc>
          <w:tcPr>
            <w:tcW w:w="4219" w:type="dxa"/>
          </w:tcPr>
          <w:p w14:paraId="3558131C" w14:textId="77777777" w:rsidR="0074478D" w:rsidRPr="005D4117" w:rsidRDefault="0074478D" w:rsidP="00A3247B">
            <w:pPr>
              <w:spacing w:line="276" w:lineRule="auto"/>
              <w:rPr>
                <w:szCs w:val="24"/>
              </w:rPr>
            </w:pPr>
            <w:r w:rsidRPr="005D4117">
              <w:rPr>
                <w:szCs w:val="24"/>
              </w:rPr>
              <w:t>Pétales de mais sucrés:</w:t>
            </w:r>
          </w:p>
        </w:tc>
        <w:tc>
          <w:tcPr>
            <w:tcW w:w="4993" w:type="dxa"/>
            <w:shd w:val="clear" w:color="auto" w:fill="auto"/>
          </w:tcPr>
          <w:p w14:paraId="0EE1DF9C" w14:textId="77777777" w:rsidR="0074478D" w:rsidRPr="005D4117" w:rsidRDefault="0074478D" w:rsidP="00A3247B">
            <w:pPr>
              <w:spacing w:line="276" w:lineRule="auto"/>
              <w:rPr>
                <w:szCs w:val="24"/>
              </w:rPr>
            </w:pPr>
            <w:r w:rsidRPr="005D4117">
              <w:rPr>
                <w:szCs w:val="24"/>
              </w:rPr>
              <w:t>Farine, pain, pommes de terre, riz et autres produits riches en amidon</w:t>
            </w:r>
          </w:p>
        </w:tc>
      </w:tr>
      <w:tr w:rsidR="005D4117" w:rsidRPr="005D4117" w14:paraId="24B80494" w14:textId="77777777" w:rsidTr="00DB644A">
        <w:tc>
          <w:tcPr>
            <w:tcW w:w="4219" w:type="dxa"/>
          </w:tcPr>
          <w:p w14:paraId="22A56F8D" w14:textId="77777777" w:rsidR="00916F5D" w:rsidRPr="005D4117" w:rsidRDefault="00916F5D" w:rsidP="00A3247B">
            <w:pPr>
              <w:spacing w:line="276" w:lineRule="auto"/>
              <w:rPr>
                <w:szCs w:val="24"/>
              </w:rPr>
            </w:pPr>
            <w:r w:rsidRPr="005D4117">
              <w:rPr>
                <w:szCs w:val="24"/>
              </w:rPr>
              <w:t>Pétales de blé au chocolat:</w:t>
            </w:r>
          </w:p>
        </w:tc>
        <w:tc>
          <w:tcPr>
            <w:tcW w:w="4993" w:type="dxa"/>
            <w:shd w:val="clear" w:color="auto" w:fill="auto"/>
          </w:tcPr>
          <w:p w14:paraId="3FB52E24" w14:textId="77777777" w:rsidR="00916F5D" w:rsidRPr="005D4117" w:rsidRDefault="00916F5D" w:rsidP="00A3247B">
            <w:pPr>
              <w:spacing w:line="276" w:lineRule="auto"/>
              <w:rPr>
                <w:szCs w:val="24"/>
              </w:rPr>
            </w:pPr>
            <w:r w:rsidRPr="005D4117">
              <w:rPr>
                <w:szCs w:val="24"/>
              </w:rPr>
              <w:t>Farine, pain, pommes de terre, riz et autres produits riches en amidon</w:t>
            </w:r>
          </w:p>
        </w:tc>
      </w:tr>
      <w:tr w:rsidR="00C9759C" w:rsidRPr="005D4117" w14:paraId="581B1691" w14:textId="77777777" w:rsidTr="00DB644A">
        <w:tc>
          <w:tcPr>
            <w:tcW w:w="4219" w:type="dxa"/>
          </w:tcPr>
          <w:p w14:paraId="42947204" w14:textId="77777777" w:rsidR="0074478D" w:rsidRPr="005D4117" w:rsidRDefault="0074478D" w:rsidP="00A3247B">
            <w:pPr>
              <w:spacing w:line="276" w:lineRule="auto"/>
              <w:rPr>
                <w:szCs w:val="24"/>
              </w:rPr>
            </w:pPr>
            <w:r w:rsidRPr="005D4117">
              <w:rPr>
                <w:szCs w:val="24"/>
              </w:rPr>
              <w:t>Chocolat au lait:</w:t>
            </w:r>
          </w:p>
        </w:tc>
        <w:tc>
          <w:tcPr>
            <w:tcW w:w="4993" w:type="dxa"/>
            <w:shd w:val="clear" w:color="auto" w:fill="auto"/>
          </w:tcPr>
          <w:p w14:paraId="53E6CB89" w14:textId="77777777" w:rsidR="0074478D" w:rsidRPr="005D4117" w:rsidRDefault="0074478D" w:rsidP="00A3247B">
            <w:pPr>
              <w:spacing w:line="276" w:lineRule="auto"/>
              <w:rPr>
                <w:szCs w:val="24"/>
              </w:rPr>
            </w:pPr>
            <w:r w:rsidRPr="005D4117">
              <w:rPr>
                <w:szCs w:val="24"/>
              </w:rPr>
              <w:t>Plats cuisinés, autres denrées alimentaires</w:t>
            </w:r>
          </w:p>
        </w:tc>
      </w:tr>
    </w:tbl>
    <w:p w14:paraId="223DA3AD" w14:textId="77777777" w:rsidR="005D5DAE" w:rsidRPr="005D4117" w:rsidRDefault="005D5DAE" w:rsidP="00A3247B">
      <w:pPr>
        <w:rPr>
          <w:bCs/>
          <w:spacing w:val="5"/>
          <w:szCs w:val="24"/>
        </w:rPr>
      </w:pPr>
    </w:p>
    <w:p w14:paraId="31BCE603" w14:textId="317D69BB" w:rsidR="003F2D3D" w:rsidRPr="005D4117" w:rsidRDefault="003F2D3D" w:rsidP="00A3247B">
      <w:r w:rsidRPr="005D4117">
        <w:t xml:space="preserve">Au total, </w:t>
      </w:r>
      <w:r w:rsidR="0074478D" w:rsidRPr="005D4117">
        <w:t>62</w:t>
      </w:r>
      <w:r w:rsidRPr="005D4117">
        <w:t xml:space="preserve"> offres ont été présentées. Les </w:t>
      </w:r>
      <w:r w:rsidR="0074478D" w:rsidRPr="005D4117">
        <w:t>15</w:t>
      </w:r>
      <w:r w:rsidR="004E20B0" w:rsidRPr="005D4117">
        <w:t xml:space="preserve"> lots</w:t>
      </w:r>
      <w:r w:rsidRPr="005D4117">
        <w:t xml:space="preserve"> ont finalement été attribués à </w:t>
      </w:r>
      <w:r w:rsidR="0074478D" w:rsidRPr="005D4117">
        <w:t>4</w:t>
      </w:r>
      <w:r w:rsidRPr="005D4117">
        <w:t xml:space="preserve"> soumissionnaires différents</w:t>
      </w:r>
      <w:r w:rsidR="00522569" w:rsidRPr="005D4117">
        <w:t xml:space="preserve"> (</w:t>
      </w:r>
      <w:proofErr w:type="spellStart"/>
      <w:r w:rsidR="0074478D" w:rsidRPr="005D4117">
        <w:t>Dischamps</w:t>
      </w:r>
      <w:proofErr w:type="spellEnd"/>
      <w:r w:rsidR="00815999" w:rsidRPr="005D4117">
        <w:t xml:space="preserve"> (FR)</w:t>
      </w:r>
      <w:r w:rsidR="002C31D6" w:rsidRPr="005D4117">
        <w:t xml:space="preserve"> pour le lait, la confiture, les pétales de maïs sucrés et les tomates</w:t>
      </w:r>
      <w:r w:rsidR="00815999" w:rsidRPr="005D4117">
        <w:t xml:space="preserve"> pelées</w:t>
      </w:r>
      <w:r w:rsidR="0074478D" w:rsidRPr="005D4117">
        <w:t xml:space="preserve">, </w:t>
      </w:r>
      <w:proofErr w:type="spellStart"/>
      <w:r w:rsidR="0074478D" w:rsidRPr="005D4117">
        <w:t>Dhumeaux</w:t>
      </w:r>
      <w:proofErr w:type="spellEnd"/>
      <w:r w:rsidR="00815999" w:rsidRPr="005D4117">
        <w:t xml:space="preserve"> (FR)</w:t>
      </w:r>
      <w:r w:rsidR="002C31D6" w:rsidRPr="005D4117">
        <w:t xml:space="preserve"> pour le fromage, l’huile d’olive, les pâtes et les pétales de blé au chocolat</w:t>
      </w:r>
      <w:r w:rsidR="0074478D" w:rsidRPr="005D4117">
        <w:t xml:space="preserve">, </w:t>
      </w:r>
      <w:proofErr w:type="spellStart"/>
      <w:r w:rsidR="0074478D" w:rsidRPr="005D4117">
        <w:t>Jyco</w:t>
      </w:r>
      <w:proofErr w:type="spellEnd"/>
      <w:r w:rsidR="00815999" w:rsidRPr="005D4117">
        <w:t xml:space="preserve"> (FR)</w:t>
      </w:r>
      <w:r w:rsidR="002C31D6" w:rsidRPr="005D4117">
        <w:t xml:space="preserve"> pour le couscous, les lentilles, le poulet en sauce, les sardines et les haricots verts et enfin </w:t>
      </w:r>
      <w:proofErr w:type="spellStart"/>
      <w:r w:rsidR="0074478D" w:rsidRPr="005D4117">
        <w:t>Millis</w:t>
      </w:r>
      <w:proofErr w:type="spellEnd"/>
      <w:r w:rsidR="00815999" w:rsidRPr="005D4117">
        <w:t xml:space="preserve"> Jozef (BE)</w:t>
      </w:r>
      <w:r w:rsidR="002C31D6" w:rsidRPr="005D4117">
        <w:t xml:space="preserve"> pour la mousseline de pommes</w:t>
      </w:r>
      <w:r w:rsidR="0050028D" w:rsidRPr="005D4117">
        <w:t xml:space="preserve">). </w:t>
      </w:r>
    </w:p>
    <w:p w14:paraId="36D0C37A" w14:textId="7504FFB0" w:rsidR="00595064" w:rsidRPr="005D4117" w:rsidRDefault="003C7776" w:rsidP="00A3247B">
      <w:r w:rsidRPr="005D4117">
        <w:t xml:space="preserve">La procédure de lancement et </w:t>
      </w:r>
      <w:r w:rsidR="00040C60" w:rsidRPr="005D4117">
        <w:t>d’attribution</w:t>
      </w:r>
      <w:r w:rsidRPr="005D4117">
        <w:t xml:space="preserve"> de l'appel d'offres a été </w:t>
      </w:r>
      <w:r w:rsidR="0074478D" w:rsidRPr="005D4117">
        <w:t>assez lente éta</w:t>
      </w:r>
      <w:r w:rsidRPr="005D4117">
        <w:t>nt</w:t>
      </w:r>
      <w:r w:rsidR="0074478D" w:rsidRPr="005D4117">
        <w:t xml:space="preserve"> donné qu’aussi bien</w:t>
      </w:r>
      <w:r w:rsidRPr="005D4117">
        <w:t xml:space="preserve"> le lancement que </w:t>
      </w:r>
      <w:r w:rsidR="00320F94" w:rsidRPr="005D4117">
        <w:t>l’attribution</w:t>
      </w:r>
      <w:r w:rsidRPr="005D4117">
        <w:t xml:space="preserve"> du marché </w:t>
      </w:r>
      <w:r w:rsidR="0074478D" w:rsidRPr="005D4117">
        <w:t>doivent</w:t>
      </w:r>
      <w:r w:rsidRPr="005D4117">
        <w:t xml:space="preserve"> ê</w:t>
      </w:r>
      <w:r w:rsidR="002A3D1E" w:rsidRPr="005D4117">
        <w:t>tre validés par le Conseil des M</w:t>
      </w:r>
      <w:r w:rsidRPr="005D4117">
        <w:t xml:space="preserve">inistres </w:t>
      </w:r>
      <w:r w:rsidR="0074478D" w:rsidRPr="005D4117">
        <w:t>(</w:t>
      </w:r>
      <w:r w:rsidRPr="005D4117">
        <w:t>compte tenu des montants élevés</w:t>
      </w:r>
      <w:r w:rsidR="0074478D" w:rsidRPr="005D4117">
        <w:t>)</w:t>
      </w:r>
      <w:r w:rsidRPr="005D4117">
        <w:t xml:space="preserve">. </w:t>
      </w:r>
    </w:p>
    <w:p w14:paraId="01E7F69E" w14:textId="11475249" w:rsidR="00595064" w:rsidRPr="005D4117" w:rsidRDefault="00595064" w:rsidP="00A3247B">
      <w:r w:rsidRPr="005D4117">
        <w:t>Il était initialement prévu que les premières livraisons commencent en juillet 2015 et s’étalent jusque décembre 2015. Cependant, en réalité – com</w:t>
      </w:r>
      <w:r w:rsidR="00320F94" w:rsidRPr="005D4117">
        <w:t>p</w:t>
      </w:r>
      <w:r w:rsidRPr="005D4117">
        <w:t>te tenu des délais auxquels l’AG a dû faire face</w:t>
      </w:r>
      <w:r w:rsidR="00574B9C" w:rsidRPr="005D4117">
        <w:t xml:space="preserve"> –</w:t>
      </w:r>
      <w:r w:rsidRPr="005D4117">
        <w:t xml:space="preserve"> les livraisons n’ont pas pu commencer avant septembre 2015</w:t>
      </w:r>
      <w:r w:rsidR="005F14C0" w:rsidRPr="005D4117">
        <w:t xml:space="preserve"> et n’ont </w:t>
      </w:r>
      <w:r w:rsidR="00574B9C" w:rsidRPr="005D4117">
        <w:t xml:space="preserve">donc pas </w:t>
      </w:r>
      <w:r w:rsidR="005F14C0" w:rsidRPr="005D4117">
        <w:t>pu se terminer en décembre</w:t>
      </w:r>
      <w:r w:rsidRPr="005D4117">
        <w:t>.</w:t>
      </w:r>
    </w:p>
    <w:p w14:paraId="334E073F" w14:textId="60EE47FA" w:rsidR="004E20B0" w:rsidRPr="005D4117" w:rsidRDefault="003B28E9" w:rsidP="00A3247B">
      <w:r w:rsidRPr="005D4117">
        <w:t>Les délais auxquels l’AG a été confronté</w:t>
      </w:r>
      <w:r w:rsidR="009F4F6F" w:rsidRPr="005D4117">
        <w:t>e</w:t>
      </w:r>
      <w:r w:rsidRPr="005D4117">
        <w:t xml:space="preserve"> étaient surtout liés aux problèmes/ incertitudes au niveau du budget belge</w:t>
      </w:r>
      <w:r w:rsidR="00EB0BB4" w:rsidRPr="005D4117">
        <w:t xml:space="preserve"> (</w:t>
      </w:r>
      <w:r w:rsidR="00F737E8" w:rsidRPr="005D4117">
        <w:t xml:space="preserve">doutes sur les crédits disponibles, des éventuelles économies, </w:t>
      </w:r>
      <w:r w:rsidR="00EB0BB4" w:rsidRPr="005D4117">
        <w:t>etc.).</w:t>
      </w:r>
      <w:r w:rsidR="00F737E8" w:rsidRPr="005D4117">
        <w:t xml:space="preserve"> </w:t>
      </w:r>
    </w:p>
    <w:p w14:paraId="1209498B" w14:textId="0295EE9D" w:rsidR="00E3792E" w:rsidRPr="005D4117" w:rsidRDefault="00815D72" w:rsidP="00A3247B">
      <w:r w:rsidRPr="005D4117">
        <w:t>De plus, pour quatre lots sur quinze</w:t>
      </w:r>
      <w:r w:rsidR="00EB0BB4" w:rsidRPr="005D4117">
        <w:t>,</w:t>
      </w:r>
      <w:r w:rsidRPr="005D4117">
        <w:t xml:space="preserve"> l’attribution du marché </w:t>
      </w:r>
      <w:r w:rsidR="00EB0BB4" w:rsidRPr="005D4117">
        <w:t>(</w:t>
      </w:r>
      <w:r w:rsidR="004E20B0" w:rsidRPr="005D4117">
        <w:t>et par conséquence la livraison du produit</w:t>
      </w:r>
      <w:r w:rsidR="00EB0BB4" w:rsidRPr="005D4117">
        <w:t>)</w:t>
      </w:r>
      <w:r w:rsidR="004E20B0" w:rsidRPr="005D4117">
        <w:t xml:space="preserve"> </w:t>
      </w:r>
      <w:r w:rsidRPr="005D4117">
        <w:t>a dû être retardée par rapport aux autres lots. Il s’agit des produits suivants: h</w:t>
      </w:r>
      <w:r w:rsidR="00E3792E" w:rsidRPr="005D4117">
        <w:t>aricots verts très fins, mousseline de pommes, c</w:t>
      </w:r>
      <w:r w:rsidRPr="005D4117">
        <w:t xml:space="preserve">éréales et céréales au chocolat. Ces lots n’ont pas pu être attribués </w:t>
      </w:r>
      <w:r w:rsidR="00320F94" w:rsidRPr="005D4117">
        <w:t>en</w:t>
      </w:r>
      <w:r w:rsidRPr="005D4117">
        <w:t xml:space="preserve"> même temps que les autres parce qu’il </w:t>
      </w:r>
      <w:r w:rsidR="004E20B0" w:rsidRPr="005D4117">
        <w:t>n’</w:t>
      </w:r>
      <w:r w:rsidRPr="005D4117">
        <w:t xml:space="preserve">y avait pas assez de </w:t>
      </w:r>
      <w:r w:rsidR="00320F94" w:rsidRPr="005D4117">
        <w:lastRenderedPageBreak/>
        <w:t>crédits</w:t>
      </w:r>
      <w:r w:rsidRPr="005D4117">
        <w:t xml:space="preserve"> inscrit</w:t>
      </w:r>
      <w:r w:rsidR="00320F94" w:rsidRPr="005D4117">
        <w:t>s</w:t>
      </w:r>
      <w:r w:rsidRPr="005D4117">
        <w:t xml:space="preserve"> dans le budget belge. </w:t>
      </w:r>
      <w:r w:rsidR="00EB0BB4" w:rsidRPr="005D4117">
        <w:t xml:space="preserve">L’AG a donc </w:t>
      </w:r>
      <w:r w:rsidR="00147130" w:rsidRPr="005D4117">
        <w:t>dû</w:t>
      </w:r>
      <w:r w:rsidR="00EB0BB4" w:rsidRPr="005D4117">
        <w:t xml:space="preserve"> attendre </w:t>
      </w:r>
      <w:r w:rsidR="001C5154" w:rsidRPr="005D4117">
        <w:t>le contrôle budgétaire</w:t>
      </w:r>
      <w:r w:rsidR="00EB0BB4" w:rsidRPr="005D4117">
        <w:t xml:space="preserve"> pour pouvoir les attribuer</w:t>
      </w:r>
      <w:r w:rsidR="001C5154" w:rsidRPr="005D4117">
        <w:t xml:space="preserve">. </w:t>
      </w:r>
      <w:r w:rsidR="004E20B0" w:rsidRPr="005D4117">
        <w:t>C’</w:t>
      </w:r>
      <w:r w:rsidR="00F737E8" w:rsidRPr="005D4117">
        <w:t>est un</w:t>
      </w:r>
      <w:r w:rsidR="004E20B0" w:rsidRPr="005D4117">
        <w:t xml:space="preserve"> processus </w:t>
      </w:r>
      <w:r w:rsidR="00EB0BB4" w:rsidRPr="005D4117">
        <w:t>législatif qui prend</w:t>
      </w:r>
      <w:r w:rsidR="00F737E8" w:rsidRPr="005D4117">
        <w:t xml:space="preserve"> du temps.</w:t>
      </w:r>
      <w:r w:rsidRPr="005D4117">
        <w:tab/>
      </w:r>
      <w:r w:rsidRPr="005D4117">
        <w:br/>
      </w:r>
      <w:r w:rsidR="00E3792E" w:rsidRPr="005D4117">
        <w:t xml:space="preserve">Les lettres de notifications finales pour ces lots n’ont pu être envoyées que le 20/10/2015. </w:t>
      </w:r>
    </w:p>
    <w:p w14:paraId="6D65696F" w14:textId="275F6BD7" w:rsidR="00E3792E" w:rsidRPr="005D4117" w:rsidRDefault="00EB0BB4" w:rsidP="00A3247B">
      <w:pPr>
        <w:autoSpaceDE w:val="0"/>
        <w:autoSpaceDN w:val="0"/>
        <w:adjustRightInd w:val="0"/>
      </w:pPr>
      <w:r w:rsidRPr="005D4117">
        <w:t>De plus</w:t>
      </w:r>
      <w:r w:rsidR="00815D72" w:rsidRPr="005D4117">
        <w:t>, l</w:t>
      </w:r>
      <w:r w:rsidR="00815999" w:rsidRPr="005D4117">
        <w:t>a procédure d’appel d’offre a dû être relancée</w:t>
      </w:r>
      <w:r w:rsidR="00815D72" w:rsidRPr="005D4117">
        <w:t xml:space="preserve"> pour deux produits</w:t>
      </w:r>
      <w:r w:rsidR="00815999" w:rsidRPr="005D4117">
        <w:t xml:space="preserve">: le chocolat au lait </w:t>
      </w:r>
      <w:r w:rsidR="00E3792E" w:rsidRPr="005D4117">
        <w:t xml:space="preserve">(lot 15) </w:t>
      </w:r>
      <w:r w:rsidR="00815999" w:rsidRPr="005D4117">
        <w:t>(problème dans la procédure) et les sardines</w:t>
      </w:r>
      <w:r w:rsidR="00E3792E" w:rsidRPr="005D4117">
        <w:t xml:space="preserve"> (lot 2)</w:t>
      </w:r>
      <w:r w:rsidR="00147130" w:rsidRPr="005D4117">
        <w:t xml:space="preserve"> (prob</w:t>
      </w:r>
      <w:r w:rsidR="00F176FF" w:rsidRPr="005D4117">
        <w:t>l</w:t>
      </w:r>
      <w:r w:rsidR="00147130" w:rsidRPr="005D4117">
        <w:t>ème de label)</w:t>
      </w:r>
      <w:r w:rsidR="00815999" w:rsidRPr="005D4117">
        <w:t>. En ce qui concerne les sardines,</w:t>
      </w:r>
      <w:r w:rsidR="00E3792E" w:rsidRPr="005D4117">
        <w:t xml:space="preserve"> le cahier des charges originel </w:t>
      </w:r>
      <w:r w:rsidR="00815D72" w:rsidRPr="005D4117">
        <w:t>spécifiait que: «</w:t>
      </w:r>
      <w:r w:rsidR="00815999" w:rsidRPr="005D4117">
        <w:rPr>
          <w:i/>
        </w:rPr>
        <w:t>Les sardines en conserve devront avoir un label pour la pêche durable: comme par exemple le label indépendant pour la pêche durable (MSC) ou le label indépendant pour l’élevage responsable (ASC</w:t>
      </w:r>
      <w:r w:rsidR="00815999" w:rsidRPr="005D4117">
        <w:t>) ». A l’ouverture des offres, il est apparu qu’aucun soumissionnaire n’avait proposé un produit avec le label indépendant pour la pêche durable. L’AG n’a donc pu valider aucune offre reçue et la procédure pour ce lot a dû être relancée. Ces deux produits ont donc connu des livraisons tardives (mars 2016 pour le chocolat et juin/juillet 2016</w:t>
      </w:r>
      <w:r w:rsidR="002A3D1E" w:rsidRPr="005D4117">
        <w:t xml:space="preserve"> pour les sardines</w:t>
      </w:r>
      <w:r w:rsidR="00815999" w:rsidRPr="005D4117">
        <w:t>;</w:t>
      </w:r>
      <w:r w:rsidR="00320F94" w:rsidRPr="005D4117">
        <w:t xml:space="preserve"> la livraison des sardines a par ailleurs dû être retardée, le fabricant ayant dû attendre l’ouverture de la saison de pêche (début de l’été)</w:t>
      </w:r>
      <w:r w:rsidR="00F737E8" w:rsidRPr="005D4117">
        <w:br/>
      </w:r>
      <w:r w:rsidR="00E3792E" w:rsidRPr="005D4117">
        <w:t>Ces deux lots n’ont pu être attribués que le 13/01/2016.</w:t>
      </w:r>
    </w:p>
    <w:p w14:paraId="668ABFE2" w14:textId="55984FEA" w:rsidR="00933052" w:rsidRPr="005D4117" w:rsidRDefault="0074478D" w:rsidP="00A3247B">
      <w:r w:rsidRPr="005D4117">
        <w:t xml:space="preserve">Comme l’année précédente, le cahier des charges prévoit la production de denrées </w:t>
      </w:r>
      <w:r w:rsidR="007622AE" w:rsidRPr="005D4117">
        <w:t>alimentaires et leur livraison (voir à ce sujet le point 2.1.8.2).</w:t>
      </w:r>
    </w:p>
    <w:p w14:paraId="697F057A" w14:textId="5170293D" w:rsidR="00791424" w:rsidRPr="005D4117" w:rsidRDefault="00791424" w:rsidP="00A3247B">
      <w:r w:rsidRPr="005D4117">
        <w:t>La proportion</w:t>
      </w:r>
      <w:r w:rsidR="00815D72" w:rsidRPr="005D4117">
        <w:t xml:space="preserve"> des livraisons reste inchangée: environ 30</w:t>
      </w:r>
      <w:r w:rsidRPr="005D4117">
        <w:t>% des quantités disponibles ont été li</w:t>
      </w:r>
      <w:r w:rsidR="00815D72" w:rsidRPr="005D4117">
        <w:t>vrées au</w:t>
      </w:r>
      <w:r w:rsidR="00320F94" w:rsidRPr="005D4117">
        <w:t>x</w:t>
      </w:r>
      <w:r w:rsidR="00815D72" w:rsidRPr="005D4117">
        <w:t xml:space="preserve"> CPAS directement et 70</w:t>
      </w:r>
      <w:r w:rsidRPr="005D4117">
        <w:t>% des quantités ont été livrées aux organisation</w:t>
      </w:r>
      <w:r w:rsidR="00574B9C" w:rsidRPr="005D4117">
        <w:t>s</w:t>
      </w:r>
      <w:r w:rsidRPr="005D4117">
        <w:t xml:space="preserve"> via les 11 grands entrepôts (les 9 banques alimentaires, et deux autres entrepôts).</w:t>
      </w:r>
    </w:p>
    <w:p w14:paraId="4901FFE6" w14:textId="77777777" w:rsidR="00791424" w:rsidRPr="005D4117" w:rsidRDefault="00791424" w:rsidP="00A3247B">
      <w:r w:rsidRPr="005D4117">
        <w:t xml:space="preserve">La période de livraison de ces produits s’est étendue de </w:t>
      </w:r>
      <w:r w:rsidR="00F32D5F" w:rsidRPr="005D4117">
        <w:t>septembre</w:t>
      </w:r>
      <w:r w:rsidRPr="005D4117">
        <w:t xml:space="preserve"> 2015 à </w:t>
      </w:r>
      <w:r w:rsidR="00F32D5F" w:rsidRPr="005D4117">
        <w:t>octobre 2016 (pour les sardines)</w:t>
      </w:r>
      <w:r w:rsidRPr="005D4117">
        <w:t xml:space="preserve">. </w:t>
      </w:r>
    </w:p>
    <w:p w14:paraId="6CC2E794" w14:textId="77777777" w:rsidR="00791424" w:rsidRPr="005D4117" w:rsidRDefault="00791424" w:rsidP="00A3247B">
      <w:r w:rsidRPr="005D4117">
        <w:t>Le lait a été livré en 3 périodes de livraison car la date de péremption est plus courte que pour les autres produits.</w:t>
      </w:r>
    </w:p>
    <w:p w14:paraId="0C3B0E7B" w14:textId="35A5AADB" w:rsidR="00D27A1B" w:rsidRPr="005D4117" w:rsidRDefault="00F737E8" w:rsidP="00A3247B">
      <w:pPr>
        <w:tabs>
          <w:tab w:val="left" w:pos="720"/>
        </w:tabs>
        <w:spacing w:before="240"/>
      </w:pPr>
      <w:r w:rsidRPr="005D4117">
        <w:t xml:space="preserve">Le </w:t>
      </w:r>
      <w:r w:rsidR="00D27A1B" w:rsidRPr="005D4117">
        <w:t>FEAD n'a pas été utilisé pour les coûts correspondant</w:t>
      </w:r>
      <w:r w:rsidR="00E309A2" w:rsidRPr="005D4117">
        <w:t xml:space="preserve">s aux dispositions de l'article </w:t>
      </w:r>
      <w:r w:rsidR="00D27A1B" w:rsidRPr="005D4117">
        <w:t>2</w:t>
      </w:r>
      <w:r w:rsidR="00965CF7" w:rsidRPr="005D4117">
        <w:t>6.2.b et c du règlement (UE) n°</w:t>
      </w:r>
      <w:r w:rsidR="00D27A1B" w:rsidRPr="005D4117">
        <w:t>223/2014.</w:t>
      </w:r>
    </w:p>
    <w:p w14:paraId="4F24A807" w14:textId="6469BC08" w:rsidR="007002C1" w:rsidRPr="005D4117" w:rsidRDefault="00791424" w:rsidP="00A3247B">
      <w:r w:rsidRPr="005D4117">
        <w:t>En 2015</w:t>
      </w:r>
      <w:r w:rsidR="00650952" w:rsidRPr="005D4117">
        <w:t xml:space="preserve">, un total de </w:t>
      </w:r>
      <w:r w:rsidR="007002C1" w:rsidRPr="005D4117">
        <w:rPr>
          <w:b/>
        </w:rPr>
        <w:t>6.386,82</w:t>
      </w:r>
      <w:r w:rsidR="00965CF7" w:rsidRPr="005D4117">
        <w:rPr>
          <w:b/>
        </w:rPr>
        <w:t xml:space="preserve"> </w:t>
      </w:r>
      <w:r w:rsidR="00650952" w:rsidRPr="005D4117">
        <w:rPr>
          <w:b/>
        </w:rPr>
        <w:t>tonnes</w:t>
      </w:r>
      <w:r w:rsidR="00650952" w:rsidRPr="005D4117">
        <w:t xml:space="preserve"> de produits alimentaires ont été livrées aux différents CPAS et aux organisations partenaires agréées. Les quantités détaillées par produit figurent dans </w:t>
      </w:r>
      <w:r w:rsidR="00965CF7" w:rsidRPr="005D4117">
        <w:t xml:space="preserve">l'Annexe </w:t>
      </w:r>
      <w:r w:rsidR="007002C1" w:rsidRPr="005D4117">
        <w:t xml:space="preserve">II. Il s’agit des produits de l’appel à </w:t>
      </w:r>
      <w:proofErr w:type="spellStart"/>
      <w:r w:rsidR="007002C1" w:rsidRPr="005D4117">
        <w:t>marché</w:t>
      </w:r>
      <w:proofErr w:type="spellEnd"/>
      <w:r w:rsidR="007002C1" w:rsidRPr="005D4117">
        <w:t xml:space="preserve"> 2015, mais aussi les céréales de l’appel à </w:t>
      </w:r>
      <w:proofErr w:type="spellStart"/>
      <w:r w:rsidR="007002C1" w:rsidRPr="005D4117">
        <w:t>marché</w:t>
      </w:r>
      <w:proofErr w:type="spellEnd"/>
      <w:r w:rsidR="007002C1" w:rsidRPr="005D4117">
        <w:t xml:space="preserve"> 2014 </w:t>
      </w:r>
      <w:r w:rsidR="00EB0BB4" w:rsidRPr="005D4117">
        <w:t>(qui ont</w:t>
      </w:r>
      <w:r w:rsidR="007002C1" w:rsidRPr="005D4117">
        <w:t xml:space="preserve"> été livrés en 2015</w:t>
      </w:r>
      <w:r w:rsidR="00EB0BB4" w:rsidRPr="005D4117">
        <w:t>)</w:t>
      </w:r>
      <w:r w:rsidR="007002C1" w:rsidRPr="005D4117">
        <w:t>.</w:t>
      </w:r>
    </w:p>
    <w:p w14:paraId="309A49B8" w14:textId="616363E8" w:rsidR="00147130" w:rsidRDefault="007002C1" w:rsidP="00A3247B">
      <w:r w:rsidRPr="005D4117">
        <w:t xml:space="preserve">En ce qui concerne les factures émises pour l’achat de produits alimentaires, </w:t>
      </w:r>
      <w:r w:rsidR="004E20B0" w:rsidRPr="005D4117">
        <w:t xml:space="preserve">en 2015 un montant de </w:t>
      </w:r>
      <w:r w:rsidR="004E20B0" w:rsidRPr="005D4117">
        <w:rPr>
          <w:b/>
        </w:rPr>
        <w:t>5.705.688,39€</w:t>
      </w:r>
      <w:r w:rsidR="004E20B0" w:rsidRPr="005D4117">
        <w:t xml:space="preserve"> a pu être liquidé. Il s’agit des dernières factures reçues dans le cadre de l’appel à </w:t>
      </w:r>
      <w:proofErr w:type="spellStart"/>
      <w:r w:rsidR="004E20B0" w:rsidRPr="005D4117">
        <w:t>marché</w:t>
      </w:r>
      <w:proofErr w:type="spellEnd"/>
      <w:r w:rsidR="004E20B0" w:rsidRPr="005D4117">
        <w:t xml:space="preserve"> 2014</w:t>
      </w:r>
      <w:r w:rsidR="00DB5EBA" w:rsidRPr="005D4117">
        <w:t xml:space="preserve"> (</w:t>
      </w:r>
      <w:r w:rsidR="00FE0BFC" w:rsidRPr="005D4117">
        <w:t>3.684.420,12€)</w:t>
      </w:r>
      <w:r w:rsidR="00EB0BB4" w:rsidRPr="005D4117">
        <w:t xml:space="preserve"> et d</w:t>
      </w:r>
      <w:r w:rsidR="004E20B0" w:rsidRPr="005D4117">
        <w:t xml:space="preserve">es premières factures reçues dans le cadre de l’appel à </w:t>
      </w:r>
      <w:proofErr w:type="spellStart"/>
      <w:r w:rsidR="004E20B0" w:rsidRPr="005D4117">
        <w:t>marché</w:t>
      </w:r>
      <w:proofErr w:type="spellEnd"/>
      <w:r w:rsidR="004E20B0" w:rsidRPr="005D4117">
        <w:t xml:space="preserve"> 2015</w:t>
      </w:r>
      <w:r w:rsidR="00FE0BFC" w:rsidRPr="005D4117">
        <w:t xml:space="preserve"> (2.021.268,27€)</w:t>
      </w:r>
      <w:r w:rsidR="004E20B0" w:rsidRPr="005D4117">
        <w:t xml:space="preserve"> (= indicateurs de ressources). </w:t>
      </w:r>
    </w:p>
    <w:p w14:paraId="407D1FF7" w14:textId="77777777" w:rsidR="00633EF3" w:rsidRDefault="00633EF3" w:rsidP="00A3247B"/>
    <w:p w14:paraId="1B4013C2" w14:textId="77777777" w:rsidR="00633EF3" w:rsidRDefault="00633EF3" w:rsidP="00A3247B"/>
    <w:p w14:paraId="4E16013A" w14:textId="77777777" w:rsidR="00DA0446" w:rsidRPr="005D4117" w:rsidRDefault="00DA0446" w:rsidP="00A3247B"/>
    <w:p w14:paraId="13C905F3" w14:textId="77777777" w:rsidR="008A70C3" w:rsidRDefault="00BC0251" w:rsidP="00A3247B">
      <w:pPr>
        <w:pStyle w:val="Kop4"/>
        <w:numPr>
          <w:ilvl w:val="3"/>
          <w:numId w:val="2"/>
        </w:numPr>
        <w:spacing w:after="240" w:line="276" w:lineRule="auto"/>
      </w:pPr>
      <w:r w:rsidRPr="00407488">
        <w:lastRenderedPageBreak/>
        <w:t>Distribution des denrées alimentaires et des articles par les organisations partenaires</w:t>
      </w:r>
    </w:p>
    <w:p w14:paraId="21F601B6" w14:textId="77777777" w:rsidR="0035767E" w:rsidRPr="005D4117" w:rsidRDefault="0035767E" w:rsidP="00A3247B">
      <w:r w:rsidRPr="005D4117">
        <w:t xml:space="preserve">Comme cela a déjà été mentionné ci-dessus, la distribution des produits alimentaires a démarré en </w:t>
      </w:r>
      <w:r w:rsidR="0048177B" w:rsidRPr="005D4117">
        <w:t>septembre</w:t>
      </w:r>
      <w:r w:rsidRPr="005D4117">
        <w:t xml:space="preserve"> 201</w:t>
      </w:r>
      <w:r w:rsidR="00C9759C" w:rsidRPr="005D4117">
        <w:t>5</w:t>
      </w:r>
      <w:r w:rsidRPr="005D4117">
        <w:t>.</w:t>
      </w:r>
    </w:p>
    <w:p w14:paraId="75AC7310" w14:textId="77777777" w:rsidR="00C9759C" w:rsidRPr="005D4117" w:rsidRDefault="0035767E" w:rsidP="00A3247B">
      <w:pPr>
        <w:tabs>
          <w:tab w:val="left" w:pos="720"/>
        </w:tabs>
        <w:spacing w:after="0"/>
      </w:pPr>
      <w:r w:rsidRPr="005D4117">
        <w:t xml:space="preserve">Les organisations partenaires agréées </w:t>
      </w:r>
      <w:r w:rsidR="00C975FB" w:rsidRPr="005D4117">
        <w:t>peuvent</w:t>
      </w:r>
      <w:r w:rsidRPr="005D4117">
        <w:t xml:space="preserve"> déterminer elles-mêmes la façon dont elles distribuent les produits, pour autant qu'elles respectent la réglementation en vigueur.</w:t>
      </w:r>
      <w:r w:rsidRPr="005D4117">
        <w:tab/>
      </w:r>
    </w:p>
    <w:p w14:paraId="73C725BE" w14:textId="77777777" w:rsidR="0035767E" w:rsidRPr="005D4117" w:rsidRDefault="0035767E" w:rsidP="00A3247B">
      <w:pPr>
        <w:tabs>
          <w:tab w:val="left" w:pos="720"/>
        </w:tabs>
        <w:spacing w:after="0"/>
      </w:pPr>
      <w:r w:rsidRPr="005D4117">
        <w:br/>
        <w:t>La façon dont les produits sont distribués aux bénéficiaires finaux varie énormément en fo</w:t>
      </w:r>
      <w:r w:rsidR="00C9759C" w:rsidRPr="005D4117">
        <w:t>nction du type d'organisations</w:t>
      </w:r>
      <w:r w:rsidRPr="005D4117">
        <w:t>. Il y</w:t>
      </w:r>
      <w:r w:rsidR="00737C26" w:rsidRPr="005D4117">
        <w:t xml:space="preserve"> a des différences en termes de</w:t>
      </w:r>
      <w:r w:rsidRPr="005D4117">
        <w:t>:</w:t>
      </w:r>
    </w:p>
    <w:p w14:paraId="7A05CE19" w14:textId="77777777" w:rsidR="00CD35BE" w:rsidRPr="005D4117" w:rsidRDefault="00CD35BE" w:rsidP="00A3247B">
      <w:pPr>
        <w:tabs>
          <w:tab w:val="left" w:pos="720"/>
        </w:tabs>
        <w:spacing w:after="0"/>
      </w:pPr>
    </w:p>
    <w:p w14:paraId="39FFF0D2" w14:textId="00E98B23" w:rsidR="0035767E" w:rsidRPr="005D4117" w:rsidRDefault="00737C26" w:rsidP="00A3247B">
      <w:pPr>
        <w:pStyle w:val="Lijstalinea"/>
        <w:numPr>
          <w:ilvl w:val="0"/>
          <w:numId w:val="11"/>
        </w:numPr>
        <w:tabs>
          <w:tab w:val="left" w:pos="720"/>
        </w:tabs>
        <w:spacing w:after="0"/>
      </w:pPr>
      <w:r w:rsidRPr="005D4117">
        <w:t>Fréquence de la distribution</w:t>
      </w:r>
      <w:r w:rsidR="0035767E" w:rsidRPr="005D4117">
        <w:t>: hebdomadaire, mensuelle, seulement sporadiquement, dans les situations de crise</w:t>
      </w:r>
      <w:r w:rsidR="00CD35BE" w:rsidRPr="005D4117">
        <w:t>, etc.</w:t>
      </w:r>
    </w:p>
    <w:p w14:paraId="2AC67970" w14:textId="10C191FE" w:rsidR="0035767E" w:rsidRPr="005D4117" w:rsidRDefault="0035767E" w:rsidP="00A3247B">
      <w:pPr>
        <w:pStyle w:val="Lijstalinea"/>
        <w:numPr>
          <w:ilvl w:val="0"/>
          <w:numId w:val="11"/>
        </w:numPr>
        <w:tabs>
          <w:tab w:val="left" w:pos="720"/>
        </w:tabs>
        <w:spacing w:after="0"/>
      </w:pPr>
      <w:r w:rsidRPr="005D4117">
        <w:t>Com</w:t>
      </w:r>
      <w:r w:rsidR="002A3D1E" w:rsidRPr="005D4117">
        <w:t>position des colis alimentaires</w:t>
      </w:r>
      <w:r w:rsidRPr="005D4117">
        <w:t xml:space="preserve">: préparés à l'avance, avec ou sans possibilités de choix pour le bénéficiaire final, conjointement ou non </w:t>
      </w:r>
      <w:r w:rsidR="00320F94" w:rsidRPr="005D4117">
        <w:t>à d’autres</w:t>
      </w:r>
      <w:r w:rsidRPr="005D4117">
        <w:t xml:space="preserve"> produits alimentaires ne provenant pas du FEAD</w:t>
      </w:r>
      <w:r w:rsidR="00CD35BE" w:rsidRPr="005D4117">
        <w:t>, etc.</w:t>
      </w:r>
    </w:p>
    <w:p w14:paraId="1B2D8CAA" w14:textId="3DA8A3E2" w:rsidR="0035767E" w:rsidRPr="005D4117" w:rsidRDefault="00737C26" w:rsidP="00A3247B">
      <w:pPr>
        <w:pStyle w:val="Lijstalinea"/>
        <w:numPr>
          <w:ilvl w:val="0"/>
          <w:numId w:val="11"/>
        </w:numPr>
        <w:tabs>
          <w:tab w:val="left" w:pos="720"/>
        </w:tabs>
        <w:spacing w:after="0"/>
      </w:pPr>
      <w:r w:rsidRPr="005D4117">
        <w:t>Mode de distribution</w:t>
      </w:r>
      <w:r w:rsidR="0035767E" w:rsidRPr="005D4117">
        <w:t xml:space="preserve">: </w:t>
      </w:r>
      <w:r w:rsidR="00E309A2" w:rsidRPr="005D4117">
        <w:t xml:space="preserve">sous la forme de colis (principalement), </w:t>
      </w:r>
      <w:r w:rsidR="0035767E" w:rsidRPr="005D4117">
        <w:t xml:space="preserve">sous la forme de repas, d'ateliers de cuisine, </w:t>
      </w:r>
      <w:r w:rsidR="00C975FB" w:rsidRPr="005D4117">
        <w:t>dans des épiceries sociales,</w:t>
      </w:r>
      <w:r w:rsidR="00CD35BE" w:rsidRPr="005D4117">
        <w:t xml:space="preserve"> etc.</w:t>
      </w:r>
    </w:p>
    <w:p w14:paraId="3D7A1A78" w14:textId="77777777" w:rsidR="0035767E" w:rsidRPr="005D4117" w:rsidRDefault="0035767E" w:rsidP="00A3247B">
      <w:pPr>
        <w:tabs>
          <w:tab w:val="left" w:pos="720"/>
        </w:tabs>
        <w:spacing w:after="0"/>
      </w:pPr>
    </w:p>
    <w:p w14:paraId="105636BA" w14:textId="5A6BD77A" w:rsidR="001010B4" w:rsidRPr="005D4117" w:rsidRDefault="001010B4" w:rsidP="00A3247B">
      <w:r w:rsidRPr="005D4117">
        <w:t xml:space="preserve">Nous avons demandé aux organisations partenaires agréées et CPAS de remplir des statistiques concernant leur façon de distribuer. </w:t>
      </w:r>
      <w:r w:rsidR="00CD35BE" w:rsidRPr="005D4117">
        <w:t>Voici une analyse des résultats obtenus :</w:t>
      </w:r>
    </w:p>
    <w:p w14:paraId="567E3BD6" w14:textId="77777777" w:rsidR="001010B4" w:rsidRPr="005D4117" w:rsidRDefault="001010B4" w:rsidP="00A3247B">
      <w:pPr>
        <w:rPr>
          <w:b/>
        </w:rPr>
      </w:pPr>
      <w:r w:rsidRPr="005D4117">
        <w:rPr>
          <w:b/>
        </w:rPr>
        <w:t>2.1.4.2.1 Fréquence des distributions</w:t>
      </w:r>
    </w:p>
    <w:p w14:paraId="43CA5869" w14:textId="77777777" w:rsidR="001010B4" w:rsidRPr="005D4117" w:rsidRDefault="001010B4" w:rsidP="00A3247B">
      <w:r w:rsidRPr="005D4117">
        <w:t>L’analyse de ces statistiques montre que la majorité relative des organisations partenaires (22%) procède à la distribution de produits FEAD plusieurs fois par mois. 32 % distribuent ces produits plus fréquemment (19 % plusieurs fois par semaine et 13% une fois par semaine), tandis que 19 % des organisations distribuent les produits FEAD une fois par mois.</w:t>
      </w:r>
    </w:p>
    <w:p w14:paraId="44AE7B8D" w14:textId="77777777" w:rsidR="001010B4" w:rsidRPr="005D4117" w:rsidRDefault="001010B4" w:rsidP="00A3247B">
      <w:r w:rsidRPr="005D4117">
        <w:t>8 % des organisations distribuent les produits FEAD dès que ceux-ci sont disponibles, alors que la distribution d’urgence représente 2 % des organisations partenaires.</w:t>
      </w:r>
    </w:p>
    <w:p w14:paraId="447D4875" w14:textId="4FC95C53" w:rsidR="00320F94" w:rsidRDefault="001010B4" w:rsidP="00A3247B">
      <w:r w:rsidRPr="005D4117">
        <w:t>Enfin, 17 % des organisations pa</w:t>
      </w:r>
      <w:r w:rsidR="0000230F">
        <w:t>rtenaires ont choisi l’option «autre</w:t>
      </w:r>
      <w:r w:rsidRPr="005D4117">
        <w:t>» dans le questionnaire. Ainsi, certaines organisations adaptent leur fréquence de distribution en fonction de la période de l’année (davantage de distributions en hiver). D’autres répondent aux demandes des CPAS ou couplent la distribution de colis d’urgence avec une distribution régulière des produits, situations rendant difficile l’estimation d’une fréquence de distribution.</w:t>
      </w:r>
    </w:p>
    <w:p w14:paraId="70E3EAD3" w14:textId="72B49EC1" w:rsidR="0000230F" w:rsidRPr="005D4117" w:rsidRDefault="0000230F" w:rsidP="00A3247B">
      <w:r>
        <w:rPr>
          <w:noProof/>
          <w:lang w:val="en-US" w:eastAsia="en-US" w:bidi="ar-SA"/>
        </w:rPr>
        <w:lastRenderedPageBreak/>
        <w:drawing>
          <wp:inline distT="0" distB="0" distL="0" distR="0" wp14:anchorId="163B46EE" wp14:editId="6E6A1BFA">
            <wp:extent cx="3898900" cy="2749550"/>
            <wp:effectExtent l="0" t="0" r="6350" b="12700"/>
            <wp:docPr id="3"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50F52A2" w14:textId="77777777" w:rsidR="001010B4" w:rsidRPr="005D4117" w:rsidRDefault="001010B4" w:rsidP="00A3247B">
      <w:pPr>
        <w:rPr>
          <w:b/>
        </w:rPr>
      </w:pPr>
      <w:r w:rsidRPr="005D4117">
        <w:rPr>
          <w:b/>
        </w:rPr>
        <w:t>2.1.4.2.2 Définition de colis</w:t>
      </w:r>
    </w:p>
    <w:p w14:paraId="37E1CFB8" w14:textId="77777777" w:rsidR="001010B4" w:rsidRPr="005D4117" w:rsidRDefault="001010B4" w:rsidP="00A3247B">
      <w:r w:rsidRPr="005D4117">
        <w:t xml:space="preserve">En ce qui concerne la définition de ‘colis’ pour l’association, l’analyse des réponses obtenues montre que la majorité des organisations partenaires (58 %) distribuent les produits FEAD sous la forme de « packs ». Dans un tel cas, chaque bénéficiaire reçoit les mêmes produits, en quantité variable fonction de la taille de leur famille. </w:t>
      </w:r>
    </w:p>
    <w:p w14:paraId="6CEA8887" w14:textId="773D0CDD" w:rsidR="001010B4" w:rsidRPr="005D4117" w:rsidRDefault="001010B4" w:rsidP="00A3247B">
      <w:r w:rsidRPr="005D4117">
        <w:t>29 % des organisations partenaires fon</w:t>
      </w:r>
      <w:r w:rsidR="00392D08" w:rsidRPr="005D4117">
        <w:t>ctionnent selon un système de «</w:t>
      </w:r>
      <w:r w:rsidRPr="005D4117">
        <w:t>libre-serv</w:t>
      </w:r>
      <w:r w:rsidR="00392D08" w:rsidRPr="005D4117">
        <w:t>ice</w:t>
      </w:r>
      <w:r w:rsidRPr="005D4117">
        <w:t>» selon lequel les bénéficiaires peuvent choisir les produits FEAD qu’ils souhaitent recevoir et ainsi constituer leur propre panier. Seuls 2% des organisations partenaires procèdent à la distribution des produits FEAD sous la forme de repas.</w:t>
      </w:r>
    </w:p>
    <w:p w14:paraId="7C849634" w14:textId="7C539534" w:rsidR="001010B4" w:rsidRDefault="001010B4" w:rsidP="00A3247B">
      <w:r w:rsidRPr="005D4117">
        <w:t>Enfin, 11 % des organisations pa</w:t>
      </w:r>
      <w:r w:rsidR="00392D08" w:rsidRPr="005D4117">
        <w:t>rtenaires ont choisi l’option «autre</w:t>
      </w:r>
      <w:r w:rsidRPr="005D4117">
        <w:t>» dans le questionnaire. La majorité des organisations ayant coché cette case fonctionne selon u</w:t>
      </w:r>
      <w:r w:rsidR="005D4117">
        <w:t>ne option intermédiaire entre «pack» et «libre-service</w:t>
      </w:r>
      <w:r w:rsidRPr="005D4117">
        <w:t>». Celles-ci proposent un coli sous forme de « pack ». Toutefois, les bénéficiaires peuvent demander une adaptation de ce coli en fonction de leur régime alimentaire (végétarien, végétalien, allergies alimentaires, etc.) ou en fonction de leur conviction religieuse. D’autres associations offrent également la possibilité aux bénéficiaires de demander une diminution des quantités qui leur sont octroyées afin de limiter le gaspillage alimentaire.</w:t>
      </w:r>
    </w:p>
    <w:p w14:paraId="3ABF26D7" w14:textId="5241D1DB" w:rsidR="006C2F8D" w:rsidRPr="005D4117" w:rsidRDefault="006C2F8D" w:rsidP="00A3247B">
      <w:r>
        <w:rPr>
          <w:noProof/>
          <w:lang w:val="en-US" w:eastAsia="en-US" w:bidi="ar-SA"/>
        </w:rPr>
        <w:lastRenderedPageBreak/>
        <w:drawing>
          <wp:inline distT="0" distB="0" distL="0" distR="0" wp14:anchorId="421CB0E6" wp14:editId="1F78933E">
            <wp:extent cx="3906981" cy="2622550"/>
            <wp:effectExtent l="0" t="0" r="17780" b="6350"/>
            <wp:docPr id="4"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5835024" w14:textId="77777777" w:rsidR="001010B4" w:rsidRPr="005D4117" w:rsidRDefault="001010B4" w:rsidP="00A3247B">
      <w:pPr>
        <w:rPr>
          <w:b/>
        </w:rPr>
      </w:pPr>
      <w:r w:rsidRPr="005D4117">
        <w:rPr>
          <w:b/>
        </w:rPr>
        <w:t>2.1.4.</w:t>
      </w:r>
      <w:r w:rsidR="002A3D1E" w:rsidRPr="005D4117">
        <w:rPr>
          <w:b/>
        </w:rPr>
        <w:t>2.3 Proportion de produits FEAD</w:t>
      </w:r>
      <w:r w:rsidRPr="005D4117">
        <w:rPr>
          <w:b/>
        </w:rPr>
        <w:t>:</w:t>
      </w:r>
    </w:p>
    <w:p w14:paraId="19A62350" w14:textId="77777777" w:rsidR="001010B4" w:rsidRPr="005D4117" w:rsidRDefault="001010B4" w:rsidP="00A3247B">
      <w:r w:rsidRPr="005D4117">
        <w:t>La majorité des organisations partenaires (65%) associe la distribution de produits FEAD à la distribution de produits supplémentaires provenant d’autres sources. Le reste (35 %) procède uniquement à la distribution de produits FEAD.</w:t>
      </w:r>
    </w:p>
    <w:p w14:paraId="15A56A50" w14:textId="77777777" w:rsidR="001010B4" w:rsidRPr="005D4117" w:rsidRDefault="002A3D1E" w:rsidP="00A3247B">
      <w:pPr>
        <w:rPr>
          <w:b/>
        </w:rPr>
      </w:pPr>
      <w:r w:rsidRPr="005D4117">
        <w:rPr>
          <w:b/>
        </w:rPr>
        <w:t>2.1.4.2.4. Etat des stocks</w:t>
      </w:r>
      <w:r w:rsidR="001010B4" w:rsidRPr="005D4117">
        <w:rPr>
          <w:b/>
        </w:rPr>
        <w:t>:</w:t>
      </w:r>
    </w:p>
    <w:p w14:paraId="05EC4606" w14:textId="12ABFDE0" w:rsidR="00650952" w:rsidRPr="005D4117" w:rsidRDefault="00650952" w:rsidP="00A3247B">
      <w:r w:rsidRPr="005D4117">
        <w:t>Afin de déterminer les quantités qui ont été effectivement dist</w:t>
      </w:r>
      <w:r w:rsidR="00C9759C" w:rsidRPr="005D4117">
        <w:t>ribuées aux plus démunis en 2015</w:t>
      </w:r>
      <w:r w:rsidRPr="005D4117">
        <w:t xml:space="preserve"> par rapport aux quantités livrées, tous les CPAS et toutes les organisations partenaires agréées ont été invités à communiquer leurs stocks au 31/12/201</w:t>
      </w:r>
      <w:r w:rsidR="00C9759C" w:rsidRPr="005D4117">
        <w:t>5</w:t>
      </w:r>
      <w:r w:rsidRPr="005D4117">
        <w:t>.</w:t>
      </w:r>
      <w:r w:rsidR="00C9759C" w:rsidRPr="005D4117">
        <w:t xml:space="preserve"> Cette année, les CPAS et organisations partenaires agréées ont été invitées à le faire en utilisant un formulaire web.</w:t>
      </w:r>
      <w:r w:rsidR="00392D08" w:rsidRPr="005D4117">
        <w:t xml:space="preserve"> </w:t>
      </w:r>
    </w:p>
    <w:p w14:paraId="46E03BA7" w14:textId="6205CA6B" w:rsidR="00D75440" w:rsidRPr="005D4117" w:rsidRDefault="00650952" w:rsidP="00A3247B">
      <w:r w:rsidRPr="005D4117">
        <w:t>Su</w:t>
      </w:r>
      <w:r w:rsidR="00392D08" w:rsidRPr="005D4117">
        <w:t xml:space="preserve">r </w:t>
      </w:r>
      <w:r w:rsidR="00714272" w:rsidRPr="005D4117">
        <w:t>760</w:t>
      </w:r>
      <w:r w:rsidR="00392D08" w:rsidRPr="005D4117">
        <w:t xml:space="preserve"> organisations, </w:t>
      </w:r>
      <w:r w:rsidR="00714272" w:rsidRPr="005D4117">
        <w:t>696</w:t>
      </w:r>
      <w:r w:rsidR="00392D08" w:rsidRPr="005D4117">
        <w:t xml:space="preserve"> (</w:t>
      </w:r>
      <w:r w:rsidR="00714272" w:rsidRPr="005D4117">
        <w:t>91,58%)</w:t>
      </w:r>
      <w:r w:rsidRPr="005D4117">
        <w:t xml:space="preserve"> ont envoyé leurs</w:t>
      </w:r>
      <w:r w:rsidR="00392D08" w:rsidRPr="005D4117">
        <w:t xml:space="preserve"> données de stocks au 31/12/2015</w:t>
      </w:r>
      <w:r w:rsidRPr="005D4117">
        <w:t xml:space="preserve">. </w:t>
      </w:r>
      <w:r w:rsidR="001F7F3B" w:rsidRPr="005D4117">
        <w:t>Cela représente</w:t>
      </w:r>
      <w:r w:rsidR="00D75440" w:rsidRPr="005D4117">
        <w:t xml:space="preserve"> 13,53% </w:t>
      </w:r>
      <w:r w:rsidR="009F4F6F" w:rsidRPr="005D4117">
        <w:t xml:space="preserve">de </w:t>
      </w:r>
      <w:r w:rsidR="00D75440" w:rsidRPr="005D4117">
        <w:t>p</w:t>
      </w:r>
      <w:r w:rsidR="008C754C" w:rsidRPr="005D4117">
        <w:t xml:space="preserve">lus par rapport à l’année 2014 ! Pour obtenir cela, </w:t>
      </w:r>
      <w:r w:rsidR="00D75440" w:rsidRPr="005D4117">
        <w:t xml:space="preserve">l’AG a envoyé </w:t>
      </w:r>
      <w:r w:rsidR="008C754C" w:rsidRPr="005D4117">
        <w:t>davantage</w:t>
      </w:r>
      <w:r w:rsidR="00D75440" w:rsidRPr="005D4117">
        <w:t xml:space="preserve"> de rappels et a écrit plusieurs articles à ce sujet dans </w:t>
      </w:r>
      <w:r w:rsidR="008C754C" w:rsidRPr="005D4117">
        <w:t>la lettre d’information FEAD</w:t>
      </w:r>
      <w:r w:rsidR="0008171E" w:rsidRPr="005D4117">
        <w:t xml:space="preserve"> </w:t>
      </w:r>
      <w:r w:rsidR="008C754C" w:rsidRPr="005D4117">
        <w:t xml:space="preserve">pour motiver les organisations à </w:t>
      </w:r>
      <w:r w:rsidR="0008171E" w:rsidRPr="005D4117">
        <w:t xml:space="preserve">introduire leur stock </w:t>
      </w:r>
      <w:r w:rsidR="008C754C" w:rsidRPr="005D4117">
        <w:t>au</w:t>
      </w:r>
      <w:r w:rsidR="0008171E" w:rsidRPr="005D4117">
        <w:t xml:space="preserve"> 31/12/2015</w:t>
      </w:r>
      <w:r w:rsidR="00D75440" w:rsidRPr="005D4117">
        <w:t xml:space="preserve"> (voir point 2.1.7.2.). </w:t>
      </w:r>
    </w:p>
    <w:p w14:paraId="1ABC13C5" w14:textId="6852B931" w:rsidR="008C754C" w:rsidRPr="005D4117" w:rsidRDefault="0008171E" w:rsidP="00A3247B">
      <w:r w:rsidRPr="005D4117">
        <w:t xml:space="preserve">Pour les organisations qui n’ont pas communiqué leurs stocks </w:t>
      </w:r>
      <w:r w:rsidR="008C754C" w:rsidRPr="005D4117">
        <w:t xml:space="preserve">à la date d’écriture de ce rapport (un total de 64 organisations) – et afin de ne pas retarder la soumission de celui-ci – </w:t>
      </w:r>
      <w:r w:rsidR="00320F94" w:rsidRPr="005D4117">
        <w:t>nous avons utilisé, pour chaque produit, un pourcentage de distribution calculé sur la base</w:t>
      </w:r>
      <w:r w:rsidR="00650952" w:rsidRPr="005D4117">
        <w:t xml:space="preserve"> des données de stocks effectivement reçu</w:t>
      </w:r>
      <w:r w:rsidR="00320F94" w:rsidRPr="005D4117">
        <w:t>e</w:t>
      </w:r>
      <w:r w:rsidR="00650952" w:rsidRPr="005D4117">
        <w:t>s.</w:t>
      </w:r>
      <w:r w:rsidR="00392D08" w:rsidRPr="005D4117">
        <w:tab/>
      </w:r>
    </w:p>
    <w:p w14:paraId="0753434A" w14:textId="654A87FF" w:rsidR="00392D08" w:rsidRPr="005D4117" w:rsidRDefault="00392D08" w:rsidP="00A3247B">
      <w:r w:rsidRPr="005D4117">
        <w:t xml:space="preserve">Les calculs à </w:t>
      </w:r>
      <w:r w:rsidR="008C754C" w:rsidRPr="005D4117">
        <w:t>effectuer</w:t>
      </w:r>
      <w:r w:rsidRPr="005D4117">
        <w:t xml:space="preserve"> afin de savoir </w:t>
      </w:r>
      <w:r w:rsidR="008C754C" w:rsidRPr="005D4117">
        <w:t xml:space="preserve">quelles étaient </w:t>
      </w:r>
      <w:r w:rsidRPr="005D4117">
        <w:t>les quantités effectivement distribuées aux plus démunis en 2015</w:t>
      </w:r>
      <w:r w:rsidR="00320F94" w:rsidRPr="005D4117">
        <w:t xml:space="preserve"> ont été rendu plus complexes du fait que </w:t>
      </w:r>
      <w:r w:rsidRPr="005D4117">
        <w:t xml:space="preserve">les organisations ont distribué en 2015 des produits de l’appel à </w:t>
      </w:r>
      <w:proofErr w:type="spellStart"/>
      <w:r w:rsidRPr="005D4117">
        <w:t>marché</w:t>
      </w:r>
      <w:proofErr w:type="spellEnd"/>
      <w:r w:rsidRPr="005D4117">
        <w:t xml:space="preserve"> </w:t>
      </w:r>
      <w:r w:rsidR="008C754C" w:rsidRPr="005D4117">
        <w:t xml:space="preserve">de </w:t>
      </w:r>
      <w:r w:rsidRPr="005D4117">
        <w:t xml:space="preserve">2014 et </w:t>
      </w:r>
      <w:r w:rsidR="008C754C" w:rsidRPr="005D4117">
        <w:t xml:space="preserve">de </w:t>
      </w:r>
      <w:r w:rsidRPr="005D4117">
        <w:t xml:space="preserve">2015. </w:t>
      </w:r>
    </w:p>
    <w:p w14:paraId="4411A8CC" w14:textId="19EFF4DA" w:rsidR="00650952" w:rsidRPr="005D4117" w:rsidRDefault="00650952" w:rsidP="00A3247B">
      <w:r w:rsidRPr="005D4117">
        <w:t>Dans le courant</w:t>
      </w:r>
      <w:r w:rsidR="00737C26" w:rsidRPr="005D4117">
        <w:t xml:space="preserve"> de l'année 201</w:t>
      </w:r>
      <w:r w:rsidR="0008171E" w:rsidRPr="005D4117">
        <w:t>5</w:t>
      </w:r>
      <w:r w:rsidR="00737C26" w:rsidRPr="005D4117">
        <w:t xml:space="preserve">, un total de </w:t>
      </w:r>
      <w:r w:rsidR="0008171E" w:rsidRPr="005D4117">
        <w:t>7.685,44</w:t>
      </w:r>
      <w:r w:rsidR="00737C26" w:rsidRPr="005D4117">
        <w:t xml:space="preserve"> </w:t>
      </w:r>
      <w:r w:rsidRPr="005D4117">
        <w:t>tonnes de denrées alimentaires a effectivement été distrib</w:t>
      </w:r>
      <w:r w:rsidR="00392D08" w:rsidRPr="005D4117">
        <w:t>ué aux plus démunis.</w:t>
      </w:r>
      <w:r w:rsidRPr="005D4117">
        <w:t xml:space="preserve"> Les quantités détaillées par</w:t>
      </w:r>
      <w:r w:rsidR="00737C26" w:rsidRPr="005D4117">
        <w:t xml:space="preserve"> produit figurent dans l'Annexe </w:t>
      </w:r>
      <w:r w:rsidRPr="005D4117">
        <w:t xml:space="preserve">II. Les indicateurs de résultat sont présentés au point 2.3.2. </w:t>
      </w:r>
    </w:p>
    <w:p w14:paraId="74857D03" w14:textId="6F015B4A" w:rsidR="00BA6403" w:rsidRPr="005D4117" w:rsidRDefault="00BA6403" w:rsidP="00A3247B">
      <w:r w:rsidRPr="005D4117">
        <w:t xml:space="preserve">Il avait été annoncé dans le rapport annuel de l’année dernière qu’au cours de la période de programmation, l’AG intégrera le processus de gestion des stocks et l’inventorisation dans </w:t>
      </w:r>
      <w:r w:rsidRPr="005D4117">
        <w:lastRenderedPageBreak/>
        <w:t>l’application électronique. Si les stocks ne sont pas encore disponibles via l’application, l’AG est parvenue cette année à recevoir l’état des stocks des organi</w:t>
      </w:r>
      <w:r w:rsidR="00CD35BE" w:rsidRPr="005D4117">
        <w:t>sations de manière électronique – ce qui facilite grandement le traitement de ces données.</w:t>
      </w:r>
    </w:p>
    <w:p w14:paraId="4019D34D" w14:textId="70C3B3C5" w:rsidR="00C9759C" w:rsidRPr="00DA0446" w:rsidRDefault="005C5C42" w:rsidP="00A3247B">
      <w:r w:rsidRPr="00DA0446">
        <w:t xml:space="preserve">La distribution des </w:t>
      </w:r>
      <w:r w:rsidR="001E740E" w:rsidRPr="00DA0446">
        <w:t>produits</w:t>
      </w:r>
      <w:r w:rsidRPr="00DA0446">
        <w:t xml:space="preserve"> 201</w:t>
      </w:r>
      <w:r w:rsidR="00C9759C" w:rsidRPr="00DA0446">
        <w:t>5</w:t>
      </w:r>
      <w:r w:rsidRPr="00DA0446">
        <w:t xml:space="preserve"> </w:t>
      </w:r>
      <w:r w:rsidR="00C9759C" w:rsidRPr="00DA0446">
        <w:t>a continué</w:t>
      </w:r>
      <w:r w:rsidR="001D3F58" w:rsidRPr="00DA0446">
        <w:t xml:space="preserve"> dans le courant de l’année 201</w:t>
      </w:r>
      <w:r w:rsidR="00C9759C" w:rsidRPr="00DA0446">
        <w:t>6</w:t>
      </w:r>
      <w:r w:rsidR="001D3F58" w:rsidRPr="00DA0446">
        <w:t xml:space="preserve">. Ceci ne pose aucun problème </w:t>
      </w:r>
      <w:r w:rsidR="001E740E" w:rsidRPr="00DA0446">
        <w:t>étant donné</w:t>
      </w:r>
      <w:r w:rsidR="001D3F58" w:rsidRPr="00DA0446">
        <w:t xml:space="preserve"> que les </w:t>
      </w:r>
      <w:r w:rsidR="00CD35BE" w:rsidRPr="00DA0446">
        <w:t xml:space="preserve">dates de péremption </w:t>
      </w:r>
      <w:r w:rsidR="00B23DD8" w:rsidRPr="00DA0446">
        <w:t xml:space="preserve">de la majorité des produits </w:t>
      </w:r>
      <w:r w:rsidR="00CD35BE" w:rsidRPr="00DA0446">
        <w:t>vont jusqu’en</w:t>
      </w:r>
      <w:r w:rsidR="005D4117" w:rsidRPr="00DA0446">
        <w:t xml:space="preserve"> 2020</w:t>
      </w:r>
      <w:r w:rsidR="00B23DD8" w:rsidRPr="00DA0446">
        <w:t xml:space="preserve"> (</w:t>
      </w:r>
      <w:r w:rsidR="000815C0" w:rsidRPr="00DA0446">
        <w:t>les produits ayant une date de péremption moins longue sont distribués rapidement</w:t>
      </w:r>
      <w:r w:rsidR="00B23DD8" w:rsidRPr="00DA0446">
        <w:t>)</w:t>
      </w:r>
      <w:r w:rsidR="001D3F58" w:rsidRPr="00DA0446">
        <w:t>.</w:t>
      </w:r>
    </w:p>
    <w:p w14:paraId="63DDEC9A" w14:textId="53CAAF2E" w:rsidR="001179FE" w:rsidRPr="00DA0446" w:rsidRDefault="00567C9B" w:rsidP="00A3247B">
      <w:r w:rsidRPr="00DA0446">
        <w:t>En ce qui concerne l’indicateur 12 (</w:t>
      </w:r>
      <w:r w:rsidR="003032C3" w:rsidRPr="00DA0446">
        <w:t>nombre</w:t>
      </w:r>
      <w:r w:rsidRPr="00DA0446">
        <w:t xml:space="preserve"> total de repas distribués et financés totalement ou partiellement par le PO), à cause d’une erreur administrative, une partie des données n’a pas pu être collectée. L’AG fera le nécessaire pour proposer, dans le prochain rapport une correction de ce chiffre.</w:t>
      </w:r>
    </w:p>
    <w:p w14:paraId="39CC0A83" w14:textId="77777777" w:rsidR="00BC0251" w:rsidRPr="00407488" w:rsidRDefault="00BC0251" w:rsidP="00A3247B">
      <w:pPr>
        <w:pStyle w:val="Kop4"/>
        <w:numPr>
          <w:ilvl w:val="3"/>
          <w:numId w:val="2"/>
        </w:numPr>
        <w:spacing w:after="240" w:line="276" w:lineRule="auto"/>
      </w:pPr>
      <w:r w:rsidRPr="00407488">
        <w:t>Assistance technique</w:t>
      </w:r>
    </w:p>
    <w:p w14:paraId="63BC1FC0" w14:textId="77777777" w:rsidR="00A779F6" w:rsidRPr="005D4117" w:rsidRDefault="00A779F6" w:rsidP="00A3247B">
      <w:pPr>
        <w:spacing w:after="240"/>
        <w:rPr>
          <w:lang w:val="fr-BE" w:eastAsia="en-US" w:bidi="ar-SA"/>
        </w:rPr>
      </w:pPr>
      <w:r w:rsidRPr="005D4117">
        <w:rPr>
          <w:lang w:val="fr-BE" w:eastAsia="en-US" w:bidi="ar-SA"/>
        </w:rPr>
        <w:t>Conformément à l’article 27 du règlement (UE) n° 223/2014, les mesures de préparation, de gestion, de suivi (appui méthodologique, système d’information et de suivi, outils de gestion), d’assistance administrative et technique (y compris frais de salaires d’agents publics statutaires et contractuels en charge du FEAD), d’audit, d’information, de contrôle et d’évaluation concourant à l’exécution de ce programme seront financées dans le cadre de l’assistance technique.</w:t>
      </w:r>
    </w:p>
    <w:p w14:paraId="4DC70C18" w14:textId="77777777" w:rsidR="008C754C" w:rsidRPr="005D4117" w:rsidRDefault="00A779F6" w:rsidP="00A3247B">
      <w:pPr>
        <w:spacing w:after="240"/>
        <w:rPr>
          <w:lang w:val="fr-BE" w:eastAsia="en-US" w:bidi="ar-SA"/>
        </w:rPr>
      </w:pPr>
      <w:r w:rsidRPr="005D4117">
        <w:rPr>
          <w:lang w:val="fr-BE" w:eastAsia="en-US" w:bidi="ar-SA"/>
        </w:rPr>
        <w:t>En 2014, l’AG n’avait pas encore eu r</w:t>
      </w:r>
      <w:r w:rsidR="008C754C" w:rsidRPr="005D4117">
        <w:rPr>
          <w:lang w:val="fr-BE" w:eastAsia="en-US" w:bidi="ar-SA"/>
        </w:rPr>
        <w:t xml:space="preserve">ecours à l’assistance technique, cela était dû </w:t>
      </w:r>
      <w:r w:rsidRPr="005D4117">
        <w:rPr>
          <w:lang w:val="fr-BE" w:eastAsia="en-US" w:bidi="ar-SA"/>
        </w:rPr>
        <w:t>à de</w:t>
      </w:r>
      <w:r w:rsidR="008C754C" w:rsidRPr="005D4117">
        <w:rPr>
          <w:lang w:val="fr-BE" w:eastAsia="en-US" w:bidi="ar-SA"/>
        </w:rPr>
        <w:t xml:space="preserve">s raisons de nature budgétaire : </w:t>
      </w:r>
      <w:r w:rsidRPr="005D4117">
        <w:rPr>
          <w:lang w:val="fr-BE" w:eastAsia="en-US" w:bidi="ar-SA"/>
        </w:rPr>
        <w:t xml:space="preserve">aucune prévision n’avait été établie à cet effet dans le budget belge pour l’année 2014. </w:t>
      </w:r>
    </w:p>
    <w:p w14:paraId="431AF2A0" w14:textId="3756A2DA" w:rsidR="00A779F6" w:rsidRPr="005D4117" w:rsidRDefault="00A779F6" w:rsidP="00A3247B">
      <w:pPr>
        <w:spacing w:after="240"/>
        <w:rPr>
          <w:lang w:val="fr-BE" w:eastAsia="en-US" w:bidi="ar-SA"/>
        </w:rPr>
      </w:pPr>
      <w:r w:rsidRPr="005D4117">
        <w:rPr>
          <w:lang w:val="fr-BE" w:eastAsia="en-US" w:bidi="ar-SA"/>
        </w:rPr>
        <w:t xml:space="preserve">Pour la première demande de paiement couvrant l’année 2014 </w:t>
      </w:r>
      <w:r w:rsidR="008C754C" w:rsidRPr="005D4117">
        <w:rPr>
          <w:lang w:val="fr-BE" w:eastAsia="en-US" w:bidi="ar-SA"/>
        </w:rPr>
        <w:t>(</w:t>
      </w:r>
      <w:r w:rsidRPr="005D4117">
        <w:rPr>
          <w:lang w:val="fr-BE" w:eastAsia="en-US" w:bidi="ar-SA"/>
        </w:rPr>
        <w:t>qui sera introduite dans le courant de l’année 2016 auprès de la CE</w:t>
      </w:r>
      <w:r w:rsidR="008C754C" w:rsidRPr="005D4117">
        <w:rPr>
          <w:lang w:val="fr-BE" w:eastAsia="en-US" w:bidi="ar-SA"/>
        </w:rPr>
        <w:t>)</w:t>
      </w:r>
      <w:r w:rsidRPr="005D4117">
        <w:rPr>
          <w:lang w:val="fr-BE" w:eastAsia="en-US" w:bidi="ar-SA"/>
        </w:rPr>
        <w:t xml:space="preserve">, l’AG introduira </w:t>
      </w:r>
      <w:r w:rsidR="008C754C" w:rsidRPr="005D4117">
        <w:rPr>
          <w:lang w:val="fr-BE" w:eastAsia="en-US" w:bidi="ar-SA"/>
        </w:rPr>
        <w:t>tout de même dans la rubrique « assistance technique » l</w:t>
      </w:r>
      <w:r w:rsidRPr="005D4117">
        <w:rPr>
          <w:lang w:val="fr-BE" w:eastAsia="en-US" w:bidi="ar-SA"/>
        </w:rPr>
        <w:t>es frais</w:t>
      </w:r>
      <w:r w:rsidR="008C754C" w:rsidRPr="005D4117">
        <w:rPr>
          <w:lang w:val="fr-BE" w:eastAsia="en-US" w:bidi="ar-SA"/>
        </w:rPr>
        <w:t xml:space="preserve"> de 2014 liés aux </w:t>
      </w:r>
      <w:r w:rsidRPr="005D4117">
        <w:rPr>
          <w:lang w:val="fr-BE" w:eastAsia="en-US" w:bidi="ar-SA"/>
        </w:rPr>
        <w:t xml:space="preserve">agents publics statutaires et contractuels en charge du FEAD. </w:t>
      </w:r>
      <w:r w:rsidR="008C754C" w:rsidRPr="005D4117">
        <w:rPr>
          <w:lang w:val="fr-BE" w:eastAsia="en-US" w:bidi="ar-SA"/>
        </w:rPr>
        <w:t xml:space="preserve">Ceci explique pourquoi </w:t>
      </w:r>
      <w:r w:rsidRPr="005D4117">
        <w:rPr>
          <w:lang w:val="fr-BE" w:eastAsia="en-US" w:bidi="ar-SA"/>
        </w:rPr>
        <w:t xml:space="preserve">les indicateurs de ressources ont été </w:t>
      </w:r>
      <w:r w:rsidR="008C754C" w:rsidRPr="005D4117">
        <w:rPr>
          <w:lang w:val="fr-BE" w:eastAsia="en-US" w:bidi="ar-SA"/>
        </w:rPr>
        <w:t xml:space="preserve">légèrement </w:t>
      </w:r>
      <w:r w:rsidRPr="005D4117">
        <w:rPr>
          <w:lang w:val="fr-BE" w:eastAsia="en-US" w:bidi="ar-SA"/>
        </w:rPr>
        <w:t>adapté</w:t>
      </w:r>
      <w:r w:rsidR="008C754C" w:rsidRPr="005D4117">
        <w:rPr>
          <w:lang w:val="fr-BE" w:eastAsia="en-US" w:bidi="ar-SA"/>
        </w:rPr>
        <w:t>s</w:t>
      </w:r>
      <w:r w:rsidRPr="005D4117">
        <w:rPr>
          <w:lang w:val="fr-BE" w:eastAsia="en-US" w:bidi="ar-SA"/>
        </w:rPr>
        <w:t xml:space="preserve"> pour l’année 2014. Les différences par rapport à ce qui avait été introduit en 2014 sont liées à ces frais. Il s’agit d’un montant de 111.997,36€.</w:t>
      </w:r>
    </w:p>
    <w:p w14:paraId="7BDAB0D9" w14:textId="11B25D3D" w:rsidR="00A779F6" w:rsidRPr="005D4117" w:rsidRDefault="00A779F6" w:rsidP="00A3247B">
      <w:r w:rsidRPr="005D4117">
        <w:t>Durant l’année 2015 l’assistance technique a été utilisé</w:t>
      </w:r>
      <w:r w:rsidR="008C754C" w:rsidRPr="005D4117">
        <w:t>e</w:t>
      </w:r>
      <w:r w:rsidRPr="005D4117">
        <w:t xml:space="preserve"> pour couvrir les coûts suivants:</w:t>
      </w:r>
    </w:p>
    <w:p w14:paraId="0FBF750A" w14:textId="77777777" w:rsidR="00A779F6" w:rsidRPr="005D4117" w:rsidRDefault="00A779F6" w:rsidP="00A3247B">
      <w:pPr>
        <w:pStyle w:val="Lijstalinea"/>
        <w:numPr>
          <w:ilvl w:val="0"/>
          <w:numId w:val="11"/>
        </w:numPr>
      </w:pPr>
      <w:r w:rsidRPr="005D4117">
        <w:t>Les frais d’agents publics statutaires et contractuels en charge du FEAD,</w:t>
      </w:r>
    </w:p>
    <w:p w14:paraId="3EF9AC04" w14:textId="2927E291" w:rsidR="00A779F6" w:rsidRPr="005D4117" w:rsidRDefault="00A779F6" w:rsidP="00A3247B">
      <w:pPr>
        <w:pStyle w:val="Lijstalinea"/>
        <w:numPr>
          <w:ilvl w:val="0"/>
          <w:numId w:val="11"/>
        </w:numPr>
      </w:pPr>
      <w:r w:rsidRPr="005D4117">
        <w:t xml:space="preserve">Les coûts liés au différents contrôles, notamment les contrôles de production (= les analyses </w:t>
      </w:r>
      <w:r w:rsidR="008C754C" w:rsidRPr="005D4117">
        <w:t>du</w:t>
      </w:r>
      <w:r w:rsidRPr="005D4117">
        <w:t xml:space="preserve"> laboratoire),</w:t>
      </w:r>
    </w:p>
    <w:p w14:paraId="0B48F5D0" w14:textId="77777777" w:rsidR="00A779F6" w:rsidRPr="005D4117" w:rsidRDefault="00A779F6" w:rsidP="00A3247B">
      <w:pPr>
        <w:pStyle w:val="Lijstalinea"/>
        <w:numPr>
          <w:ilvl w:val="0"/>
          <w:numId w:val="11"/>
        </w:numPr>
      </w:pPr>
      <w:r w:rsidRPr="005D4117">
        <w:t xml:space="preserve">Les coûts des traductions nécessaires dans le cadre du fonctionnement du FEAD, </w:t>
      </w:r>
    </w:p>
    <w:p w14:paraId="090AF6AC" w14:textId="77777777" w:rsidR="00A779F6" w:rsidRPr="005D4117" w:rsidRDefault="00A779F6" w:rsidP="00A3247B">
      <w:pPr>
        <w:pStyle w:val="Lijstalinea"/>
        <w:numPr>
          <w:ilvl w:val="0"/>
          <w:numId w:val="11"/>
        </w:numPr>
      </w:pPr>
      <w:r w:rsidRPr="005D4117">
        <w:t>Les coûts liés à l’organisation du colloque organisé le 28/04/</w:t>
      </w:r>
      <w:r w:rsidRPr="005B1999">
        <w:t>2015 (voir point 2.1.7.1.),</w:t>
      </w:r>
    </w:p>
    <w:p w14:paraId="04A5CA41" w14:textId="77777777" w:rsidR="00A779F6" w:rsidRPr="005D4117" w:rsidRDefault="00A779F6" w:rsidP="00A3247B">
      <w:pPr>
        <w:pStyle w:val="Lijstalinea"/>
        <w:numPr>
          <w:ilvl w:val="0"/>
          <w:numId w:val="11"/>
        </w:numPr>
      </w:pPr>
      <w:r w:rsidRPr="005D4117">
        <w:t>Les coûts liés à l’entretien et le développement des systèmes informatiques utilisés dans le cadre du FEAD.</w:t>
      </w:r>
    </w:p>
    <w:p w14:paraId="3827BDB1" w14:textId="39597B24" w:rsidR="00EC6EBD" w:rsidRDefault="00A779F6" w:rsidP="00A3247B">
      <w:r w:rsidRPr="005D4117">
        <w:t xml:space="preserve">En total il s’agit d’un montant de 464.832,12€. </w:t>
      </w:r>
    </w:p>
    <w:p w14:paraId="1ED489EC" w14:textId="77777777" w:rsidR="000815C0" w:rsidRPr="005D4117" w:rsidRDefault="000815C0" w:rsidP="00A3247B"/>
    <w:p w14:paraId="06B00909" w14:textId="77777777" w:rsidR="00C75A01" w:rsidRDefault="00C75A01" w:rsidP="00A3247B">
      <w:pPr>
        <w:pStyle w:val="Kop3"/>
        <w:numPr>
          <w:ilvl w:val="2"/>
          <w:numId w:val="2"/>
        </w:numPr>
        <w:spacing w:after="240" w:line="276" w:lineRule="auto"/>
      </w:pPr>
      <w:bookmarkStart w:id="17" w:name="_Toc422390653"/>
      <w:bookmarkStart w:id="18" w:name="_Toc454974431"/>
      <w:r w:rsidRPr="00407488">
        <w:lastRenderedPageBreak/>
        <w:t>Sélection des organisations partenaires</w:t>
      </w:r>
      <w:bookmarkEnd w:id="17"/>
      <w:bookmarkEnd w:id="18"/>
    </w:p>
    <w:p w14:paraId="2A574E4D" w14:textId="0CE2E4AC" w:rsidR="0035716A" w:rsidRPr="005D4117" w:rsidRDefault="00A14886" w:rsidP="00A3247B">
      <w:pPr>
        <w:spacing w:after="240"/>
      </w:pPr>
      <w:r w:rsidRPr="005D4117">
        <w:t xml:space="preserve">Conformément aux dispositions figurant dans le PO, la sélection des partenaires chargés de la distribution de l'aide alimentaire gratuite se fait sur la base d'un agrément. </w:t>
      </w:r>
      <w:r w:rsidR="0035716A" w:rsidRPr="005D4117">
        <w:t>(Procédure décrite dans le rapport annuel de l’AG de 2014 ainsi que dans l</w:t>
      </w:r>
      <w:r w:rsidR="00320F94" w:rsidRPr="005D4117">
        <w:t>e</w:t>
      </w:r>
      <w:r w:rsidR="0035716A" w:rsidRPr="005D4117">
        <w:t xml:space="preserve"> PO)</w:t>
      </w:r>
      <w:r w:rsidR="00661AFE" w:rsidRPr="005D4117">
        <w:t>.</w:t>
      </w:r>
    </w:p>
    <w:p w14:paraId="7263A401" w14:textId="47AEC1E8" w:rsidR="00661AFE" w:rsidRPr="005D4117" w:rsidRDefault="00A14886" w:rsidP="00A3247B">
      <w:pPr>
        <w:spacing w:after="240"/>
      </w:pPr>
      <w:r w:rsidRPr="005D4117">
        <w:t xml:space="preserve">Chaque </w:t>
      </w:r>
      <w:r w:rsidR="006B682B" w:rsidRPr="005D4117">
        <w:t xml:space="preserve">CPAS et </w:t>
      </w:r>
      <w:r w:rsidRPr="005D4117">
        <w:t>organisation partenaire est agréée pour un certain nombre de bénéficiaires finaux.</w:t>
      </w:r>
      <w:r w:rsidR="0035716A" w:rsidRPr="005D4117">
        <w:t xml:space="preserve"> </w:t>
      </w:r>
      <w:r w:rsidR="006B682B" w:rsidRPr="005D4117">
        <w:t>Les agréments sont limités par commune et dépendent du plafond communal d’une part et du nombre d’organisations partenaires agréées actives sur la commune d’autre part</w:t>
      </w:r>
      <w:r w:rsidR="005D4117">
        <w:t>.</w:t>
      </w:r>
    </w:p>
    <w:p w14:paraId="7397B7DE" w14:textId="75E0231F" w:rsidR="006B682B" w:rsidRPr="00224623" w:rsidRDefault="006B682B" w:rsidP="00A3247B">
      <w:pPr>
        <w:spacing w:after="240"/>
      </w:pPr>
      <w:r w:rsidRPr="00224623">
        <w:t>P</w:t>
      </w:r>
      <w:r w:rsidR="004624B4" w:rsidRPr="00224623">
        <w:t>our les CPAS le nombre de bénéficiaires correspond automatiquement au plafond communal (</w:t>
      </w:r>
      <w:r w:rsidR="00224623" w:rsidRPr="00224623">
        <w:t>basé sur le</w:t>
      </w:r>
      <w:r w:rsidR="004624B4" w:rsidRPr="00224623">
        <w:t xml:space="preserve"> nombre moyen de personnes ayant, sur la commune, bénéficié d’un revenu d’intégration sociale (RIS) au cours de l’année précédant la commande</w:t>
      </w:r>
      <w:r w:rsidR="00224623" w:rsidRPr="00224623">
        <w:t>).</w:t>
      </w:r>
      <w:r w:rsidR="004624B4" w:rsidRPr="00224623">
        <w:t xml:space="preserve"> </w:t>
      </w:r>
    </w:p>
    <w:p w14:paraId="1E75A315" w14:textId="32B04D8E" w:rsidR="00661AFE" w:rsidRPr="005D4117" w:rsidRDefault="004624B4" w:rsidP="00A3247B">
      <w:pPr>
        <w:spacing w:after="240"/>
      </w:pPr>
      <w:r w:rsidRPr="00224623">
        <w:t xml:space="preserve">Pour les organisations partenaires agréées le nombre de bénéficiaires est déterminé par </w:t>
      </w:r>
      <w:r w:rsidR="006B682B" w:rsidRPr="00224623">
        <w:t>l’AG</w:t>
      </w:r>
      <w:r w:rsidRPr="00224623">
        <w:t xml:space="preserve"> (précédemment approuvé par la Banque Alimentaire)</w:t>
      </w:r>
      <w:r w:rsidR="00CD35BE" w:rsidRPr="00224623">
        <w:t>, et repris dans l’agrément.</w:t>
      </w:r>
    </w:p>
    <w:p w14:paraId="21FE119B" w14:textId="77777777" w:rsidR="0035716A" w:rsidRPr="005D4117" w:rsidRDefault="00661AFE" w:rsidP="00A3247B">
      <w:pPr>
        <w:spacing w:after="240"/>
      </w:pPr>
      <w:r w:rsidRPr="005D4117">
        <w:t xml:space="preserve">C’est ce plafond qui détermine </w:t>
      </w:r>
      <w:r w:rsidRPr="005D4117">
        <w:rPr>
          <w:i/>
        </w:rPr>
        <w:t>in fine</w:t>
      </w:r>
      <w:r w:rsidRPr="005D4117">
        <w:t xml:space="preserve"> la quantité de denrées alimentaires disponibles pour les différentes organisations.</w:t>
      </w:r>
    </w:p>
    <w:p w14:paraId="2AF62AE5" w14:textId="77777777" w:rsidR="00661AFE" w:rsidRPr="005D4117" w:rsidRDefault="00661AFE" w:rsidP="00A3247B">
      <w:pPr>
        <w:spacing w:after="240"/>
      </w:pPr>
      <w:r w:rsidRPr="005D4117">
        <w:t xml:space="preserve">Chaque année, le plafond communal de chaque commune est </w:t>
      </w:r>
      <w:r w:rsidR="006B682B" w:rsidRPr="005D4117">
        <w:t>actualisé</w:t>
      </w:r>
      <w:r w:rsidRPr="005D4117">
        <w:t>. Ces données sont mises à la disposition des CPAS.</w:t>
      </w:r>
    </w:p>
    <w:p w14:paraId="40D866E3" w14:textId="64B6D6EA" w:rsidR="0062793F" w:rsidRPr="005D4117" w:rsidRDefault="0062793F" w:rsidP="00A3247B">
      <w:pPr>
        <w:spacing w:after="240"/>
      </w:pPr>
      <w:r w:rsidRPr="005D4117">
        <w:t xml:space="preserve">L’organisation partenaire </w:t>
      </w:r>
      <w:r w:rsidR="000C1ABB" w:rsidRPr="005D4117">
        <w:t>agréée</w:t>
      </w:r>
      <w:r w:rsidRPr="005D4117">
        <w:t xml:space="preserve"> peut toujours introduire une demande d’augmentation (ou de diminution) de bénéficiaires via son organisation coordinatrice si elle estime que le nombre de bénéficiaires mentionné dans l’agrément ne correspond plus à la réalité.</w:t>
      </w:r>
    </w:p>
    <w:p w14:paraId="48EFE82F" w14:textId="77777777" w:rsidR="006B682B" w:rsidRPr="005D4117" w:rsidRDefault="006B682B" w:rsidP="00A3247B">
      <w:pPr>
        <w:spacing w:after="240"/>
      </w:pPr>
      <w:r w:rsidRPr="005D4117">
        <w:t>En 2015, 12 nouvelles associations ont introduit une demande d’</w:t>
      </w:r>
      <w:r w:rsidR="002A3D1E" w:rsidRPr="005D4117">
        <w:t>agrément</w:t>
      </w:r>
      <w:r w:rsidR="0062793F" w:rsidRPr="005D4117">
        <w:t>: 2 organisations reliées à la Banque alimentaire de Bru</w:t>
      </w:r>
      <w:r w:rsidR="002A3D1E" w:rsidRPr="005D4117">
        <w:t>xelles brabant, 3 à celle de West-</w:t>
      </w:r>
      <w:proofErr w:type="spellStart"/>
      <w:r w:rsidR="002A3D1E" w:rsidRPr="005D4117">
        <w:t>Vlaanderen</w:t>
      </w:r>
      <w:proofErr w:type="spellEnd"/>
      <w:r w:rsidR="002A3D1E" w:rsidRPr="005D4117">
        <w:t xml:space="preserve">, 2 </w:t>
      </w:r>
      <w:proofErr w:type="spellStart"/>
      <w:r w:rsidR="002A3D1E" w:rsidRPr="005D4117">
        <w:t>Oost-V</w:t>
      </w:r>
      <w:r w:rsidR="0062793F" w:rsidRPr="005D4117">
        <w:t>laanderen</w:t>
      </w:r>
      <w:proofErr w:type="spellEnd"/>
      <w:r w:rsidR="0062793F" w:rsidRPr="005D4117">
        <w:t>, 1 BA du Limbourg, 1 BA d’Anvers, 1 BA de Charleroi et du Centre, 1 Namur Luxembourg et enfin une nouvelle maison croix rouge (reliée à la croix rouge).</w:t>
      </w:r>
    </w:p>
    <w:p w14:paraId="36AB251F" w14:textId="77777777" w:rsidR="0062793F" w:rsidRPr="005D4117" w:rsidRDefault="0062793F" w:rsidP="00A3247B">
      <w:pPr>
        <w:spacing w:after="240"/>
      </w:pPr>
      <w:r w:rsidRPr="005D4117">
        <w:t>Selon la procédure, ces associations ont été approuvée</w:t>
      </w:r>
      <w:r w:rsidR="000A07C5" w:rsidRPr="005D4117">
        <w:t>s «sous réserve</w:t>
      </w:r>
      <w:r w:rsidRPr="005D4117">
        <w:t>» en attendant la validation de la part des régions.</w:t>
      </w:r>
    </w:p>
    <w:p w14:paraId="5EBBEC21" w14:textId="77777777" w:rsidR="0062793F" w:rsidRPr="005D4117" w:rsidRDefault="0062793F" w:rsidP="00A3247B">
      <w:pPr>
        <w:spacing w:after="240"/>
      </w:pPr>
      <w:r w:rsidRPr="005D4117">
        <w:t>21 associations ont introduit une demande d’augmentation du nombre de leurs bénéficiaires.</w:t>
      </w:r>
    </w:p>
    <w:p w14:paraId="0555EF56" w14:textId="774BD2A8" w:rsidR="00EC6EBD" w:rsidRPr="005D4117" w:rsidRDefault="0062793F" w:rsidP="00A3247B">
      <w:pPr>
        <w:spacing w:after="240"/>
      </w:pPr>
      <w:r w:rsidRPr="005D4117">
        <w:t>En raison de contraintes de temps, l’AG a</w:t>
      </w:r>
      <w:r w:rsidR="00320F94" w:rsidRPr="005D4117">
        <w:t>vait automatiquement</w:t>
      </w:r>
      <w:r w:rsidRPr="005D4117">
        <w:t xml:space="preserve"> adopté les agréments du BIRB. Le renouvellement de ce</w:t>
      </w:r>
      <w:r w:rsidR="000A07C5" w:rsidRPr="005D4117">
        <w:t>s agréments a été fait en 2016.</w:t>
      </w:r>
      <w:r w:rsidR="00CD35BE" w:rsidRPr="005D4117">
        <w:t xml:space="preserve"> Pour cela, l’AG a envoyé </w:t>
      </w:r>
      <w:r w:rsidR="003E3335" w:rsidRPr="005D4117">
        <w:t>à toutes les organisations partenaires agréées un nouveau document à signer (les CPAS étant agréés d’office selon le système mis en place).</w:t>
      </w:r>
    </w:p>
    <w:p w14:paraId="48795715" w14:textId="77777777" w:rsidR="00011F50" w:rsidRPr="009F4F6F" w:rsidRDefault="00A779F6" w:rsidP="00A3247B">
      <w:pPr>
        <w:pStyle w:val="Kop3"/>
        <w:numPr>
          <w:ilvl w:val="2"/>
          <w:numId w:val="2"/>
        </w:numPr>
        <w:spacing w:after="240" w:line="276" w:lineRule="auto"/>
      </w:pPr>
      <w:bookmarkStart w:id="19" w:name="_Toc454974432"/>
      <w:r w:rsidRPr="009F4F6F">
        <w:t>Le système de gestion et contrôle – l’audit de désignation</w:t>
      </w:r>
      <w:bookmarkEnd w:id="19"/>
    </w:p>
    <w:p w14:paraId="720EA15C" w14:textId="3FB354E6" w:rsidR="00A779F6" w:rsidRPr="005D4117" w:rsidRDefault="00A779F6" w:rsidP="00A3247B">
      <w:r w:rsidRPr="005D4117">
        <w:t>Pour rappel, en 2014 une première version du système de gestion et de contrôle a</w:t>
      </w:r>
      <w:r w:rsidR="008C754C" w:rsidRPr="005D4117">
        <w:t>vait</w:t>
      </w:r>
      <w:r w:rsidRPr="005D4117">
        <w:t xml:space="preserve"> été préparée afin de garantir </w:t>
      </w:r>
      <w:r w:rsidR="008B4171" w:rsidRPr="005D4117">
        <w:t xml:space="preserve">la conformité de </w:t>
      </w:r>
      <w:r w:rsidRPr="005D4117">
        <w:t xml:space="preserve">l’appel d’offres 2014 avec le cahier de charges. </w:t>
      </w:r>
    </w:p>
    <w:p w14:paraId="3651335E" w14:textId="4B4DC65A" w:rsidR="00A779F6" w:rsidRPr="005D4117" w:rsidRDefault="008C754C" w:rsidP="00A3247B">
      <w:r w:rsidRPr="005D4117">
        <w:lastRenderedPageBreak/>
        <w:t>L</w:t>
      </w:r>
      <w:r w:rsidR="00A779F6" w:rsidRPr="005D4117">
        <w:t xml:space="preserve">e système de gestion et contrôle a été développé et finalisé dans la première moitié de 2015 afin de </w:t>
      </w:r>
      <w:r w:rsidR="008B4171" w:rsidRPr="005D4117">
        <w:t xml:space="preserve">pouvoir </w:t>
      </w:r>
      <w:r w:rsidR="00A779F6" w:rsidRPr="005D4117">
        <w:t xml:space="preserve">se préparer </w:t>
      </w:r>
      <w:r w:rsidR="008B4171" w:rsidRPr="005D4117">
        <w:t>à l’audit de désignation qui devait être</w:t>
      </w:r>
      <w:r w:rsidR="00A779F6" w:rsidRPr="005D4117">
        <w:t xml:space="preserve"> réalis</w:t>
      </w:r>
      <w:r w:rsidR="008B4171" w:rsidRPr="005D4117">
        <w:t>é</w:t>
      </w:r>
      <w:r w:rsidR="00A779F6" w:rsidRPr="005D4117">
        <w:t xml:space="preserve"> tel que</w:t>
      </w:r>
      <w:r w:rsidR="004627C7" w:rsidRPr="005D4117">
        <w:t xml:space="preserve"> spécifié dans l’article 35 du r</w:t>
      </w:r>
      <w:r w:rsidR="00A779F6" w:rsidRPr="005D4117">
        <w:t>èglement (UE) n°223/2014.</w:t>
      </w:r>
    </w:p>
    <w:p w14:paraId="49CC3CC2" w14:textId="77434159" w:rsidR="008C754C" w:rsidRPr="005D4117" w:rsidRDefault="00A779F6" w:rsidP="00A3247B">
      <w:r w:rsidRPr="005D4117">
        <w:t xml:space="preserve">L’audit </w:t>
      </w:r>
      <w:r w:rsidR="008C754C" w:rsidRPr="005D4117">
        <w:t>de désignation a eu lieu dans la</w:t>
      </w:r>
      <w:r w:rsidRPr="005D4117">
        <w:t xml:space="preserve"> deuxième moitié de 2015. Cet audit a été effectué par l’autori</w:t>
      </w:r>
      <w:r w:rsidR="0000230F">
        <w:t>té d’audit (AA), c’est-à-dire le Corps Interfédéral de l’</w:t>
      </w:r>
      <w:r w:rsidRPr="005D4117">
        <w:t>Inspection des Finances. L’AA a soumis son rapport final en décembre 2015.</w:t>
      </w:r>
      <w:r w:rsidRPr="005D4117">
        <w:tab/>
        <w:t xml:space="preserve"> </w:t>
      </w:r>
    </w:p>
    <w:p w14:paraId="2F39C1E6" w14:textId="092FA946" w:rsidR="00A779F6" w:rsidRPr="005D4117" w:rsidRDefault="00A779F6" w:rsidP="00842479">
      <w:r w:rsidRPr="005D4117">
        <w:t>L’auditeur a formulé une opinion sans réserve en ce qui conc</w:t>
      </w:r>
      <w:r w:rsidR="00842479">
        <w:t>erne le fonctionnement de l’AG.</w:t>
      </w:r>
    </w:p>
    <w:p w14:paraId="55D05AE9" w14:textId="77777777" w:rsidR="00A779F6" w:rsidRPr="005D4117" w:rsidRDefault="00A779F6" w:rsidP="00A3247B">
      <w:r w:rsidRPr="005D4117">
        <w:t xml:space="preserve">L’audit de désignation pour l’autorité de certification était encore en cours fin 2015. </w:t>
      </w:r>
    </w:p>
    <w:p w14:paraId="1403574A" w14:textId="4E6E7A00" w:rsidR="008C754C" w:rsidRPr="005D4117" w:rsidRDefault="00A779F6" w:rsidP="00A3247B">
      <w:r w:rsidRPr="005D4117">
        <w:t xml:space="preserve">Les </w:t>
      </w:r>
      <w:r w:rsidR="008C754C" w:rsidRPr="005D4117">
        <w:t xml:space="preserve">principaux </w:t>
      </w:r>
      <w:r w:rsidRPr="005D4117">
        <w:t xml:space="preserve">contrôles exécutés en 2015 restent les mêmes </w:t>
      </w:r>
      <w:r w:rsidR="008C754C" w:rsidRPr="005D4117">
        <w:t>que ceux qui avaient été réalisés en</w:t>
      </w:r>
      <w:r w:rsidRPr="005D4117">
        <w:t xml:space="preserve"> 2014</w:t>
      </w:r>
      <w:r w:rsidR="008C754C" w:rsidRPr="005D4117">
        <w:t xml:space="preserve">. Mais les </w:t>
      </w:r>
      <w:r w:rsidRPr="005D4117">
        <w:t xml:space="preserve">procédures, instructions, </w:t>
      </w:r>
      <w:proofErr w:type="spellStart"/>
      <w:r w:rsidRPr="005D4117">
        <w:t>templates</w:t>
      </w:r>
      <w:proofErr w:type="spellEnd"/>
      <w:r w:rsidRPr="005D4117">
        <w:t xml:space="preserve">, </w:t>
      </w:r>
      <w:r w:rsidR="008C754C" w:rsidRPr="005D4117">
        <w:t xml:space="preserve">pour les différentes procédures </w:t>
      </w:r>
      <w:r w:rsidRPr="005D4117">
        <w:t>ont été élaborés</w:t>
      </w:r>
      <w:r w:rsidR="000B6AD3" w:rsidRPr="005D4117">
        <w:t xml:space="preserve"> de manière systématique</w:t>
      </w:r>
      <w:r w:rsidRPr="005D4117">
        <w:t xml:space="preserve">. </w:t>
      </w:r>
      <w:r w:rsidR="00AA3ACE" w:rsidRPr="005D4117">
        <w:tab/>
      </w:r>
    </w:p>
    <w:p w14:paraId="348D05E8" w14:textId="02BE3F92" w:rsidR="008C754C" w:rsidRPr="005D4117" w:rsidRDefault="00F737E8" w:rsidP="00A3247B">
      <w:r w:rsidRPr="005D4117">
        <w:t>L’AG a par exemple développé des procédures pour suivre les destructions</w:t>
      </w:r>
      <w:r w:rsidR="00AA3ACE" w:rsidRPr="005D4117">
        <w:t xml:space="preserve"> (accidents, produits </w:t>
      </w:r>
      <w:r w:rsidR="008C754C" w:rsidRPr="005D4117">
        <w:t>périmés</w:t>
      </w:r>
      <w:r w:rsidR="00AA3ACE" w:rsidRPr="005D4117">
        <w:t xml:space="preserve">, </w:t>
      </w:r>
      <w:r w:rsidR="008C754C" w:rsidRPr="005D4117">
        <w:t>etc.)</w:t>
      </w:r>
      <w:r w:rsidRPr="005D4117">
        <w:t xml:space="preserve"> et les cessions</w:t>
      </w:r>
      <w:r w:rsidR="00AA3ACE" w:rsidRPr="005D4117">
        <w:t xml:space="preserve"> entre organisations</w:t>
      </w:r>
      <w:r w:rsidRPr="005D4117">
        <w:t xml:space="preserve"> de denrées alimentaires </w:t>
      </w:r>
      <w:r w:rsidR="00AA3ACE" w:rsidRPr="005D4117">
        <w:t>reçu</w:t>
      </w:r>
      <w:r w:rsidR="008C754C" w:rsidRPr="005D4117">
        <w:t>e</w:t>
      </w:r>
      <w:r w:rsidR="00AA3ACE" w:rsidRPr="005D4117">
        <w:t>s dans le cadre du FEAD</w:t>
      </w:r>
      <w:r w:rsidR="0089569D">
        <w:t>.</w:t>
      </w:r>
    </w:p>
    <w:p w14:paraId="1B8D30D2" w14:textId="30F356F9" w:rsidR="008C754C" w:rsidRPr="005D4117" w:rsidRDefault="00A779F6" w:rsidP="00A3247B">
      <w:r w:rsidRPr="005D4117">
        <w:t>En outre</w:t>
      </w:r>
      <w:r w:rsidR="008C754C" w:rsidRPr="005D4117">
        <w:t>,</w:t>
      </w:r>
      <w:r w:rsidRPr="005D4117">
        <w:t xml:space="preserve"> en 2015 l’AG a commencé </w:t>
      </w:r>
      <w:r w:rsidR="000B6AD3" w:rsidRPr="005D4117">
        <w:t>à</w:t>
      </w:r>
      <w:r w:rsidR="008C754C" w:rsidRPr="005D4117">
        <w:t xml:space="preserve"> effectuer l</w:t>
      </w:r>
      <w:r w:rsidRPr="005D4117">
        <w:t>es contrôles sur place des organisations partenaires</w:t>
      </w:r>
      <w:r w:rsidR="008C754C" w:rsidRPr="005D4117">
        <w:t xml:space="preserve"> (contrôles relatifs à la campagne 2014)</w:t>
      </w:r>
      <w:r w:rsidR="000B6AD3" w:rsidRPr="005D4117">
        <w:t xml:space="preserve"> – voir à ce sujet le point 2.1.6.4 ci</w:t>
      </w:r>
      <w:r w:rsidR="00320F94" w:rsidRPr="005D4117">
        <w:t>-</w:t>
      </w:r>
      <w:r w:rsidR="000B6AD3" w:rsidRPr="005D4117">
        <w:t>dessous</w:t>
      </w:r>
      <w:r w:rsidRPr="005D4117">
        <w:t xml:space="preserve">. </w:t>
      </w:r>
    </w:p>
    <w:p w14:paraId="6ED33F9A" w14:textId="77777777" w:rsidR="00A779F6" w:rsidRDefault="00A408F5" w:rsidP="00A3247B">
      <w:pPr>
        <w:pStyle w:val="Kop4"/>
        <w:numPr>
          <w:ilvl w:val="3"/>
          <w:numId w:val="2"/>
        </w:numPr>
        <w:spacing w:after="240" w:line="276" w:lineRule="auto"/>
      </w:pPr>
      <w:r w:rsidRPr="00407488">
        <w:t>Contrôles de production</w:t>
      </w:r>
    </w:p>
    <w:p w14:paraId="5A54759F" w14:textId="537655F9" w:rsidR="00E95767" w:rsidRPr="005D4117" w:rsidRDefault="00A779F6" w:rsidP="00A3247B">
      <w:r w:rsidRPr="005D4117">
        <w:t xml:space="preserve">En septembre 2015, </w:t>
      </w:r>
      <w:r w:rsidR="008C754C" w:rsidRPr="005D4117">
        <w:t xml:space="preserve">au moment où les produits ont été disponibles, </w:t>
      </w:r>
      <w:r w:rsidRPr="005D4117">
        <w:t xml:space="preserve">l'AG a </w:t>
      </w:r>
      <w:r w:rsidR="00E95767" w:rsidRPr="005D4117">
        <w:t xml:space="preserve">pu </w:t>
      </w:r>
      <w:r w:rsidRPr="005D4117">
        <w:t>commenc</w:t>
      </w:r>
      <w:r w:rsidR="00E95767" w:rsidRPr="005D4117">
        <w:t>er</w:t>
      </w:r>
      <w:r w:rsidRPr="005D4117">
        <w:t xml:space="preserve"> à effectuer les contrôles de production.</w:t>
      </w:r>
    </w:p>
    <w:p w14:paraId="7548E588" w14:textId="1A7D2ACD" w:rsidR="000C1ABB" w:rsidRPr="005D4117" w:rsidRDefault="00E95767" w:rsidP="00A3247B">
      <w:r w:rsidRPr="005D4117">
        <w:t>Ces contrôles ont pour but de vérifier les emballage</w:t>
      </w:r>
      <w:r w:rsidR="00EC2C2F" w:rsidRPr="005D4117">
        <w:t>s</w:t>
      </w:r>
      <w:r w:rsidRPr="005D4117">
        <w:t xml:space="preserve">, de </w:t>
      </w:r>
      <w:r w:rsidR="00EC2C2F" w:rsidRPr="005D4117">
        <w:t>calculer</w:t>
      </w:r>
      <w:r w:rsidRPr="005D4117">
        <w:t xml:space="preserve"> les quantités </w:t>
      </w:r>
      <w:r w:rsidR="00EC2C2F" w:rsidRPr="005D4117">
        <w:t xml:space="preserve">produites </w:t>
      </w:r>
      <w:r w:rsidRPr="005D4117">
        <w:t>et de prélever les échantillons par lot de production.</w:t>
      </w:r>
      <w:r w:rsidR="00A779F6" w:rsidRPr="005D4117">
        <w:t xml:space="preserve"> Ces échantillons sont ensuite analysés dans un laboratoire où l'on vérifie que le produit a bien été élaboré en conformité avec les spécifications du cahier des charges. Comme en 2014, l’AG a pu compter </w:t>
      </w:r>
      <w:r w:rsidR="000C1ABB" w:rsidRPr="005D4117">
        <w:t xml:space="preserve">pour les analyses </w:t>
      </w:r>
      <w:r w:rsidR="00A779F6" w:rsidRPr="005D4117">
        <w:t xml:space="preserve">sur la collaboration du Laboratoire des Douanes et Accises. L’AG </w:t>
      </w:r>
      <w:r w:rsidR="00EC2C2F" w:rsidRPr="005D4117">
        <w:t>a</w:t>
      </w:r>
      <w:r w:rsidR="00A779F6" w:rsidRPr="005D4117">
        <w:t xml:space="preserve"> seulement </w:t>
      </w:r>
      <w:r w:rsidR="00EC2C2F" w:rsidRPr="005D4117">
        <w:t xml:space="preserve">du </w:t>
      </w:r>
      <w:r w:rsidR="00A779F6" w:rsidRPr="005D4117">
        <w:t xml:space="preserve">intervenir </w:t>
      </w:r>
      <w:r w:rsidR="00EC2C2F" w:rsidRPr="005D4117">
        <w:t xml:space="preserve">financièrement pour ce qui </w:t>
      </w:r>
      <w:r w:rsidR="00A779F6" w:rsidRPr="005D4117">
        <w:t xml:space="preserve">concerne </w:t>
      </w:r>
      <w:r w:rsidR="00EC2C2F" w:rsidRPr="005D4117">
        <w:t>le matériel</w:t>
      </w:r>
      <w:r w:rsidR="00A779F6" w:rsidRPr="005D4117">
        <w:t xml:space="preserve"> utilisé lors des analyses. </w:t>
      </w:r>
      <w:r w:rsidR="00EC2C2F" w:rsidRPr="005D4117">
        <w:t>U</w:t>
      </w:r>
      <w:r w:rsidR="00A779F6" w:rsidRPr="005D4117">
        <w:t xml:space="preserve">n accord de collaboration a été </w:t>
      </w:r>
      <w:r w:rsidR="00D840D8" w:rsidRPr="005D4117">
        <w:t>signé</w:t>
      </w:r>
      <w:r w:rsidR="00A779F6" w:rsidRPr="005D4117">
        <w:t xml:space="preserve"> entre le SPP IS et le Laboratoire des Douanes et Accises</w:t>
      </w:r>
      <w:r w:rsidR="00EC2C2F" w:rsidRPr="005D4117">
        <w:t xml:space="preserve"> dans ce sens</w:t>
      </w:r>
      <w:r w:rsidR="005D4117" w:rsidRPr="005D4117">
        <w:t>.</w:t>
      </w:r>
    </w:p>
    <w:p w14:paraId="393BD6DB" w14:textId="089A84C0" w:rsidR="00A779F6" w:rsidRPr="005D4117" w:rsidRDefault="00A779F6" w:rsidP="00A3247B">
      <w:r w:rsidRPr="005D4117">
        <w:t xml:space="preserve">Ce type de contrôle </w:t>
      </w:r>
      <w:r w:rsidR="00EC2C2F" w:rsidRPr="005D4117">
        <w:t xml:space="preserve">est effectué à 100% sur </w:t>
      </w:r>
      <w:r w:rsidR="000B6AD3" w:rsidRPr="005D4117">
        <w:t>tous les produits</w:t>
      </w:r>
      <w:r w:rsidRPr="005D4117">
        <w:t xml:space="preserve"> et des échantillons ont été prélevés sur tous les lots de production. Au total, 259 échantillons </w:t>
      </w:r>
      <w:r w:rsidR="00EC2C2F" w:rsidRPr="005D4117">
        <w:t xml:space="preserve">de produits </w:t>
      </w:r>
      <w:r w:rsidRPr="005D4117">
        <w:t xml:space="preserve">ont été analysés par le laboratoire en 2015. </w:t>
      </w:r>
    </w:p>
    <w:p w14:paraId="7596C32E" w14:textId="149B9192" w:rsidR="000B6AD3" w:rsidRPr="005D4117" w:rsidRDefault="000B6AD3" w:rsidP="00A3247B">
      <w:r w:rsidRPr="005D4117">
        <w:t xml:space="preserve">Nous n’avons connu aucun problème </w:t>
      </w:r>
      <w:r w:rsidR="00320F94" w:rsidRPr="005D4117">
        <w:t xml:space="preserve">majeur </w:t>
      </w:r>
      <w:r w:rsidRPr="005D4117">
        <w:t>de non-conformité sur la production 2015.</w:t>
      </w:r>
    </w:p>
    <w:p w14:paraId="47AE5637" w14:textId="70311C00" w:rsidR="00A779F6" w:rsidRPr="005D4117" w:rsidRDefault="00A779F6" w:rsidP="00A3247B">
      <w:r w:rsidRPr="005D4117">
        <w:t xml:space="preserve">Lorsque le laboratoire détecte une non-conformité de l'un des échantillons, l'adjudicataire du marché a la possibilité de </w:t>
      </w:r>
      <w:r w:rsidR="000B6AD3" w:rsidRPr="005D4117">
        <w:t>fournir des explications et de demander une contre analyse – si nécessaire.</w:t>
      </w:r>
    </w:p>
    <w:p w14:paraId="062E60D6" w14:textId="77777777" w:rsidR="00A779F6" w:rsidRPr="005D4117" w:rsidRDefault="00A779F6" w:rsidP="00A3247B">
      <w:r w:rsidRPr="005D4117">
        <w:t>En 2015, des problèmes ont été détectés sur les produits suivants:</w:t>
      </w:r>
    </w:p>
    <w:p w14:paraId="3C45B7F3" w14:textId="46A3BB8B" w:rsidR="00A779F6" w:rsidRPr="005D4117" w:rsidRDefault="00D840D8" w:rsidP="00A3247B">
      <w:pPr>
        <w:pStyle w:val="Lijstalinea"/>
        <w:numPr>
          <w:ilvl w:val="0"/>
          <w:numId w:val="18"/>
        </w:numPr>
      </w:pPr>
      <w:r w:rsidRPr="005D4117">
        <w:rPr>
          <w:b/>
        </w:rPr>
        <w:lastRenderedPageBreak/>
        <w:t>Lait-demi écrémé</w:t>
      </w:r>
      <w:r w:rsidRPr="005D4117">
        <w:t>:</w:t>
      </w:r>
      <w:r w:rsidR="00A779F6" w:rsidRPr="005D4117">
        <w:t xml:space="preserve"> L’AG s’est rendu</w:t>
      </w:r>
      <w:r w:rsidR="00EC2C2F" w:rsidRPr="005D4117">
        <w:t>e</w:t>
      </w:r>
      <w:r w:rsidR="00A779F6" w:rsidRPr="005D4117">
        <w:t xml:space="preserve"> compte </w:t>
      </w:r>
      <w:r w:rsidR="000B6AD3" w:rsidRPr="005D4117">
        <w:t>que certains</w:t>
      </w:r>
      <w:r w:rsidR="00A779F6" w:rsidRPr="005D4117">
        <w:t xml:space="preserve"> lots de production en circulation </w:t>
      </w:r>
      <w:r w:rsidR="000B6AD3" w:rsidRPr="005D4117">
        <w:t>n’avaient pas été contrôlés</w:t>
      </w:r>
      <w:r w:rsidR="00A779F6" w:rsidRPr="005D4117">
        <w:t xml:space="preserve">. Le soumissionnaire avait </w:t>
      </w:r>
      <w:r w:rsidR="000B6AD3" w:rsidRPr="005D4117">
        <w:t>en effet</w:t>
      </w:r>
      <w:r w:rsidR="00A779F6" w:rsidRPr="005D4117">
        <w:t xml:space="preserve"> commencé les livraisons sans autorisation </w:t>
      </w:r>
      <w:r w:rsidR="000B6AD3" w:rsidRPr="005D4117">
        <w:t xml:space="preserve">préalable </w:t>
      </w:r>
      <w:r w:rsidR="00A779F6" w:rsidRPr="005D4117">
        <w:t>de l’AG ce qui n’est pas conforme aux dispositions du cahier de charges. Le soumissionnaire a été mis en demeure et a dû payer une amende de 613,93€.</w:t>
      </w:r>
    </w:p>
    <w:p w14:paraId="59AEC6AF" w14:textId="1C92CBDE" w:rsidR="00A779F6" w:rsidRPr="005D4117" w:rsidRDefault="000B6AD3" w:rsidP="00A3247B">
      <w:pPr>
        <w:pStyle w:val="Lijstalinea"/>
        <w:numPr>
          <w:ilvl w:val="0"/>
          <w:numId w:val="18"/>
        </w:numPr>
      </w:pPr>
      <w:r w:rsidRPr="005D4117">
        <w:rPr>
          <w:b/>
        </w:rPr>
        <w:t>F</w:t>
      </w:r>
      <w:r w:rsidR="00A779F6" w:rsidRPr="005D4117">
        <w:rPr>
          <w:b/>
        </w:rPr>
        <w:t>romage fondu</w:t>
      </w:r>
      <w:r w:rsidR="00D840D8" w:rsidRPr="005D4117">
        <w:t xml:space="preserve">: </w:t>
      </w:r>
      <w:r w:rsidR="00A779F6" w:rsidRPr="005D4117">
        <w:t xml:space="preserve">le laboratoire </w:t>
      </w:r>
      <w:r w:rsidRPr="005D4117">
        <w:t>a</w:t>
      </w:r>
      <w:r w:rsidR="00A779F6" w:rsidRPr="005D4117">
        <w:t xml:space="preserve"> constaté un problème au niveau du poids</w:t>
      </w:r>
      <w:r w:rsidRPr="005D4117">
        <w:t xml:space="preserve"> sur certains échantillons</w:t>
      </w:r>
      <w:r w:rsidR="00A779F6" w:rsidRPr="005D4117">
        <w:t>. Par conséquen</w:t>
      </w:r>
      <w:r w:rsidRPr="005D4117">
        <w:t>t,</w:t>
      </w:r>
      <w:r w:rsidR="00A779F6" w:rsidRPr="005D4117">
        <w:t xml:space="preserve"> une analyse plus approfondie du poids des lots concernés a été effectuée. Ces analyses approfondies se sont avéré</w:t>
      </w:r>
      <w:r w:rsidR="00EC2C2F" w:rsidRPr="005D4117">
        <w:t>e</w:t>
      </w:r>
      <w:r w:rsidR="00A779F6" w:rsidRPr="005D4117">
        <w:t xml:space="preserve">s conformes au cahier de charges et le soumissionnaire n’a pas </w:t>
      </w:r>
      <w:r w:rsidR="00EC2C2F" w:rsidRPr="005D4117">
        <w:t>été pénalisé</w:t>
      </w:r>
      <w:r w:rsidR="00A779F6" w:rsidRPr="005D4117">
        <w:t>.</w:t>
      </w:r>
    </w:p>
    <w:p w14:paraId="21090683" w14:textId="125EB0AB" w:rsidR="00A779F6" w:rsidRPr="005D4117" w:rsidRDefault="000B6AD3" w:rsidP="00A3247B">
      <w:pPr>
        <w:pStyle w:val="Lijstalinea"/>
        <w:numPr>
          <w:ilvl w:val="0"/>
          <w:numId w:val="18"/>
        </w:numPr>
      </w:pPr>
      <w:r w:rsidRPr="005D4117">
        <w:rPr>
          <w:b/>
        </w:rPr>
        <w:t>P</w:t>
      </w:r>
      <w:r w:rsidR="00D840D8" w:rsidRPr="005D4117">
        <w:rPr>
          <w:b/>
        </w:rPr>
        <w:t>âtes</w:t>
      </w:r>
      <w:r w:rsidR="00D840D8" w:rsidRPr="005D4117">
        <w:t xml:space="preserve">: </w:t>
      </w:r>
      <w:r w:rsidR="00A779F6" w:rsidRPr="005D4117">
        <w:t xml:space="preserve">le laboratoire a constaté que </w:t>
      </w:r>
      <w:r w:rsidR="00FD61DF" w:rsidRPr="005D4117">
        <w:t>certains</w:t>
      </w:r>
      <w:r w:rsidR="00A779F6" w:rsidRPr="005D4117">
        <w:t xml:space="preserve"> échantillons </w:t>
      </w:r>
      <w:r w:rsidRPr="005D4117">
        <w:t xml:space="preserve">prélevés </w:t>
      </w:r>
      <w:r w:rsidR="00D840D8" w:rsidRPr="005D4117">
        <w:t>n’</w:t>
      </w:r>
      <w:r w:rsidR="00A779F6" w:rsidRPr="005D4117">
        <w:t>étaient</w:t>
      </w:r>
      <w:r w:rsidR="00D840D8" w:rsidRPr="005D4117">
        <w:t xml:space="preserve"> pas</w:t>
      </w:r>
      <w:r w:rsidR="00A779F6" w:rsidRPr="005D4117">
        <w:t xml:space="preserve"> conforme</w:t>
      </w:r>
      <w:r w:rsidR="00D840D8" w:rsidRPr="005D4117">
        <w:t>s</w:t>
      </w:r>
      <w:r w:rsidR="00A779F6" w:rsidRPr="005D4117">
        <w:t xml:space="preserve"> au cahier de charge </w:t>
      </w:r>
      <w:r w:rsidR="00D840D8" w:rsidRPr="005D4117">
        <w:t>au niveau du</w:t>
      </w:r>
      <w:r w:rsidR="00A779F6" w:rsidRPr="005D4117">
        <w:t xml:space="preserve"> poids exigé (1000g). </w:t>
      </w:r>
      <w:r w:rsidR="00D840D8" w:rsidRPr="005D4117">
        <w:t>P</w:t>
      </w:r>
      <w:r w:rsidR="00A779F6" w:rsidRPr="005D4117">
        <w:t>our d’autres échantillons</w:t>
      </w:r>
      <w:r w:rsidR="00D840D8" w:rsidRPr="005D4117">
        <w:t xml:space="preserve"> par contre</w:t>
      </w:r>
      <w:r w:rsidR="00A779F6" w:rsidRPr="005D4117">
        <w:t xml:space="preserve"> le poids minimum exigé était largement </w:t>
      </w:r>
      <w:r w:rsidR="00FD61DF" w:rsidRPr="005D4117">
        <w:t>dépassé</w:t>
      </w:r>
      <w:r w:rsidR="00A779F6" w:rsidRPr="005D4117">
        <w:t>. L</w:t>
      </w:r>
      <w:r w:rsidR="00D840D8" w:rsidRPr="005D4117">
        <w:t>orsque nous avons fait l</w:t>
      </w:r>
      <w:r w:rsidR="00A779F6" w:rsidRPr="005D4117">
        <w:t>a moyenne de tous les échantillon</w:t>
      </w:r>
      <w:r w:rsidR="00FD61DF" w:rsidRPr="005D4117">
        <w:t xml:space="preserve">s, le poids net était de 1002g – ce qui était conforme au cahier des charges. </w:t>
      </w:r>
      <w:r w:rsidR="00A779F6" w:rsidRPr="005D4117">
        <w:t xml:space="preserve">C’est </w:t>
      </w:r>
      <w:r w:rsidR="00FD61DF" w:rsidRPr="005D4117">
        <w:t>la raison pour laquelle</w:t>
      </w:r>
      <w:r w:rsidR="00A779F6" w:rsidRPr="005D4117">
        <w:t xml:space="preserve"> l’AG a autorisé la livraison de tous les lots de production</w:t>
      </w:r>
      <w:r w:rsidR="00D840D8" w:rsidRPr="005D4117">
        <w:t xml:space="preserve"> sans appliquer de pénalité</w:t>
      </w:r>
      <w:r w:rsidR="00A779F6" w:rsidRPr="005D4117">
        <w:t xml:space="preserve">. </w:t>
      </w:r>
    </w:p>
    <w:p w14:paraId="20E3FA0A" w14:textId="55AC5C8C" w:rsidR="00D840D8" w:rsidRPr="005D4117" w:rsidRDefault="00FD61DF" w:rsidP="005D4117">
      <w:pPr>
        <w:pStyle w:val="Lijstalinea"/>
        <w:numPr>
          <w:ilvl w:val="0"/>
          <w:numId w:val="18"/>
        </w:numPr>
      </w:pPr>
      <w:r w:rsidRPr="005D4117">
        <w:rPr>
          <w:b/>
        </w:rPr>
        <w:t>C</w:t>
      </w:r>
      <w:r w:rsidR="00D840D8" w:rsidRPr="005D4117">
        <w:rPr>
          <w:b/>
        </w:rPr>
        <w:t>ouscous</w:t>
      </w:r>
      <w:r w:rsidR="00D840D8" w:rsidRPr="005D4117">
        <w:t>: le</w:t>
      </w:r>
      <w:r w:rsidR="00A779F6" w:rsidRPr="005D4117">
        <w:t xml:space="preserve"> laboratoire a </w:t>
      </w:r>
      <w:r w:rsidR="00D840D8" w:rsidRPr="005D4117">
        <w:t xml:space="preserve">également </w:t>
      </w:r>
      <w:r w:rsidR="00A779F6" w:rsidRPr="005D4117">
        <w:t>constaté des anomalies au niveau du poids des échantillons. La livraison de ce produit n’éta</w:t>
      </w:r>
      <w:r w:rsidR="00D840D8" w:rsidRPr="005D4117">
        <w:t>nt</w:t>
      </w:r>
      <w:r w:rsidR="00A779F6" w:rsidRPr="005D4117">
        <w:t xml:space="preserve"> pas encore terminée fin 2015 – les conséquences de ces </w:t>
      </w:r>
      <w:r w:rsidR="00D840D8" w:rsidRPr="005D4117">
        <w:t>non conformités</w:t>
      </w:r>
      <w:r w:rsidR="00A779F6" w:rsidRPr="005D4117">
        <w:t xml:space="preserve"> seront traité</w:t>
      </w:r>
      <w:r w:rsidR="00D840D8" w:rsidRPr="005D4117">
        <w:t>e</w:t>
      </w:r>
      <w:r w:rsidR="00A779F6" w:rsidRPr="005D4117">
        <w:t xml:space="preserve">s en 2016. </w:t>
      </w:r>
    </w:p>
    <w:p w14:paraId="56BC0BAA" w14:textId="77777777" w:rsidR="003E78A9" w:rsidRDefault="003E78A9" w:rsidP="00A3247B">
      <w:pPr>
        <w:pStyle w:val="Kop4"/>
        <w:numPr>
          <w:ilvl w:val="3"/>
          <w:numId w:val="2"/>
        </w:numPr>
        <w:spacing w:after="240" w:line="276" w:lineRule="auto"/>
      </w:pPr>
      <w:r w:rsidRPr="00407488">
        <w:t>Contrôles des factures</w:t>
      </w:r>
    </w:p>
    <w:p w14:paraId="48984664" w14:textId="3C226C6E" w:rsidR="007D7185" w:rsidRPr="005D4117" w:rsidRDefault="007D7185" w:rsidP="00A3247B">
      <w:r w:rsidRPr="005D4117">
        <w:t>Le contrôle des factures se fait également sur 100 % des factures reçues.</w:t>
      </w:r>
    </w:p>
    <w:p w14:paraId="4D3C3133" w14:textId="77777777" w:rsidR="00A779F6" w:rsidRPr="005D4117" w:rsidRDefault="00A779F6" w:rsidP="00A3247B">
      <w:r w:rsidRPr="005D4117">
        <w:t>Pour rappel, pour chaque livraison facturée, l'adjudicataire du marché doit pouvoir présenter un document justificatif de la livraison. Ce document doit être signé par la personne qui réceptionne les produits. Les factures et les documents justificatifs correspondants ont également été contrôlés à 100%. Lorsque cela s'est avéré nécessaire, les documents justificatifs imprécis ont été vérifiés et les documents justificatifs manquants ont été réclamés. Si nécessaire, l'adjudicataire du marché a été invité à fournir une note de crédit.</w:t>
      </w:r>
    </w:p>
    <w:p w14:paraId="0B282556" w14:textId="6FDC1A53" w:rsidR="003032C3" w:rsidRPr="005D4117" w:rsidRDefault="00A779F6" w:rsidP="00A3247B">
      <w:r w:rsidRPr="005D4117">
        <w:t xml:space="preserve">Dans le cadre de l’audit de désignation, le tableau pour suivre l’ensemble des factures a été élaboré. </w:t>
      </w:r>
    </w:p>
    <w:p w14:paraId="1FBBA64E" w14:textId="77777777" w:rsidR="00A408F5" w:rsidRDefault="00A408F5" w:rsidP="00A3247B">
      <w:pPr>
        <w:pStyle w:val="Kop4"/>
        <w:numPr>
          <w:ilvl w:val="3"/>
          <w:numId w:val="2"/>
        </w:numPr>
        <w:spacing w:after="240" w:line="276" w:lineRule="auto"/>
      </w:pPr>
      <w:r w:rsidRPr="00407488">
        <w:t>Contrôles des livraisons</w:t>
      </w:r>
    </w:p>
    <w:p w14:paraId="1530F6FE" w14:textId="5332D016" w:rsidR="004E20B0" w:rsidRPr="005D4117" w:rsidRDefault="007D7185" w:rsidP="00A3247B">
      <w:r w:rsidRPr="005D4117">
        <w:t>Avec l’arrivée des premiers produits</w:t>
      </w:r>
      <w:r w:rsidR="004E20B0" w:rsidRPr="005D4117">
        <w:t xml:space="preserve">, l’AG a également commencé les contrôles sur les livraisons. </w:t>
      </w:r>
      <w:r w:rsidR="00A779F6" w:rsidRPr="005D4117">
        <w:t xml:space="preserve">Dans le cadre de ces contrôles, l'AG vérifie si les conditions des livraisons telles qu'elles sont stipulées dans le cahier des charges sont respectées dans la réalité. Il </w:t>
      </w:r>
      <w:r w:rsidRPr="005D4117">
        <w:t>est</w:t>
      </w:r>
      <w:r w:rsidR="00A779F6" w:rsidRPr="005D4117">
        <w:t xml:space="preserve"> également vérifié </w:t>
      </w:r>
      <w:r w:rsidR="005F36F4" w:rsidRPr="005D4117">
        <w:t xml:space="preserve">lors de ces contrôles </w:t>
      </w:r>
      <w:r w:rsidRPr="005D4117">
        <w:t>que</w:t>
      </w:r>
      <w:r w:rsidR="00A779F6" w:rsidRPr="005D4117">
        <w:t xml:space="preserve"> les produits sont livrés en bon état</w:t>
      </w:r>
      <w:r w:rsidR="005F36F4" w:rsidRPr="005D4117">
        <w:t xml:space="preserve"> et que les livraisons sont annoncé</w:t>
      </w:r>
      <w:r w:rsidR="00320F94" w:rsidRPr="005D4117">
        <w:t>e</w:t>
      </w:r>
      <w:r w:rsidR="005F36F4" w:rsidRPr="005D4117">
        <w:t>s au préalable – comme stipulé dans le cahier des charges</w:t>
      </w:r>
      <w:r w:rsidR="00A779F6" w:rsidRPr="005D4117">
        <w:t xml:space="preserve">. </w:t>
      </w:r>
    </w:p>
    <w:p w14:paraId="542A486D" w14:textId="07F06B86" w:rsidR="007D7185" w:rsidRPr="005D4117" w:rsidRDefault="007D7185" w:rsidP="00A3247B">
      <w:r w:rsidRPr="005D4117">
        <w:t>Etant donné</w:t>
      </w:r>
      <w:r w:rsidR="004E20B0" w:rsidRPr="005D4117">
        <w:t xml:space="preserve"> que les livraisons des produits de l’appel à </w:t>
      </w:r>
      <w:proofErr w:type="spellStart"/>
      <w:r w:rsidR="004E20B0" w:rsidRPr="005D4117">
        <w:t>marché</w:t>
      </w:r>
      <w:proofErr w:type="spellEnd"/>
      <w:r w:rsidR="004E20B0" w:rsidRPr="005D4117">
        <w:t xml:space="preserve"> 2015 n’ont commencé qu’en septembre</w:t>
      </w:r>
      <w:r w:rsidR="00F76216" w:rsidRPr="005D4117">
        <w:t xml:space="preserve"> 2015</w:t>
      </w:r>
      <w:r w:rsidR="004E20B0" w:rsidRPr="005D4117">
        <w:t xml:space="preserve">, toutes </w:t>
      </w:r>
      <w:r w:rsidR="00320F94" w:rsidRPr="005D4117">
        <w:t xml:space="preserve">les </w:t>
      </w:r>
      <w:r w:rsidR="004E20B0" w:rsidRPr="005D4117">
        <w:t>livraisons</w:t>
      </w:r>
      <w:r w:rsidR="005F36F4" w:rsidRPr="005D4117">
        <w:t>,</w:t>
      </w:r>
      <w:r w:rsidR="004E20B0" w:rsidRPr="005D4117">
        <w:t xml:space="preserve"> et par conséquen</w:t>
      </w:r>
      <w:r w:rsidR="005F36F4" w:rsidRPr="005D4117">
        <w:t>t,</w:t>
      </w:r>
      <w:r w:rsidR="004E20B0" w:rsidRPr="005D4117">
        <w:t xml:space="preserve"> </w:t>
      </w:r>
      <w:r w:rsidRPr="005D4117">
        <w:t xml:space="preserve">tous </w:t>
      </w:r>
      <w:r w:rsidR="004E20B0" w:rsidRPr="005D4117">
        <w:t xml:space="preserve">les contrôles </w:t>
      </w:r>
      <w:r w:rsidRPr="005D4117">
        <w:t>de</w:t>
      </w:r>
      <w:r w:rsidR="004E20B0" w:rsidRPr="005D4117">
        <w:t xml:space="preserve"> livraisons </w:t>
      </w:r>
      <w:r w:rsidRPr="005D4117">
        <w:t>n’</w:t>
      </w:r>
      <w:r w:rsidR="004E20B0" w:rsidRPr="005D4117">
        <w:t xml:space="preserve">ont pu </w:t>
      </w:r>
      <w:r w:rsidR="00F76216" w:rsidRPr="005D4117">
        <w:t xml:space="preserve">être réalisés en 2015. Les livraisons et les contrôles sur les livraisons ont </w:t>
      </w:r>
      <w:r w:rsidR="005F36F4" w:rsidRPr="005D4117">
        <w:t xml:space="preserve">donc </w:t>
      </w:r>
      <w:r w:rsidR="00F76216" w:rsidRPr="005D4117">
        <w:t>continué en 2016.</w:t>
      </w:r>
    </w:p>
    <w:p w14:paraId="627DE986" w14:textId="1714EDF2" w:rsidR="007D4615" w:rsidRDefault="007F467B" w:rsidP="007D4615">
      <w:pPr>
        <w:pStyle w:val="Kop4"/>
        <w:numPr>
          <w:ilvl w:val="3"/>
          <w:numId w:val="2"/>
        </w:numPr>
        <w:spacing w:after="240" w:line="276" w:lineRule="auto"/>
      </w:pPr>
      <w:r w:rsidRPr="001E740E">
        <w:lastRenderedPageBreak/>
        <w:t>Contrôles des organisations</w:t>
      </w:r>
    </w:p>
    <w:p w14:paraId="7A781D18" w14:textId="6435084E" w:rsidR="00AA3ACE" w:rsidRPr="005D4117" w:rsidRDefault="00AA3ACE" w:rsidP="007D4615">
      <w:r w:rsidRPr="005D4117">
        <w:t xml:space="preserve">Comme mentionné </w:t>
      </w:r>
      <w:r w:rsidR="007D7185" w:rsidRPr="005D4117">
        <w:t>précédemment, en 2015</w:t>
      </w:r>
      <w:r w:rsidRPr="005D4117">
        <w:t xml:space="preserve">, l’AG a </w:t>
      </w:r>
      <w:r w:rsidR="007D7185" w:rsidRPr="005D4117">
        <w:t xml:space="preserve">pu </w:t>
      </w:r>
      <w:r w:rsidRPr="005D4117">
        <w:t>comme</w:t>
      </w:r>
      <w:r w:rsidR="007D7185" w:rsidRPr="005D4117">
        <w:t>ncer</w:t>
      </w:r>
      <w:r w:rsidRPr="005D4117">
        <w:t xml:space="preserve"> les premi</w:t>
      </w:r>
      <w:r w:rsidR="00970979" w:rsidRPr="005D4117">
        <w:t>er</w:t>
      </w:r>
      <w:r w:rsidRPr="005D4117">
        <w:t>s contrôles sur place des organisations partenaires qui distribuent effectivement</w:t>
      </w:r>
      <w:r w:rsidR="00B76F2C" w:rsidRPr="005D4117">
        <w:t xml:space="preserve"> les produits aux plus démunis.</w:t>
      </w:r>
    </w:p>
    <w:p w14:paraId="3F439F90" w14:textId="77777777" w:rsidR="00970979" w:rsidRPr="005D4117" w:rsidRDefault="00970979" w:rsidP="007D4615">
      <w:r w:rsidRPr="005D4117">
        <w:t xml:space="preserve">Au total, </w:t>
      </w:r>
      <w:r w:rsidR="00B76F2C" w:rsidRPr="005D4117">
        <w:t xml:space="preserve">170 organisations ont été </w:t>
      </w:r>
      <w:r w:rsidRPr="005D4117">
        <w:t>contrôlées</w:t>
      </w:r>
      <w:r w:rsidR="00B76F2C" w:rsidRPr="005D4117">
        <w:t xml:space="preserve"> sur place. Il s’agit d’un échantillon de 21,85%</w:t>
      </w:r>
      <w:r w:rsidR="002F2F7E" w:rsidRPr="005D4117">
        <w:t xml:space="preserve"> (778 organisations ont reçu des produits en 2014)</w:t>
      </w:r>
      <w:r w:rsidR="00B76F2C" w:rsidRPr="005D4117">
        <w:t>.</w:t>
      </w:r>
    </w:p>
    <w:p w14:paraId="3E42D1F3" w14:textId="7BD5DA80" w:rsidR="00B76F2C" w:rsidRPr="005D4117" w:rsidRDefault="00B76F2C" w:rsidP="007D4615">
      <w:r w:rsidRPr="005D4117">
        <w:t>Cet échantillon a été sélectionné sur la base d’une analyse de risques. Les risques identifiés étaient les suivants: les organisations qui reçoivent de</w:t>
      </w:r>
      <w:r w:rsidR="00B2698A" w:rsidRPr="005D4117">
        <w:t xml:space="preserve"> grandes quantités de</w:t>
      </w:r>
      <w:r w:rsidRPr="005D4117">
        <w:t xml:space="preserve"> produits</w:t>
      </w:r>
      <w:r w:rsidR="0087110D" w:rsidRPr="005D4117">
        <w:t xml:space="preserve"> (et qui peuvent donc avoir davantage de problèmes de comptabilité matière)</w:t>
      </w:r>
      <w:r w:rsidRPr="005D4117">
        <w:t>, les organisations qui ont eu des problèmes dans le passé, les nouvelles organisations</w:t>
      </w:r>
      <w:r w:rsidR="0087110D" w:rsidRPr="005D4117">
        <w:t xml:space="preserve"> (pour s’assurer qu’elles </w:t>
      </w:r>
      <w:r w:rsidR="004F72FC" w:rsidRPr="005D4117">
        <w:t>appliquent correctement</w:t>
      </w:r>
      <w:r w:rsidR="0087110D" w:rsidRPr="005D4117">
        <w:t xml:space="preserve"> le règlement)</w:t>
      </w:r>
      <w:r w:rsidRPr="005D4117">
        <w:t xml:space="preserve">, les organisations qui ont changé le nombre de bénéficiaires de leur agrément. Cette sélection a été </w:t>
      </w:r>
      <w:r w:rsidR="00970979" w:rsidRPr="005D4117">
        <w:t>complétée</w:t>
      </w:r>
      <w:r w:rsidRPr="005D4117">
        <w:t xml:space="preserve"> avec une sélection aléatoire.</w:t>
      </w:r>
    </w:p>
    <w:p w14:paraId="517DE15D" w14:textId="5A1C5CBC" w:rsidR="002F2F7E" w:rsidRPr="005D4117" w:rsidRDefault="002F2F7E" w:rsidP="007D4615">
      <w:r w:rsidRPr="005D4117">
        <w:t>Lors de ces contrôles</w:t>
      </w:r>
      <w:r w:rsidR="00970979" w:rsidRPr="005D4117">
        <w:t xml:space="preserve"> les organisations sont contrôlées</w:t>
      </w:r>
      <w:r w:rsidRPr="005D4117">
        <w:t xml:space="preserve"> </w:t>
      </w:r>
      <w:r w:rsidR="00DA0D93" w:rsidRPr="005D4117">
        <w:t xml:space="preserve">– </w:t>
      </w:r>
      <w:r w:rsidR="003A363C" w:rsidRPr="005D4117">
        <w:t>entre</w:t>
      </w:r>
      <w:r w:rsidR="00DA0D93" w:rsidRPr="005D4117">
        <w:t xml:space="preserve"> autres – </w:t>
      </w:r>
      <w:r w:rsidRPr="005D4117">
        <w:t>sur les points suivants:</w:t>
      </w:r>
    </w:p>
    <w:p w14:paraId="36F31F35" w14:textId="536F15CB" w:rsidR="002F2F7E" w:rsidRPr="005D4117" w:rsidRDefault="002F2F7E" w:rsidP="002F2F7E">
      <w:pPr>
        <w:pStyle w:val="Lijstalinea"/>
        <w:numPr>
          <w:ilvl w:val="0"/>
          <w:numId w:val="18"/>
        </w:numPr>
      </w:pPr>
      <w:r w:rsidRPr="005D4117">
        <w:t>Si d’application : l’accord de partenariat avec le CPAS,</w:t>
      </w:r>
    </w:p>
    <w:p w14:paraId="70ADB7BF" w14:textId="72532656" w:rsidR="002F2F7E" w:rsidRPr="005D4117" w:rsidRDefault="00970979" w:rsidP="002F2F7E">
      <w:pPr>
        <w:pStyle w:val="Lijstalinea"/>
        <w:numPr>
          <w:ilvl w:val="0"/>
          <w:numId w:val="18"/>
        </w:numPr>
      </w:pPr>
      <w:r w:rsidRPr="005D4117">
        <w:t xml:space="preserve">L’enregistrement </w:t>
      </w:r>
      <w:r w:rsidR="002F2F7E" w:rsidRPr="005D4117">
        <w:t>auprès de l’AFSCA,</w:t>
      </w:r>
    </w:p>
    <w:p w14:paraId="394EBFC7" w14:textId="6F7B3AD3" w:rsidR="002F2F7E" w:rsidRPr="005D4117" w:rsidRDefault="002F2F7E" w:rsidP="002F2F7E">
      <w:pPr>
        <w:pStyle w:val="Lijstalinea"/>
        <w:numPr>
          <w:ilvl w:val="0"/>
          <w:numId w:val="18"/>
        </w:numPr>
      </w:pPr>
      <w:r w:rsidRPr="005D4117">
        <w:t>Les obligations par rapport à la communication (l'article 19 du règlement (UE) 223/2014) – l’affichage du logo de l’UE,</w:t>
      </w:r>
    </w:p>
    <w:p w14:paraId="32B1F11A" w14:textId="0D1E6F11" w:rsidR="002F2F7E" w:rsidRPr="005D4117" w:rsidRDefault="002F2F7E" w:rsidP="002F2F7E">
      <w:pPr>
        <w:pStyle w:val="Lijstalinea"/>
        <w:numPr>
          <w:ilvl w:val="0"/>
          <w:numId w:val="18"/>
        </w:numPr>
      </w:pPr>
      <w:r w:rsidRPr="005D4117">
        <w:t xml:space="preserve">Le mécanisme </w:t>
      </w:r>
      <w:r w:rsidR="003A363C" w:rsidRPr="005D4117">
        <w:t xml:space="preserve">mis en place </w:t>
      </w:r>
      <w:r w:rsidRPr="005D4117">
        <w:t>pour l’identification des plus démunis,</w:t>
      </w:r>
    </w:p>
    <w:p w14:paraId="2B315A36" w14:textId="0497C326" w:rsidR="002F2F7E" w:rsidRPr="005D4117" w:rsidRDefault="002F2F7E" w:rsidP="002F2F7E">
      <w:pPr>
        <w:pStyle w:val="Lijstalinea"/>
        <w:numPr>
          <w:ilvl w:val="0"/>
          <w:numId w:val="18"/>
        </w:numPr>
      </w:pPr>
      <w:r w:rsidRPr="005D4117">
        <w:t>Les mesures d’accompagnement mises en place,</w:t>
      </w:r>
    </w:p>
    <w:p w14:paraId="39837E79" w14:textId="4F36C414" w:rsidR="002F2F7E" w:rsidRPr="005D4117" w:rsidRDefault="002F2F7E" w:rsidP="002F2F7E">
      <w:pPr>
        <w:pStyle w:val="Lijstalinea"/>
        <w:numPr>
          <w:ilvl w:val="0"/>
          <w:numId w:val="18"/>
        </w:numPr>
      </w:pPr>
      <w:r w:rsidRPr="005D4117">
        <w:t>La comptabilité matière des produits reçus dans le cadre du FEAD,</w:t>
      </w:r>
    </w:p>
    <w:p w14:paraId="4D263E74" w14:textId="4EB0F5C0" w:rsidR="002F2F7E" w:rsidRPr="005D4117" w:rsidRDefault="002F2F7E" w:rsidP="002F2F7E">
      <w:pPr>
        <w:pStyle w:val="Lijstalinea"/>
        <w:numPr>
          <w:ilvl w:val="0"/>
          <w:numId w:val="18"/>
        </w:numPr>
      </w:pPr>
      <w:r w:rsidRPr="005D4117">
        <w:t>La cession, destruction, vol ou perte des produits reçus dans le cadre du FEAD sans avertir l’AG,</w:t>
      </w:r>
    </w:p>
    <w:p w14:paraId="528C4EF3" w14:textId="608808B2" w:rsidR="002F2F7E" w:rsidRPr="005D4117" w:rsidRDefault="002F2F7E" w:rsidP="002F2F7E">
      <w:pPr>
        <w:pStyle w:val="Lijstalinea"/>
        <w:numPr>
          <w:ilvl w:val="0"/>
          <w:numId w:val="18"/>
        </w:numPr>
      </w:pPr>
      <w:r w:rsidRPr="005D4117">
        <w:t>La date de péremption des produits,</w:t>
      </w:r>
    </w:p>
    <w:p w14:paraId="75D0A648" w14:textId="4AF8BAE3" w:rsidR="002F2F7E" w:rsidRPr="005D4117" w:rsidRDefault="002F2F7E" w:rsidP="002F2F7E">
      <w:pPr>
        <w:pStyle w:val="Lijstalinea"/>
        <w:numPr>
          <w:ilvl w:val="0"/>
          <w:numId w:val="18"/>
        </w:numPr>
      </w:pPr>
      <w:r w:rsidRPr="005D4117">
        <w:t xml:space="preserve">Le fait que la distribution des produits FEAD </w:t>
      </w:r>
      <w:r w:rsidR="00970979" w:rsidRPr="005D4117">
        <w:t>se fasse</w:t>
      </w:r>
      <w:r w:rsidRPr="005D4117">
        <w:t xml:space="preserve"> gratuitement.</w:t>
      </w:r>
    </w:p>
    <w:p w14:paraId="7551170A" w14:textId="2B1BA7A8" w:rsidR="00B2698A" w:rsidRPr="005D4117" w:rsidRDefault="00B2698A" w:rsidP="00B2698A">
      <w:r w:rsidRPr="005D4117">
        <w:t xml:space="preserve">Chaque contrôle fait l’objet d’un rapport de contrôle détaillé. Le contrôleur </w:t>
      </w:r>
      <w:r w:rsidR="00794462" w:rsidRPr="005D4117">
        <w:t xml:space="preserve">y </w:t>
      </w:r>
      <w:r w:rsidRPr="005D4117">
        <w:t xml:space="preserve">décrit clairement les contrôles effectués </w:t>
      </w:r>
      <w:r w:rsidR="00BE429F" w:rsidRPr="005D4117">
        <w:t xml:space="preserve">lors de sa visite </w:t>
      </w:r>
      <w:r w:rsidRPr="005D4117">
        <w:t>de manière à laisser une trace adéquate du contrôle en cas d’audit. Toute non-conformité est mentionnée dans le rapport.</w:t>
      </w:r>
    </w:p>
    <w:p w14:paraId="39B1B755" w14:textId="1090F5F9" w:rsidR="00B2698A" w:rsidRPr="005D4117" w:rsidRDefault="00B2698A" w:rsidP="00B2698A">
      <w:r w:rsidRPr="005D4117">
        <w:t xml:space="preserve">Un Template détaillé ainsi que des instructions </w:t>
      </w:r>
      <w:r w:rsidR="003A363C" w:rsidRPr="005D4117">
        <w:t xml:space="preserve">pour les contrôleurs </w:t>
      </w:r>
      <w:r w:rsidRPr="005D4117">
        <w:t>ont été élaborées.</w:t>
      </w:r>
    </w:p>
    <w:p w14:paraId="16185D8F" w14:textId="384E186D" w:rsidR="00BE429F" w:rsidRPr="005D4117" w:rsidRDefault="002F2F7E" w:rsidP="002F2F7E">
      <w:r w:rsidRPr="005D4117">
        <w:t xml:space="preserve">L’AG a développé un tableau de suivi pour suivre l’ensemble des contrôles effectués et </w:t>
      </w:r>
      <w:r w:rsidR="00B2698A" w:rsidRPr="005D4117">
        <w:t xml:space="preserve">en </w:t>
      </w:r>
      <w:r w:rsidRPr="005D4117">
        <w:t xml:space="preserve">garantir </w:t>
      </w:r>
      <w:r w:rsidR="00B2698A" w:rsidRPr="005D4117">
        <w:t>un suivi optimal</w:t>
      </w:r>
      <w:r w:rsidRPr="005D4117">
        <w:t xml:space="preserve">. </w:t>
      </w:r>
      <w:r w:rsidR="00B2698A" w:rsidRPr="005D4117">
        <w:t xml:space="preserve">Ce tableau reprend la liste de toutes les organisations contrôlées, </w:t>
      </w:r>
      <w:r w:rsidR="00BE429F" w:rsidRPr="005D4117">
        <w:t>le nom du contrôleur, la date du contrôle et une colonne rappelle également le risque pour lequel l’organisation avait été sélectionnée. La deuxième partie du</w:t>
      </w:r>
      <w:r w:rsidR="006479A4" w:rsidRPr="005D4117">
        <w:t xml:space="preserve"> tableau reprend toutes les non-</w:t>
      </w:r>
      <w:r w:rsidR="00BE429F" w:rsidRPr="005D4117">
        <w:t>conformités possibles (voir ci-dessus). Pour chaque non-conformité, une croix est insérée dans la colonne appropriée et une formule finale calcule le nombre de non conformités pour chaque organisation contrôlée. La troisième partie du tableau récapitule le suivi donné au contrôle et les éventuelles remarques.</w:t>
      </w:r>
    </w:p>
    <w:p w14:paraId="0EC0B81C" w14:textId="77777777" w:rsidR="00F05680" w:rsidRPr="005D4117" w:rsidRDefault="00F05680" w:rsidP="002F2F7E">
      <w:r w:rsidRPr="005D4117">
        <w:t xml:space="preserve">Lors de ces contrôles, la comptabilité matière (c’est-à-dire le décompte de tout ce qui entre et de tout ce qui sort) est méticuleusement vérifiée. Toute destruction, cession, perte doit </w:t>
      </w:r>
      <w:r w:rsidRPr="005D4117">
        <w:lastRenderedPageBreak/>
        <w:t xml:space="preserve">être renseignée dans le tableau comptable de suivi. Si cela s’avère ne pas être le cas, la valeur des produits non justifiés est calculée. </w:t>
      </w:r>
    </w:p>
    <w:p w14:paraId="2C8FCC68" w14:textId="7B8C9B6C" w:rsidR="00F05680" w:rsidRPr="005D4117" w:rsidRDefault="00F05680" w:rsidP="002F2F7E">
      <w:r w:rsidRPr="005D4117">
        <w:t xml:space="preserve">Pour cela, un tableau de suivi a été créé. Chaque produit y est repris avec sa valeur et toutes les unités non justifiées par association y sont mentionnées. Si la valeur des produits non justifiés ne dépasse pas 200 euros, aucun remboursement n’est demandé. Si la valeur des produits dépasse 200 euros, il est demandé à l’association de rembourser </w:t>
      </w:r>
      <w:r w:rsidR="00320F94" w:rsidRPr="005D4117">
        <w:t>la valeur totale</w:t>
      </w:r>
      <w:r w:rsidRPr="005D4117">
        <w:t xml:space="preserve"> des produits non justifiés. Bien entendu, en cas d’accident ou de vol dûment documenté, aucun remboursement n’est demandé. En 2015, il n’y a que très peu d’associations qui dépassent le seuil des 200 euros.</w:t>
      </w:r>
      <w:r w:rsidR="00694943" w:rsidRPr="005D4117">
        <w:t xml:space="preserve"> Les associations partenaires agréées sont tenues d’informer l’AG pour toute perte, destruction ou cession de denrée. En cas de vol ou d’accident, les associations partenaires agréées sont invitées à fournir des photos avec une explication par email, le PV de la police le cas échéant pour que l’AG puisse faire le suivi nécessaire. </w:t>
      </w:r>
    </w:p>
    <w:p w14:paraId="633ED887" w14:textId="2B0D72E1" w:rsidR="00F05680" w:rsidRPr="005D4117" w:rsidRDefault="00F05680" w:rsidP="002F2F7E">
      <w:r w:rsidRPr="005D4117">
        <w:t xml:space="preserve">Chaque contrôle sur place donne lieu à une lettre reprenant les principales non conformités et le suivi qui doit y être donné ou incitant l’organisation à continuer de la sorte si aucun problème n’est constaté. </w:t>
      </w:r>
    </w:p>
    <w:p w14:paraId="0A861993" w14:textId="322091AB" w:rsidR="00B76F2C" w:rsidRPr="005D4117" w:rsidRDefault="00BE429F" w:rsidP="00A3247B">
      <w:pPr>
        <w:spacing w:after="0"/>
      </w:pPr>
      <w:r w:rsidRPr="005D4117">
        <w:t>En 2015, l’</w:t>
      </w:r>
      <w:r w:rsidR="00B76F2C" w:rsidRPr="005D4117">
        <w:t>agrément de 2 organisations a été suspendu:</w:t>
      </w:r>
    </w:p>
    <w:p w14:paraId="6157D374" w14:textId="3B66C436" w:rsidR="00B76F2C" w:rsidRPr="005D4117" w:rsidRDefault="00694943" w:rsidP="00B76F2C">
      <w:pPr>
        <w:pStyle w:val="Lijstalinea"/>
        <w:numPr>
          <w:ilvl w:val="0"/>
          <w:numId w:val="18"/>
        </w:numPr>
        <w:spacing w:after="0"/>
      </w:pPr>
      <w:r w:rsidRPr="005D4117">
        <w:t>U</w:t>
      </w:r>
      <w:r w:rsidR="00B76F2C" w:rsidRPr="005D4117">
        <w:t xml:space="preserve">ne organisation </w:t>
      </w:r>
      <w:r w:rsidRPr="005D4117">
        <w:t xml:space="preserve">a été suspendue car </w:t>
      </w:r>
      <w:r w:rsidR="00B76F2C" w:rsidRPr="005D4117">
        <w:t xml:space="preserve">l’AG </w:t>
      </w:r>
      <w:r w:rsidR="002F2F7E" w:rsidRPr="005D4117">
        <w:t>a été contacté</w:t>
      </w:r>
      <w:r w:rsidR="00B2698A" w:rsidRPr="005D4117">
        <w:t>e</w:t>
      </w:r>
      <w:r w:rsidR="002F2F7E" w:rsidRPr="005D4117">
        <w:t xml:space="preserve"> par l’AFSCA après un contrôle réalisé</w:t>
      </w:r>
      <w:r w:rsidRPr="005D4117">
        <w:t xml:space="preserve"> dans leurs locaux</w:t>
      </w:r>
      <w:r w:rsidR="002F2F7E" w:rsidRPr="005D4117">
        <w:t xml:space="preserve">. </w:t>
      </w:r>
      <w:r w:rsidR="00B2698A" w:rsidRPr="005D4117">
        <w:t>Les conditions sanitaires n’étaient pas respectées</w:t>
      </w:r>
      <w:r w:rsidRPr="005D4117">
        <w:t>.</w:t>
      </w:r>
    </w:p>
    <w:p w14:paraId="0256676F" w14:textId="180EC500" w:rsidR="009F4F6F" w:rsidRDefault="00B76F2C" w:rsidP="005D4117">
      <w:pPr>
        <w:pStyle w:val="Lijstalinea"/>
        <w:numPr>
          <w:ilvl w:val="0"/>
          <w:numId w:val="18"/>
        </w:numPr>
        <w:spacing w:after="0"/>
      </w:pPr>
      <w:r w:rsidRPr="005D4117">
        <w:t xml:space="preserve">Pour l’autre organisation le contrôle sur place </w:t>
      </w:r>
      <w:r w:rsidR="002F2F7E" w:rsidRPr="005D4117">
        <w:t>réalisé</w:t>
      </w:r>
      <w:r w:rsidR="00694943" w:rsidRPr="005D4117">
        <w:t xml:space="preserve"> par l’AG n’était pas en ordre et aucune suite n’a été donnée de la part de l’organisation.</w:t>
      </w:r>
    </w:p>
    <w:p w14:paraId="09A84EBF" w14:textId="77777777" w:rsidR="005D4117" w:rsidRPr="005D4117" w:rsidRDefault="005D4117" w:rsidP="005D4117">
      <w:pPr>
        <w:pStyle w:val="Lijstalinea"/>
        <w:spacing w:after="0"/>
      </w:pPr>
    </w:p>
    <w:p w14:paraId="5BB7C50B" w14:textId="77777777" w:rsidR="003E78A9" w:rsidRPr="005D4117" w:rsidRDefault="002063B3" w:rsidP="00A3247B">
      <w:pPr>
        <w:pStyle w:val="Kop4"/>
        <w:numPr>
          <w:ilvl w:val="3"/>
          <w:numId w:val="2"/>
        </w:numPr>
        <w:spacing w:after="240" w:line="276" w:lineRule="auto"/>
      </w:pPr>
      <w:r w:rsidRPr="005D4117">
        <w:t xml:space="preserve">L'application </w:t>
      </w:r>
      <w:r w:rsidR="007F467B" w:rsidRPr="005D4117">
        <w:t>ICT</w:t>
      </w:r>
    </w:p>
    <w:p w14:paraId="340F11CF" w14:textId="77777777" w:rsidR="00623D3F" w:rsidRPr="005D4117" w:rsidRDefault="00623D3F" w:rsidP="00A3247B">
      <w:r w:rsidRPr="005D4117">
        <w:t>En 2014, l’AG a bénéficié de l’application informatique développée et utilisée par le BIRB.</w:t>
      </w:r>
    </w:p>
    <w:p w14:paraId="047D929D" w14:textId="69EAD9E3" w:rsidR="00842479" w:rsidRDefault="00623D3F" w:rsidP="00A3247B">
      <w:r w:rsidRPr="005D4117">
        <w:t>Pendant l’année 2015, l’application a été reprise intégralement par l’AG.</w:t>
      </w:r>
    </w:p>
    <w:p w14:paraId="71B5BD7E" w14:textId="77777777" w:rsidR="00DA0446" w:rsidRDefault="00DA0446" w:rsidP="00A3247B"/>
    <w:p w14:paraId="2C54237A" w14:textId="77777777" w:rsidR="005B6C30" w:rsidRDefault="005B6C30" w:rsidP="00A3247B">
      <w:pPr>
        <w:pStyle w:val="Kop3"/>
        <w:numPr>
          <w:ilvl w:val="2"/>
          <w:numId w:val="2"/>
        </w:numPr>
        <w:spacing w:after="240" w:line="276" w:lineRule="auto"/>
      </w:pPr>
      <w:bookmarkStart w:id="20" w:name="_Toc422390655"/>
      <w:bookmarkStart w:id="21" w:name="_Toc454974433"/>
      <w:r w:rsidRPr="00407488">
        <w:t>Information et communication</w:t>
      </w:r>
      <w:bookmarkEnd w:id="20"/>
      <w:bookmarkEnd w:id="21"/>
    </w:p>
    <w:p w14:paraId="32E1D26B" w14:textId="77777777" w:rsidR="004E1C90" w:rsidRPr="005D4117" w:rsidRDefault="004E1C90" w:rsidP="00A3247B">
      <w:r w:rsidRPr="005D4117">
        <w:t>Durant l'année 2015, les mesures suivantes ont été adoptées dans le cadre de l'article 19 du règlement (UE) 223/2014 relatif à l'information et à la communication.</w:t>
      </w:r>
    </w:p>
    <w:p w14:paraId="1C521735" w14:textId="0AF3B96D" w:rsidR="004E1C90" w:rsidRPr="005D4117" w:rsidRDefault="004E1C90" w:rsidP="00A3247B">
      <w:pPr>
        <w:pStyle w:val="Lijstalinea"/>
        <w:numPr>
          <w:ilvl w:val="0"/>
          <w:numId w:val="21"/>
        </w:numPr>
      </w:pPr>
      <w:r w:rsidRPr="005D4117">
        <w:t>Le règlement 2015, présenté simultanément à la demande des commandes, stipule que le drapeau européen doit être affiché à tous les stades de la distribution. Le format minimal A3 a bien été mentionné.</w:t>
      </w:r>
      <w:r w:rsidR="00F737E8" w:rsidRPr="005D4117">
        <w:t xml:space="preserve"> Cet aspect a également été contrôlé lors de chaque contrôle sur place (voir point 2.1.6.4.). </w:t>
      </w:r>
    </w:p>
    <w:p w14:paraId="145118E9" w14:textId="5CAE4AC8" w:rsidR="004E1C90" w:rsidRPr="005D4117" w:rsidRDefault="004E1C90" w:rsidP="00A3247B">
      <w:pPr>
        <w:pStyle w:val="Lijstalinea"/>
        <w:numPr>
          <w:ilvl w:val="0"/>
          <w:numId w:val="21"/>
        </w:numPr>
      </w:pPr>
      <w:r w:rsidRPr="005D4117">
        <w:t xml:space="preserve">Le FEAD a de nouveau été l'un des </w:t>
      </w:r>
      <w:r w:rsidR="004F72FC" w:rsidRPr="005D4117">
        <w:t>sujets qui avaient été présenté</w:t>
      </w:r>
      <w:r w:rsidRPr="005D4117">
        <w:t xml:space="preserve"> lors des journées de rencontre</w:t>
      </w:r>
      <w:r w:rsidR="00320F94" w:rsidRPr="005D4117">
        <w:t>s</w:t>
      </w:r>
      <w:r w:rsidRPr="005D4117">
        <w:t xml:space="preserve"> provinciales organisées chaque année par le SPP IS. À l'occasion de cette présentation, l’actualité concernant le FEAD a été présenté</w:t>
      </w:r>
      <w:r w:rsidR="006479A4" w:rsidRPr="005D4117">
        <w:t>e</w:t>
      </w:r>
      <w:r w:rsidRPr="005D4117">
        <w:t>.</w:t>
      </w:r>
    </w:p>
    <w:p w14:paraId="462A60F6" w14:textId="77777777" w:rsidR="004E1C90" w:rsidRPr="005D4117" w:rsidRDefault="004E1C90" w:rsidP="00A3247B">
      <w:pPr>
        <w:pStyle w:val="Lijstalinea"/>
        <w:numPr>
          <w:ilvl w:val="0"/>
          <w:numId w:val="21"/>
        </w:numPr>
      </w:pPr>
      <w:r w:rsidRPr="005D4117">
        <w:lastRenderedPageBreak/>
        <w:t xml:space="preserve">Le logo de l'Union européenne a été représenté sur toutes les communications, avec la mention «Avec le soutien de l'Union européenne – le Fonds pour l'aide européenne aux plus démunis». </w:t>
      </w:r>
    </w:p>
    <w:p w14:paraId="62D69661" w14:textId="77777777" w:rsidR="004E1C90" w:rsidRPr="005D4117" w:rsidRDefault="004E1C90" w:rsidP="00A3247B">
      <w:pPr>
        <w:pStyle w:val="Lijstalinea"/>
        <w:numPr>
          <w:ilvl w:val="0"/>
          <w:numId w:val="21"/>
        </w:numPr>
      </w:pPr>
      <w:r w:rsidRPr="005D4117">
        <w:t>Le rapport annuel de 2014 a été p</w:t>
      </w:r>
      <w:r w:rsidR="000A07C5" w:rsidRPr="005D4117">
        <w:t xml:space="preserve">ublié sur le site Internet du SPP IS. </w:t>
      </w:r>
    </w:p>
    <w:p w14:paraId="5D53FF59" w14:textId="24B48AEA" w:rsidR="000A07C5" w:rsidRPr="005D4117" w:rsidRDefault="004E1C90" w:rsidP="00A3247B">
      <w:pPr>
        <w:pStyle w:val="Lijstalinea"/>
        <w:numPr>
          <w:ilvl w:val="0"/>
          <w:numId w:val="21"/>
        </w:numPr>
      </w:pPr>
      <w:r w:rsidRPr="005D4117">
        <w:t>Une liste de toutes les organisations qui ont bénéficié de l'aide du Fonds en</w:t>
      </w:r>
      <w:r w:rsidR="00DB7249" w:rsidRPr="005D4117">
        <w:t xml:space="preserve"> 2014 et en</w:t>
      </w:r>
      <w:r w:rsidRPr="005D4117">
        <w:t xml:space="preserve"> 2015 a </w:t>
      </w:r>
      <w:r w:rsidRPr="005B1999">
        <w:t>été publiée s</w:t>
      </w:r>
      <w:r w:rsidR="000A07C5" w:rsidRPr="005B1999">
        <w:t>ur le site Internet du SPP IS</w:t>
      </w:r>
      <w:r w:rsidR="00320F94" w:rsidRPr="005B1999">
        <w:t xml:space="preserve"> – e</w:t>
      </w:r>
      <w:r w:rsidR="004627C7" w:rsidRPr="005B1999">
        <w:t>n vertu de l’artic</w:t>
      </w:r>
      <w:r w:rsidR="00320F94" w:rsidRPr="005B1999">
        <w:t>le 19, §2 du règlement.</w:t>
      </w:r>
    </w:p>
    <w:p w14:paraId="7A77D9B0" w14:textId="1D744C3D" w:rsidR="004E1C90" w:rsidRPr="005D4117" w:rsidRDefault="000A07C5" w:rsidP="00A3247B">
      <w:pPr>
        <w:pStyle w:val="Lijstalinea"/>
        <w:numPr>
          <w:ilvl w:val="0"/>
          <w:numId w:val="21"/>
        </w:numPr>
      </w:pPr>
      <w:r w:rsidRPr="005D4117">
        <w:t xml:space="preserve">L’AG a organisé un colloque dans le cadre du FEAD (voir </w:t>
      </w:r>
      <w:r w:rsidR="00320F94" w:rsidRPr="005D4117">
        <w:t>point</w:t>
      </w:r>
      <w:r w:rsidRPr="005D4117">
        <w:t xml:space="preserve"> 2.1.7.1. ci-dessous).</w:t>
      </w:r>
    </w:p>
    <w:p w14:paraId="17FFCED7" w14:textId="3A78DE5E" w:rsidR="005D4117" w:rsidRDefault="000A07C5" w:rsidP="00893AE2">
      <w:pPr>
        <w:pStyle w:val="Lijstalinea"/>
        <w:numPr>
          <w:ilvl w:val="0"/>
          <w:numId w:val="21"/>
        </w:numPr>
      </w:pPr>
      <w:r w:rsidRPr="005D4117">
        <w:t>L’AG a élaboré un</w:t>
      </w:r>
      <w:r w:rsidR="006603A6" w:rsidRPr="005D4117">
        <w:t>e</w:t>
      </w:r>
      <w:r w:rsidRPr="005D4117">
        <w:t xml:space="preserve"> </w:t>
      </w:r>
      <w:r w:rsidR="006603A6" w:rsidRPr="005D4117">
        <w:t>lettre d’information mensuelle</w:t>
      </w:r>
      <w:r w:rsidR="00AE5F00" w:rsidRPr="005D4117">
        <w:t xml:space="preserve"> </w:t>
      </w:r>
      <w:r w:rsidRPr="005D4117">
        <w:t>dans le cadre du FEAD (voir point 2.1.7.2. ci-dessous).</w:t>
      </w:r>
    </w:p>
    <w:p w14:paraId="43EF2897" w14:textId="11BBDA09" w:rsidR="003032C3" w:rsidRPr="00DA0446" w:rsidRDefault="003032C3" w:rsidP="00576A01">
      <w:pPr>
        <w:pStyle w:val="Lijstalinea"/>
        <w:numPr>
          <w:ilvl w:val="0"/>
          <w:numId w:val="21"/>
        </w:numPr>
      </w:pPr>
      <w:r w:rsidRPr="00DA0446">
        <w:t>Le 25/09/2015</w:t>
      </w:r>
      <w:r w:rsidR="00576A01" w:rsidRPr="00DA0446">
        <w:t>, le responsable pour l’A</w:t>
      </w:r>
      <w:r w:rsidRPr="00DA0446">
        <w:t>G, Mr Alexandre Lesiw (</w:t>
      </w:r>
      <w:r w:rsidR="00576A01" w:rsidRPr="00DA0446">
        <w:t>Directeur Général du SPP Intégration S</w:t>
      </w:r>
      <w:r w:rsidRPr="00DA0446">
        <w:t>ociale)</w:t>
      </w:r>
      <w:r w:rsidR="00576A01" w:rsidRPr="00DA0446">
        <w:t xml:space="preserve"> a participé au</w:t>
      </w:r>
      <w:r w:rsidR="00A60713" w:rsidRPr="00DA0446">
        <w:t xml:space="preserve"> séminaire</w:t>
      </w:r>
      <w:r w:rsidR="00576A01" w:rsidRPr="00DA0446">
        <w:t xml:space="preserve"> «</w:t>
      </w:r>
      <w:r w:rsidRPr="00DA0446">
        <w:t xml:space="preserve">Ad hoc meeting of ESF and FEAD </w:t>
      </w:r>
      <w:proofErr w:type="spellStart"/>
      <w:r w:rsidRPr="00DA0446">
        <w:t>Managing</w:t>
      </w:r>
      <w:proofErr w:type="spellEnd"/>
      <w:r w:rsidRPr="00DA0446">
        <w:t xml:space="preserve"> </w:t>
      </w:r>
      <w:proofErr w:type="spellStart"/>
      <w:r w:rsidRPr="00DA0446">
        <w:t>Authorities</w:t>
      </w:r>
      <w:proofErr w:type="spellEnd"/>
      <w:r w:rsidRPr="00DA0446">
        <w:t xml:space="preserve"> in </w:t>
      </w:r>
      <w:proofErr w:type="spellStart"/>
      <w:r w:rsidRPr="00DA0446">
        <w:t>response</w:t>
      </w:r>
      <w:proofErr w:type="spellEnd"/>
      <w:r w:rsidRPr="00DA0446">
        <w:t xml:space="preserve"> to the </w:t>
      </w:r>
      <w:proofErr w:type="spellStart"/>
      <w:r w:rsidRPr="00DA0446">
        <w:t>refugee</w:t>
      </w:r>
      <w:proofErr w:type="spellEnd"/>
      <w:r w:rsidRPr="00DA0446">
        <w:t xml:space="preserve"> </w:t>
      </w:r>
      <w:proofErr w:type="spellStart"/>
      <w:r w:rsidRPr="00DA0446">
        <w:t>crisis</w:t>
      </w:r>
      <w:proofErr w:type="spellEnd"/>
      <w:r w:rsidRPr="00DA0446">
        <w:t>»</w:t>
      </w:r>
      <w:r w:rsidR="00F55844" w:rsidRPr="00DA0446">
        <w:t xml:space="preserve"> organisé par la Commission Européenne</w:t>
      </w:r>
      <w:r w:rsidRPr="00DA0446">
        <w:t>. Il y a pris la parole pour y présenter le</w:t>
      </w:r>
      <w:r w:rsidR="00F55844" w:rsidRPr="00DA0446">
        <w:t xml:space="preserve"> rôle que le </w:t>
      </w:r>
      <w:r w:rsidRPr="00DA0446">
        <w:t>FEAD</w:t>
      </w:r>
      <w:r w:rsidR="00F55844" w:rsidRPr="00DA0446">
        <w:t xml:space="preserve"> joue dans le cadre de </w:t>
      </w:r>
      <w:r w:rsidRPr="00DA0446">
        <w:t>la crise migratoire</w:t>
      </w:r>
      <w:r w:rsidR="00F55844" w:rsidRPr="00DA0446">
        <w:t xml:space="preserve"> en Belgique et les piste possibl</w:t>
      </w:r>
      <w:r w:rsidR="00576A01" w:rsidRPr="00DA0446">
        <w:t>es pour une amélioration future: «</w:t>
      </w:r>
      <w:r w:rsidR="00F55844" w:rsidRPr="00DA0446">
        <w:t xml:space="preserve">the </w:t>
      </w:r>
      <w:proofErr w:type="spellStart"/>
      <w:r w:rsidR="00F55844" w:rsidRPr="00DA0446">
        <w:t>implementation</w:t>
      </w:r>
      <w:proofErr w:type="spellEnd"/>
      <w:r w:rsidR="00F55844" w:rsidRPr="00DA0446">
        <w:t xml:space="preserve"> of the FEAD in the </w:t>
      </w:r>
      <w:proofErr w:type="spellStart"/>
      <w:r w:rsidR="00F55844" w:rsidRPr="00DA0446">
        <w:t>current</w:t>
      </w:r>
      <w:proofErr w:type="spellEnd"/>
      <w:r w:rsidR="00F55844" w:rsidRPr="00DA0446">
        <w:t xml:space="preserve"> </w:t>
      </w:r>
      <w:proofErr w:type="spellStart"/>
      <w:r w:rsidR="00F55844" w:rsidRPr="00DA0446">
        <w:t>refugee</w:t>
      </w:r>
      <w:proofErr w:type="spellEnd"/>
      <w:r w:rsidR="00F55844" w:rsidRPr="00DA0446">
        <w:t xml:space="preserve"> i</w:t>
      </w:r>
      <w:r w:rsidR="00576A01" w:rsidRPr="00DA0446">
        <w:t xml:space="preserve">nflux in </w:t>
      </w:r>
      <w:proofErr w:type="spellStart"/>
      <w:r w:rsidR="00576A01" w:rsidRPr="00DA0446">
        <w:t>Belgium</w:t>
      </w:r>
      <w:proofErr w:type="spellEnd"/>
      <w:r w:rsidR="00F55844" w:rsidRPr="00DA0446">
        <w:t>».</w:t>
      </w:r>
    </w:p>
    <w:p w14:paraId="21737B56" w14:textId="77777777" w:rsidR="00576A01" w:rsidRPr="00DA0446" w:rsidRDefault="00576A01" w:rsidP="00576A01">
      <w:pPr>
        <w:pStyle w:val="Lijstalinea"/>
      </w:pPr>
    </w:p>
    <w:p w14:paraId="13B4DCF9" w14:textId="77777777" w:rsidR="001F4523" w:rsidRPr="00893AE2" w:rsidRDefault="00A779F6" w:rsidP="00A3247B">
      <w:pPr>
        <w:pStyle w:val="Lijstalinea"/>
        <w:numPr>
          <w:ilvl w:val="3"/>
          <w:numId w:val="2"/>
        </w:numPr>
        <w:rPr>
          <w:b/>
        </w:rPr>
      </w:pPr>
      <w:r w:rsidRPr="00893AE2">
        <w:rPr>
          <w:b/>
        </w:rPr>
        <w:t>Colloque sur le futur de l’aide alimentaire en Belgique</w:t>
      </w:r>
    </w:p>
    <w:p w14:paraId="1C8E049E" w14:textId="27F7C5BB" w:rsidR="00A779F6" w:rsidRPr="005B1999" w:rsidRDefault="00A779F6" w:rsidP="00A3247B">
      <w:pPr>
        <w:pStyle w:val="Normaalweb"/>
        <w:spacing w:before="0" w:beforeAutospacing="0" w:after="0" w:afterAutospacing="0" w:line="276" w:lineRule="auto"/>
        <w:jc w:val="both"/>
        <w:rPr>
          <w:rFonts w:ascii="Gill Sans MT" w:hAnsi="Gill Sans MT"/>
          <w:lang w:val="fr-FR"/>
        </w:rPr>
      </w:pPr>
      <w:r w:rsidRPr="005B1999">
        <w:rPr>
          <w:rFonts w:ascii="Gill Sans MT" w:hAnsi="Gill Sans MT"/>
          <w:lang w:val="fr-FR"/>
        </w:rPr>
        <w:t>En 2015 le FEAD a atteint sa vitesse croisière en Belgique. C’est pou</w:t>
      </w:r>
      <w:r w:rsidR="006603A6" w:rsidRPr="005B1999">
        <w:rPr>
          <w:rFonts w:ascii="Gill Sans MT" w:hAnsi="Gill Sans MT"/>
          <w:lang w:val="fr-FR"/>
        </w:rPr>
        <w:t>rquoi le SPP IS a voulu organiser</w:t>
      </w:r>
      <w:r w:rsidRPr="005B1999">
        <w:rPr>
          <w:rFonts w:ascii="Gill Sans MT" w:hAnsi="Gill Sans MT"/>
          <w:lang w:val="fr-FR"/>
        </w:rPr>
        <w:t xml:space="preserve"> un évènement afin de discuter des pistes à suivre pour la programmation 2014-2020 mais aussi plus général</w:t>
      </w:r>
      <w:r w:rsidR="006603A6" w:rsidRPr="005B1999">
        <w:rPr>
          <w:rFonts w:ascii="Gill Sans MT" w:hAnsi="Gill Sans MT"/>
          <w:lang w:val="fr-FR"/>
        </w:rPr>
        <w:t xml:space="preserve">ement, pour </w:t>
      </w:r>
      <w:r w:rsidRPr="005B1999">
        <w:rPr>
          <w:rFonts w:ascii="Gill Sans MT" w:hAnsi="Gill Sans MT"/>
          <w:lang w:val="fr-FR"/>
        </w:rPr>
        <w:t xml:space="preserve">discuter du futur de l’aide alimentaire en Belgique. </w:t>
      </w:r>
    </w:p>
    <w:p w14:paraId="0F53D1CE" w14:textId="77777777" w:rsidR="00A779F6" w:rsidRPr="005B1999" w:rsidRDefault="00A779F6" w:rsidP="00A3247B">
      <w:pPr>
        <w:pStyle w:val="Normaalweb"/>
        <w:spacing w:before="0" w:beforeAutospacing="0" w:after="0" w:afterAutospacing="0" w:line="276" w:lineRule="auto"/>
        <w:jc w:val="both"/>
        <w:rPr>
          <w:rFonts w:ascii="Gill Sans MT" w:hAnsi="Gill Sans MT"/>
          <w:lang w:val="fr-FR"/>
        </w:rPr>
      </w:pPr>
    </w:p>
    <w:p w14:paraId="1DA48C5A" w14:textId="1C30FF24" w:rsidR="00A779F6" w:rsidRPr="005B1999" w:rsidRDefault="00A779F6" w:rsidP="00A3247B">
      <w:pPr>
        <w:pStyle w:val="Normaalweb"/>
        <w:spacing w:before="0" w:beforeAutospacing="0" w:after="0" w:afterAutospacing="0" w:line="276" w:lineRule="auto"/>
        <w:jc w:val="both"/>
        <w:rPr>
          <w:rFonts w:ascii="Gill Sans MT" w:hAnsi="Gill Sans MT"/>
          <w:lang w:val="fr-FR"/>
        </w:rPr>
      </w:pPr>
      <w:r w:rsidRPr="005B1999">
        <w:rPr>
          <w:rFonts w:ascii="Gill Sans MT" w:hAnsi="Gill Sans MT"/>
          <w:lang w:val="fr-FR"/>
        </w:rPr>
        <w:t xml:space="preserve">Le 28 avril 2015 le SPP IS a </w:t>
      </w:r>
      <w:r w:rsidR="006603A6" w:rsidRPr="005B1999">
        <w:rPr>
          <w:rFonts w:ascii="Gill Sans MT" w:hAnsi="Gill Sans MT"/>
          <w:lang w:val="fr-FR"/>
        </w:rPr>
        <w:t xml:space="preserve">donc </w:t>
      </w:r>
      <w:r w:rsidRPr="005B1999">
        <w:rPr>
          <w:rFonts w:ascii="Gill Sans MT" w:hAnsi="Gill Sans MT"/>
          <w:lang w:val="fr-FR"/>
        </w:rPr>
        <w:t>organisé un colloque à ce sujet. Lors de cette journée, des pistes innovantes pour le futur ont été examinées et le précieux travail des nombreux bénévoles sur le terrain a été valorisé.</w:t>
      </w:r>
    </w:p>
    <w:p w14:paraId="4CA91B3B" w14:textId="77777777" w:rsidR="00A779F6" w:rsidRPr="005B1999" w:rsidRDefault="00A779F6" w:rsidP="00A3247B">
      <w:pPr>
        <w:pStyle w:val="Normaalweb"/>
        <w:spacing w:before="0" w:beforeAutospacing="0" w:after="0" w:afterAutospacing="0" w:line="276" w:lineRule="auto"/>
        <w:jc w:val="both"/>
        <w:rPr>
          <w:rFonts w:ascii="Gill Sans MT" w:hAnsi="Gill Sans MT"/>
          <w:lang w:val="fr-FR"/>
        </w:rPr>
      </w:pPr>
      <w:r w:rsidRPr="005B1999">
        <w:rPr>
          <w:rFonts w:ascii="Gill Sans MT" w:hAnsi="Gill Sans MT"/>
          <w:lang w:val="fr-FR"/>
        </w:rPr>
        <w:t>L’événement a remporté un franc succès, réunissant plus de 500 participants!</w:t>
      </w:r>
    </w:p>
    <w:p w14:paraId="0E868BAA" w14:textId="77777777" w:rsidR="00A779F6" w:rsidRPr="005B1999" w:rsidRDefault="00A779F6" w:rsidP="00A3247B">
      <w:pPr>
        <w:pStyle w:val="Normaalweb"/>
        <w:spacing w:before="0" w:beforeAutospacing="0" w:after="0" w:afterAutospacing="0" w:line="276" w:lineRule="auto"/>
        <w:jc w:val="both"/>
        <w:rPr>
          <w:rFonts w:ascii="Gill Sans MT" w:hAnsi="Gill Sans MT"/>
          <w:lang w:val="fr-FR"/>
        </w:rPr>
      </w:pPr>
      <w:r w:rsidRPr="005B1999">
        <w:rPr>
          <w:rFonts w:ascii="Gill Sans MT" w:hAnsi="Gill Sans MT"/>
          <w:lang w:val="fr-FR"/>
        </w:rPr>
        <w:t xml:space="preserve">La journée s’est organisée autour de 6 grands ateliers: </w:t>
      </w:r>
    </w:p>
    <w:p w14:paraId="5AA8BB71" w14:textId="77777777" w:rsidR="00A779F6" w:rsidRPr="005B1999" w:rsidRDefault="00A779F6" w:rsidP="00A3247B">
      <w:pPr>
        <w:pStyle w:val="Geenafstand"/>
        <w:spacing w:line="276" w:lineRule="auto"/>
        <w:rPr>
          <w:rStyle w:val="Zwaar"/>
          <w:rFonts w:ascii="Calibri Light" w:hAnsi="Calibri Light"/>
          <w:i/>
          <w:iCs/>
          <w:szCs w:val="24"/>
          <w:u w:val="single"/>
          <w:lang w:val="fr-BE"/>
        </w:rPr>
      </w:pPr>
    </w:p>
    <w:p w14:paraId="162BD138" w14:textId="77777777" w:rsidR="00A779F6" w:rsidRPr="005B1999" w:rsidRDefault="00A779F6" w:rsidP="00A3247B">
      <w:pPr>
        <w:pStyle w:val="Geenafstand"/>
        <w:numPr>
          <w:ilvl w:val="0"/>
          <w:numId w:val="21"/>
        </w:numPr>
        <w:spacing w:line="276" w:lineRule="auto"/>
        <w:rPr>
          <w:rStyle w:val="Zwaar"/>
          <w:b w:val="0"/>
          <w:bCs w:val="0"/>
          <w:iCs/>
          <w:szCs w:val="24"/>
          <w:lang w:val="fr-BE"/>
        </w:rPr>
      </w:pPr>
      <w:r w:rsidRPr="005B1999">
        <w:rPr>
          <w:rStyle w:val="Zwaar"/>
          <w:b w:val="0"/>
          <w:iCs/>
          <w:szCs w:val="24"/>
          <w:u w:val="single"/>
          <w:lang w:val="fr-BE"/>
        </w:rPr>
        <w:t>Atelier 1</w:t>
      </w:r>
      <w:r w:rsidRPr="005B1999">
        <w:rPr>
          <w:rStyle w:val="Zwaar"/>
          <w:b w:val="0"/>
          <w:iCs/>
          <w:szCs w:val="24"/>
          <w:lang w:val="fr-BE"/>
        </w:rPr>
        <w:t>: Comment l’aide matérielle peut-elle contribuer à la lutte contre la pauvreté infantile?</w:t>
      </w:r>
    </w:p>
    <w:p w14:paraId="2A060BCA" w14:textId="77777777" w:rsidR="00A779F6" w:rsidRPr="005B1999" w:rsidRDefault="00A779F6" w:rsidP="00A3247B">
      <w:pPr>
        <w:pStyle w:val="Geenafstand"/>
        <w:numPr>
          <w:ilvl w:val="0"/>
          <w:numId w:val="21"/>
        </w:numPr>
        <w:spacing w:line="276" w:lineRule="auto"/>
        <w:rPr>
          <w:rStyle w:val="Zwaar"/>
          <w:b w:val="0"/>
          <w:bCs w:val="0"/>
          <w:iCs/>
          <w:szCs w:val="24"/>
          <w:lang w:val="fr-BE"/>
        </w:rPr>
      </w:pPr>
      <w:r w:rsidRPr="005B1999">
        <w:rPr>
          <w:rStyle w:val="Zwaar"/>
          <w:b w:val="0"/>
          <w:iCs/>
          <w:szCs w:val="24"/>
          <w:u w:val="single"/>
          <w:lang w:val="fr-BE"/>
        </w:rPr>
        <w:t>Atelier 2</w:t>
      </w:r>
      <w:r w:rsidRPr="005B1999">
        <w:rPr>
          <w:rStyle w:val="Zwaar"/>
          <w:b w:val="0"/>
          <w:iCs/>
          <w:szCs w:val="24"/>
          <w:lang w:val="fr-BE"/>
        </w:rPr>
        <w:t>: L’alimentation saine et durable: bonnes pratiques et pistes pour le futur.</w:t>
      </w:r>
    </w:p>
    <w:p w14:paraId="44FF11EF" w14:textId="77777777" w:rsidR="00A779F6" w:rsidRPr="005B1999" w:rsidRDefault="00A779F6" w:rsidP="00A3247B">
      <w:pPr>
        <w:pStyle w:val="Geenafstand"/>
        <w:numPr>
          <w:ilvl w:val="0"/>
          <w:numId w:val="21"/>
        </w:numPr>
        <w:spacing w:line="276" w:lineRule="auto"/>
        <w:rPr>
          <w:rStyle w:val="Zwaar"/>
          <w:b w:val="0"/>
          <w:bCs w:val="0"/>
          <w:iCs/>
          <w:szCs w:val="24"/>
          <w:lang w:val="fr-BE"/>
        </w:rPr>
      </w:pPr>
      <w:r w:rsidRPr="005B1999">
        <w:rPr>
          <w:rStyle w:val="Zwaar"/>
          <w:b w:val="0"/>
          <w:iCs/>
          <w:szCs w:val="24"/>
          <w:u w:val="single"/>
          <w:lang w:val="fr-BE"/>
        </w:rPr>
        <w:t>Atelier 3</w:t>
      </w:r>
      <w:r w:rsidRPr="005B1999">
        <w:rPr>
          <w:rStyle w:val="Zwaar"/>
          <w:b w:val="0"/>
          <w:iCs/>
          <w:szCs w:val="24"/>
          <w:lang w:val="fr-BE"/>
        </w:rPr>
        <w:t>: L’aide alimentaire comme levier de l’innovation et de l’activation sociale.</w:t>
      </w:r>
    </w:p>
    <w:p w14:paraId="085FD798" w14:textId="5F8303AD" w:rsidR="00A779F6" w:rsidRPr="005B1999" w:rsidRDefault="00A779F6" w:rsidP="00A3247B">
      <w:pPr>
        <w:pStyle w:val="Geenafstand"/>
        <w:numPr>
          <w:ilvl w:val="0"/>
          <w:numId w:val="21"/>
        </w:numPr>
        <w:spacing w:line="276" w:lineRule="auto"/>
        <w:rPr>
          <w:rStyle w:val="Zwaar"/>
          <w:b w:val="0"/>
          <w:bCs w:val="0"/>
          <w:iCs/>
          <w:szCs w:val="24"/>
          <w:lang w:val="fr-BE"/>
        </w:rPr>
      </w:pPr>
      <w:r w:rsidRPr="005B1999">
        <w:rPr>
          <w:rStyle w:val="Zwaar"/>
          <w:b w:val="0"/>
          <w:iCs/>
          <w:szCs w:val="24"/>
          <w:u w:val="single"/>
          <w:lang w:val="fr-BE"/>
        </w:rPr>
        <w:t>Atelier</w:t>
      </w:r>
      <w:r w:rsidR="001D1BBD">
        <w:rPr>
          <w:rStyle w:val="Zwaar"/>
          <w:b w:val="0"/>
          <w:iCs/>
          <w:szCs w:val="24"/>
          <w:u w:val="single"/>
          <w:lang w:val="fr-BE"/>
        </w:rPr>
        <w:t xml:space="preserve"> </w:t>
      </w:r>
      <w:r w:rsidRPr="005B1999">
        <w:rPr>
          <w:rStyle w:val="Zwaar"/>
          <w:b w:val="0"/>
          <w:iCs/>
          <w:szCs w:val="24"/>
          <w:u w:val="single"/>
          <w:lang w:val="fr-BE"/>
        </w:rPr>
        <w:t>4:</w:t>
      </w:r>
      <w:r w:rsidRPr="005B1999">
        <w:rPr>
          <w:rStyle w:val="Zwaar"/>
          <w:b w:val="0"/>
          <w:iCs/>
          <w:szCs w:val="24"/>
          <w:lang w:val="fr-BE"/>
        </w:rPr>
        <w:t xml:space="preserve"> Le rôle des épiceries sociales et des restaurants sociaux dans l’aide alimentaire.</w:t>
      </w:r>
    </w:p>
    <w:p w14:paraId="5FDE868F" w14:textId="526A6019" w:rsidR="00A779F6" w:rsidRPr="005B1999" w:rsidRDefault="00A779F6" w:rsidP="00A3247B">
      <w:pPr>
        <w:pStyle w:val="Geenafstand"/>
        <w:numPr>
          <w:ilvl w:val="0"/>
          <w:numId w:val="21"/>
        </w:numPr>
        <w:spacing w:line="276" w:lineRule="auto"/>
        <w:rPr>
          <w:rStyle w:val="Zwaar"/>
          <w:b w:val="0"/>
          <w:bCs w:val="0"/>
          <w:iCs/>
          <w:szCs w:val="24"/>
          <w:lang w:val="fr-BE"/>
        </w:rPr>
      </w:pPr>
      <w:r w:rsidRPr="005B1999">
        <w:rPr>
          <w:rStyle w:val="Zwaar"/>
          <w:b w:val="0"/>
          <w:iCs/>
          <w:szCs w:val="24"/>
          <w:u w:val="single"/>
          <w:lang w:val="fr-BE"/>
        </w:rPr>
        <w:t>Atelier 5:</w:t>
      </w:r>
      <w:r w:rsidR="006479A4" w:rsidRPr="005B1999">
        <w:rPr>
          <w:rStyle w:val="Zwaar"/>
          <w:b w:val="0"/>
          <w:iCs/>
          <w:szCs w:val="24"/>
          <w:lang w:val="fr-BE"/>
        </w:rPr>
        <w:t> Gestion</w:t>
      </w:r>
      <w:r w:rsidRPr="005B1999">
        <w:rPr>
          <w:rStyle w:val="Zwaar"/>
          <w:b w:val="0"/>
          <w:iCs/>
          <w:szCs w:val="24"/>
          <w:lang w:val="fr-BE"/>
        </w:rPr>
        <w:t xml:space="preserve"> des surplus et gaspillage: une réflexion nécessaire.</w:t>
      </w:r>
    </w:p>
    <w:p w14:paraId="76DCF975" w14:textId="77777777" w:rsidR="00A779F6" w:rsidRPr="005B1999" w:rsidRDefault="00A779F6" w:rsidP="00A3247B">
      <w:pPr>
        <w:pStyle w:val="Geenafstand"/>
        <w:numPr>
          <w:ilvl w:val="0"/>
          <w:numId w:val="21"/>
        </w:numPr>
        <w:spacing w:line="276" w:lineRule="auto"/>
        <w:rPr>
          <w:rStyle w:val="Zwaar"/>
          <w:b w:val="0"/>
          <w:bCs w:val="0"/>
          <w:iCs/>
          <w:szCs w:val="24"/>
          <w:lang w:val="fr-BE"/>
        </w:rPr>
      </w:pPr>
      <w:r w:rsidRPr="005B1999">
        <w:rPr>
          <w:rStyle w:val="Zwaar"/>
          <w:b w:val="0"/>
          <w:iCs/>
          <w:szCs w:val="24"/>
          <w:u w:val="single"/>
          <w:lang w:val="fr-BE"/>
        </w:rPr>
        <w:t>Atelier 6</w:t>
      </w:r>
      <w:r w:rsidRPr="005B1999">
        <w:rPr>
          <w:rStyle w:val="Zwaar"/>
          <w:b w:val="0"/>
          <w:iCs/>
          <w:szCs w:val="24"/>
          <w:lang w:val="fr-BE"/>
        </w:rPr>
        <w:t>: Améliorer l’efficacité pour atteindre les groupes cibles: la question de la logistique.</w:t>
      </w:r>
    </w:p>
    <w:p w14:paraId="165AF1B8" w14:textId="77777777" w:rsidR="00A779F6" w:rsidRPr="005B1999" w:rsidRDefault="00A779F6" w:rsidP="00A3247B">
      <w:pPr>
        <w:spacing w:after="0"/>
        <w:rPr>
          <w:szCs w:val="24"/>
          <w:lang w:val="fr-BE"/>
        </w:rPr>
      </w:pPr>
    </w:p>
    <w:p w14:paraId="39F7EF32" w14:textId="77777777" w:rsidR="00A779F6" w:rsidRPr="005B1999" w:rsidRDefault="00A779F6" w:rsidP="00A3247B">
      <w:pPr>
        <w:spacing w:after="0"/>
        <w:rPr>
          <w:szCs w:val="24"/>
        </w:rPr>
      </w:pPr>
      <w:r w:rsidRPr="005B1999">
        <w:rPr>
          <w:szCs w:val="24"/>
        </w:rPr>
        <w:t>Au sein de ces groupes de travail interactifs, les participants ont eu la possibilité de faire part de leurs expériences et de donner leur point de vue. Tout ceci a permis d’envisager des pistes innovantes pour l’avenir.</w:t>
      </w:r>
    </w:p>
    <w:p w14:paraId="1EB8D0C3" w14:textId="77777777" w:rsidR="006603A6" w:rsidRPr="005B1999" w:rsidRDefault="006603A6" w:rsidP="00A3247B">
      <w:pPr>
        <w:spacing w:after="0"/>
        <w:rPr>
          <w:rFonts w:ascii="Calibri" w:hAnsi="Calibri"/>
          <w:szCs w:val="24"/>
          <w:lang w:val="fr-BE"/>
        </w:rPr>
      </w:pPr>
    </w:p>
    <w:p w14:paraId="77A01259" w14:textId="2C50F265" w:rsidR="00A779F6" w:rsidRPr="005B1999" w:rsidRDefault="00A779F6" w:rsidP="00A3247B">
      <w:pPr>
        <w:spacing w:after="0"/>
        <w:rPr>
          <w:szCs w:val="24"/>
          <w:lang w:val="fr-BE"/>
        </w:rPr>
      </w:pPr>
      <w:r w:rsidRPr="005B1999">
        <w:rPr>
          <w:szCs w:val="24"/>
          <w:lang w:val="fr-BE"/>
        </w:rPr>
        <w:lastRenderedPageBreak/>
        <w:t xml:space="preserve">Les conclusions de la journée ont été formulées en présence de Sa Majesté la Reine Mathilde. Le fait que le FEAD ne ressort plus de la politique agricole, mais de la politique sociale est </w:t>
      </w:r>
      <w:r w:rsidR="00532856" w:rsidRPr="005B1999">
        <w:rPr>
          <w:szCs w:val="24"/>
          <w:lang w:val="fr-BE"/>
        </w:rPr>
        <w:t>considéré comme un</w:t>
      </w:r>
      <w:r w:rsidRPr="005B1999">
        <w:rPr>
          <w:szCs w:val="24"/>
          <w:lang w:val="fr-BE"/>
        </w:rPr>
        <w:t xml:space="preserve"> tournant. L’aide alimentaire devient plus que de la charité; c’est le début de l’aide alimentaire 2.0. </w:t>
      </w:r>
    </w:p>
    <w:p w14:paraId="332D83A9" w14:textId="77777777" w:rsidR="006603A6" w:rsidRPr="005B1999" w:rsidRDefault="006603A6" w:rsidP="00A3247B">
      <w:pPr>
        <w:spacing w:after="0"/>
        <w:rPr>
          <w:szCs w:val="24"/>
          <w:lang w:val="fr-BE"/>
        </w:rPr>
      </w:pPr>
    </w:p>
    <w:p w14:paraId="52ECE195" w14:textId="77777777" w:rsidR="00A779F6" w:rsidRPr="005B1999" w:rsidRDefault="00A779F6" w:rsidP="00A3247B">
      <w:pPr>
        <w:spacing w:after="0"/>
        <w:rPr>
          <w:szCs w:val="24"/>
          <w:lang w:val="fr-BE"/>
        </w:rPr>
      </w:pPr>
      <w:r w:rsidRPr="005B1999">
        <w:rPr>
          <w:szCs w:val="24"/>
          <w:lang w:val="fr-BE"/>
        </w:rPr>
        <w:t xml:space="preserve">Si l’aide alimentaire ne peut remplacer une politique structurelle en matière de pauvreté, elle peut servir de passerelle vers une activation et une inclusion sociale. Les participants ont également évoqué l’aide matérielle, possible depuis la création du FEAD, en tant que nouvel instrument de lutte contre la pauvreté infantile. </w:t>
      </w:r>
    </w:p>
    <w:p w14:paraId="6496F7B4" w14:textId="77777777" w:rsidR="00A779F6" w:rsidRPr="005B1999" w:rsidRDefault="00A779F6" w:rsidP="00A3247B">
      <w:pPr>
        <w:spacing w:after="0"/>
        <w:rPr>
          <w:szCs w:val="24"/>
          <w:lang w:val="fr-BE"/>
        </w:rPr>
      </w:pPr>
      <w:r w:rsidRPr="005B1999">
        <w:rPr>
          <w:szCs w:val="24"/>
          <w:lang w:val="fr-BE"/>
        </w:rPr>
        <w:t>Parmi les autres sujets abordés, citons notamment l’importance de la sensibilisation à une alimentation saine et équilibrée, la problématique du gaspillage et des pertes alimentaires, le problème logistique du transport et de l’infrastructure, …</w:t>
      </w:r>
    </w:p>
    <w:p w14:paraId="0EA9A7C9" w14:textId="77777777" w:rsidR="00A779F6" w:rsidRPr="005B1999" w:rsidRDefault="00A779F6" w:rsidP="00A3247B">
      <w:pPr>
        <w:spacing w:after="0"/>
        <w:rPr>
          <w:szCs w:val="24"/>
          <w:lang w:val="fr-BE"/>
        </w:rPr>
      </w:pPr>
      <w:r w:rsidRPr="005B1999">
        <w:rPr>
          <w:szCs w:val="24"/>
          <w:lang w:val="fr-BE"/>
        </w:rPr>
        <w:t xml:space="preserve">Les efforts, la créativité et l’enthousiasme de tous ceux qui s’investissent en faveur des plus démunis seront la clé de l’avenir de l’aide alimentaire. </w:t>
      </w:r>
    </w:p>
    <w:p w14:paraId="1D967302" w14:textId="77777777" w:rsidR="00A779F6" w:rsidRPr="005B1999" w:rsidRDefault="00A779F6" w:rsidP="00A3247B">
      <w:pPr>
        <w:spacing w:after="0"/>
        <w:rPr>
          <w:szCs w:val="24"/>
          <w:lang w:val="fr-BE"/>
        </w:rPr>
      </w:pPr>
    </w:p>
    <w:p w14:paraId="52024EE1" w14:textId="735B5799" w:rsidR="004F72FC" w:rsidRDefault="00A779F6" w:rsidP="005B1999">
      <w:pPr>
        <w:spacing w:after="0"/>
        <w:rPr>
          <w:szCs w:val="24"/>
        </w:rPr>
      </w:pPr>
      <w:r w:rsidRPr="005B1999">
        <w:rPr>
          <w:szCs w:val="24"/>
          <w:lang w:val="fr-BE"/>
        </w:rPr>
        <w:t>L</w:t>
      </w:r>
      <w:r w:rsidRPr="005B1999">
        <w:rPr>
          <w:szCs w:val="24"/>
        </w:rPr>
        <w:t>e logo de l'Union européenne a été représenté sur toutes les communications concernant ce colloque, avec la mention «Avec le soutien de l'Union européenne – le Fonds pour l'aid</w:t>
      </w:r>
      <w:r w:rsidR="005B1999">
        <w:rPr>
          <w:szCs w:val="24"/>
        </w:rPr>
        <w:t>e européenne aux plus démunis».</w:t>
      </w:r>
    </w:p>
    <w:p w14:paraId="123C8D95" w14:textId="77777777" w:rsidR="005B1999" w:rsidRPr="005B1999" w:rsidRDefault="005B1999" w:rsidP="005B1999">
      <w:pPr>
        <w:spacing w:after="0"/>
        <w:rPr>
          <w:szCs w:val="24"/>
        </w:rPr>
      </w:pPr>
    </w:p>
    <w:p w14:paraId="121A0AB2" w14:textId="77777777" w:rsidR="001F4523" w:rsidRPr="00561339" w:rsidRDefault="00B43A07" w:rsidP="00A3247B">
      <w:pPr>
        <w:pStyle w:val="Lijstalinea"/>
        <w:numPr>
          <w:ilvl w:val="3"/>
          <w:numId w:val="2"/>
        </w:numPr>
      </w:pPr>
      <w:r w:rsidRPr="00561339">
        <w:t xml:space="preserve">Lettre d’information FEAD </w:t>
      </w:r>
    </w:p>
    <w:p w14:paraId="0C1914BA" w14:textId="2CB6F8EC" w:rsidR="00907BF6" w:rsidRPr="00DA0446" w:rsidRDefault="00907BF6" w:rsidP="00A3247B">
      <w:pPr>
        <w:rPr>
          <w:lang w:val="fr-BE"/>
        </w:rPr>
      </w:pPr>
      <w:r w:rsidRPr="005B1999">
        <w:rPr>
          <w:lang w:val="fr-BE"/>
        </w:rPr>
        <w:t xml:space="preserve">Suite au colloque que nous avons organisé le 28/04/2015 sur le futur de l’aide alimentaire en Belgique, nous avons constaté la nécessité </w:t>
      </w:r>
      <w:r w:rsidR="004F72FC" w:rsidRPr="005B1999">
        <w:rPr>
          <w:lang w:val="fr-BE"/>
        </w:rPr>
        <w:t>de mettre en place</w:t>
      </w:r>
      <w:r w:rsidRPr="005B1999">
        <w:rPr>
          <w:lang w:val="fr-BE"/>
        </w:rPr>
        <w:t xml:space="preserve"> une communication plus spécifique pour les organisations actives dans le cadre du FEAD. </w:t>
      </w:r>
    </w:p>
    <w:p w14:paraId="393CD0AE" w14:textId="5ABBF83A" w:rsidR="004E1C90" w:rsidRPr="00DA0446" w:rsidRDefault="00907BF6" w:rsidP="00A3247B">
      <w:pPr>
        <w:rPr>
          <w:lang w:val="fr-BE"/>
        </w:rPr>
      </w:pPr>
      <w:r w:rsidRPr="00DA0446">
        <w:rPr>
          <w:lang w:val="fr-BE"/>
        </w:rPr>
        <w:t>Il a donc été décidé d’envoyer mensuellement une lettre d’information</w:t>
      </w:r>
      <w:r w:rsidR="00D241E4" w:rsidRPr="00DA0446">
        <w:rPr>
          <w:lang w:val="fr-BE"/>
        </w:rPr>
        <w:t xml:space="preserve"> électronique</w:t>
      </w:r>
      <w:r w:rsidRPr="00DA0446">
        <w:rPr>
          <w:lang w:val="fr-BE"/>
        </w:rPr>
        <w:t xml:space="preserve"> FEA</w:t>
      </w:r>
      <w:r w:rsidR="0029495A" w:rsidRPr="00DA0446">
        <w:rPr>
          <w:lang w:val="fr-BE"/>
        </w:rPr>
        <w:t>D</w:t>
      </w:r>
      <w:r w:rsidRPr="00DA0446">
        <w:rPr>
          <w:lang w:val="fr-BE"/>
        </w:rPr>
        <w:t xml:space="preserve"> à toutes les organisations et CPAS qui sont agréés – ou à toute personne présentant un intérêt pour le FEAD. Nous utilisons pour cela les adresses mails répertoriées dans notre bases de données.</w:t>
      </w:r>
    </w:p>
    <w:p w14:paraId="6D1E6406" w14:textId="77777777" w:rsidR="00513F56" w:rsidRPr="005B1999" w:rsidRDefault="00513F56" w:rsidP="00A3247B">
      <w:pPr>
        <w:rPr>
          <w:lang w:val="fr-BE"/>
        </w:rPr>
      </w:pPr>
      <w:r w:rsidRPr="005B1999">
        <w:rPr>
          <w:lang w:val="fr-BE"/>
        </w:rPr>
        <w:t xml:space="preserve">La lettre d’information est envoyée à environ 1700 adresses chaque mois. </w:t>
      </w:r>
      <w:r w:rsidR="004D6A7B" w:rsidRPr="005B1999">
        <w:rPr>
          <w:lang w:val="fr-BE"/>
        </w:rPr>
        <w:t>La première lettre a été envoyée le 20/11/2015.</w:t>
      </w:r>
    </w:p>
    <w:p w14:paraId="41F01897" w14:textId="77777777" w:rsidR="004D6A7B" w:rsidRPr="005B1999" w:rsidRDefault="004D6A7B" w:rsidP="00A3247B">
      <w:pPr>
        <w:rPr>
          <w:lang w:val="fr-BE"/>
        </w:rPr>
      </w:pPr>
      <w:r w:rsidRPr="005B1999">
        <w:rPr>
          <w:lang w:val="fr-BE"/>
        </w:rPr>
        <w:t>Les résultats sont bons pour les envois (taux d’ouverture des lettres dépassant les 61 %) et le nombr</w:t>
      </w:r>
      <w:r w:rsidR="000A07C5" w:rsidRPr="005B1999">
        <w:rPr>
          <w:lang w:val="fr-BE"/>
        </w:rPr>
        <w:t>e de ‘</w:t>
      </w:r>
      <w:proofErr w:type="spellStart"/>
      <w:r w:rsidR="000A07C5" w:rsidRPr="005B1999">
        <w:rPr>
          <w:lang w:val="fr-BE"/>
        </w:rPr>
        <w:t>bounces</w:t>
      </w:r>
      <w:proofErr w:type="spellEnd"/>
      <w:r w:rsidR="000A07C5" w:rsidRPr="005B1999">
        <w:rPr>
          <w:lang w:val="fr-BE"/>
        </w:rPr>
        <w:t>’ est limité (1.70</w:t>
      </w:r>
      <w:r w:rsidRPr="005B1999">
        <w:rPr>
          <w:lang w:val="fr-BE"/>
        </w:rPr>
        <w:t>%).</w:t>
      </w:r>
    </w:p>
    <w:p w14:paraId="32EC2D9A" w14:textId="73FBFE9E" w:rsidR="00646AE9" w:rsidRPr="005B1999" w:rsidRDefault="004D6A7B" w:rsidP="00A3247B">
      <w:pPr>
        <w:rPr>
          <w:lang w:val="fr-BE"/>
        </w:rPr>
      </w:pPr>
      <w:r w:rsidRPr="005B1999">
        <w:rPr>
          <w:lang w:val="fr-BE"/>
        </w:rPr>
        <w:t xml:space="preserve">Les thèmes abordés </w:t>
      </w:r>
      <w:r w:rsidR="00532856" w:rsidRPr="005B1999">
        <w:rPr>
          <w:lang w:val="fr-BE"/>
        </w:rPr>
        <w:t>d</w:t>
      </w:r>
      <w:r w:rsidRPr="005B1999">
        <w:rPr>
          <w:lang w:val="fr-BE"/>
        </w:rPr>
        <w:t>ans les lettres d’information sont variés</w:t>
      </w:r>
      <w:r w:rsidR="00646AE9" w:rsidRPr="005B1999">
        <w:rPr>
          <w:lang w:val="fr-BE"/>
        </w:rPr>
        <w:t xml:space="preserve"> et s’adaptent en fonction des besoins : informations pratiques sur les commandes, initiatives intéressantes</w:t>
      </w:r>
      <w:r w:rsidR="00D077C2" w:rsidRPr="005B1999">
        <w:rPr>
          <w:lang w:val="fr-BE"/>
        </w:rPr>
        <w:t xml:space="preserve"> à promouvoir</w:t>
      </w:r>
      <w:r w:rsidR="00646AE9" w:rsidRPr="005B1999">
        <w:rPr>
          <w:lang w:val="fr-BE"/>
        </w:rPr>
        <w:t xml:space="preserve">, rappels relatifs au règlement, etc. Les lettres d’information offrent </w:t>
      </w:r>
      <w:r w:rsidR="00D077C2" w:rsidRPr="005B1999">
        <w:rPr>
          <w:lang w:val="fr-BE"/>
        </w:rPr>
        <w:t xml:space="preserve">par ailleurs </w:t>
      </w:r>
      <w:r w:rsidR="00646AE9" w:rsidRPr="005B1999">
        <w:rPr>
          <w:lang w:val="fr-BE"/>
        </w:rPr>
        <w:t xml:space="preserve">l’occasion à l’AG de faire des rappels </w:t>
      </w:r>
      <w:r w:rsidR="0028522B" w:rsidRPr="005B1999">
        <w:rPr>
          <w:lang w:val="fr-BE"/>
        </w:rPr>
        <w:t>de dispositions importantes</w:t>
      </w:r>
      <w:r w:rsidR="000A07C5" w:rsidRPr="005B1999">
        <w:rPr>
          <w:lang w:val="fr-BE"/>
        </w:rPr>
        <w:t>: «</w:t>
      </w:r>
      <w:proofErr w:type="spellStart"/>
      <w:r w:rsidR="000A07C5" w:rsidRPr="005B1999">
        <w:rPr>
          <w:lang w:val="fr-BE"/>
        </w:rPr>
        <w:t>gender</w:t>
      </w:r>
      <w:proofErr w:type="spellEnd"/>
      <w:r w:rsidR="00646AE9" w:rsidRPr="005B1999">
        <w:rPr>
          <w:lang w:val="fr-BE"/>
        </w:rPr>
        <w:t>», bénéficiaires de l’assistance FEAD, dispositions en terme</w:t>
      </w:r>
      <w:r w:rsidR="00D077C2" w:rsidRPr="005B1999">
        <w:rPr>
          <w:lang w:val="fr-BE"/>
        </w:rPr>
        <w:t>s</w:t>
      </w:r>
      <w:r w:rsidR="00646AE9" w:rsidRPr="005B1999">
        <w:rPr>
          <w:lang w:val="fr-BE"/>
        </w:rPr>
        <w:t xml:space="preserve"> de communication, etc. </w:t>
      </w:r>
    </w:p>
    <w:p w14:paraId="5B57A9EE" w14:textId="3810507E" w:rsidR="00D077C2" w:rsidRDefault="00646AE9" w:rsidP="00A3247B">
      <w:pPr>
        <w:rPr>
          <w:lang w:val="fr-BE"/>
        </w:rPr>
      </w:pPr>
      <w:r w:rsidRPr="005B1999">
        <w:rPr>
          <w:lang w:val="fr-BE"/>
        </w:rPr>
        <w:t>Un système de suivi a été mis en place par l’AG pour le suivi des thèmes abordés.</w:t>
      </w:r>
    </w:p>
    <w:p w14:paraId="733F4AC0" w14:textId="77777777" w:rsidR="00CB7EC7" w:rsidRDefault="00CB7EC7" w:rsidP="00A3247B">
      <w:pPr>
        <w:rPr>
          <w:lang w:val="fr-BE"/>
        </w:rPr>
      </w:pPr>
    </w:p>
    <w:p w14:paraId="34CFA411" w14:textId="05FB32E7" w:rsidR="008617D4" w:rsidRDefault="00302054" w:rsidP="00A3247B">
      <w:pPr>
        <w:pStyle w:val="Kop3"/>
        <w:numPr>
          <w:ilvl w:val="2"/>
          <w:numId w:val="2"/>
        </w:numPr>
        <w:spacing w:after="240" w:line="276" w:lineRule="auto"/>
      </w:pPr>
      <w:bookmarkStart w:id="22" w:name="_Toc422390656"/>
      <w:bookmarkStart w:id="23" w:name="_Toc454974434"/>
      <w:r w:rsidRPr="00407488">
        <w:lastRenderedPageBreak/>
        <w:t>Optimisation du système actuel et préparations pour l'année 201</w:t>
      </w:r>
      <w:bookmarkEnd w:id="22"/>
      <w:r w:rsidR="00532856">
        <w:t>6</w:t>
      </w:r>
      <w:bookmarkEnd w:id="23"/>
    </w:p>
    <w:p w14:paraId="1CD5FB4B" w14:textId="16021E1E" w:rsidR="00A2001F" w:rsidRPr="00DA0446" w:rsidRDefault="00A2001F" w:rsidP="00A3247B">
      <w:pPr>
        <w:rPr>
          <w:lang w:val="fr-BE"/>
        </w:rPr>
      </w:pPr>
      <w:r w:rsidRPr="005B1999">
        <w:rPr>
          <w:lang w:val="fr-BE"/>
        </w:rPr>
        <w:t>Le SPP IS cherche constamment à concevoir des solutions budgétaires afin de structurer l'aide matérielle destinée aux enfants vivant dans des situations de pauvr</w:t>
      </w:r>
      <w:r w:rsidR="00AE5F00" w:rsidRPr="005B1999">
        <w:rPr>
          <w:lang w:val="fr-BE"/>
        </w:rPr>
        <w:t>eté tel que spécifié dans le PO.</w:t>
      </w:r>
    </w:p>
    <w:p w14:paraId="58161AED" w14:textId="555AA6BF" w:rsidR="00A2001F" w:rsidRPr="00DA0446" w:rsidRDefault="00A2001F" w:rsidP="00A3247B">
      <w:pPr>
        <w:rPr>
          <w:lang w:val="fr-BE"/>
        </w:rPr>
      </w:pPr>
      <w:r w:rsidRPr="00DA0446">
        <w:rPr>
          <w:lang w:val="fr-BE"/>
        </w:rPr>
        <w:t xml:space="preserve">En 2015, lors du contrôle budgétaire, </w:t>
      </w:r>
      <w:r w:rsidR="00CB7EC7" w:rsidRPr="00DA0446">
        <w:rPr>
          <w:lang w:val="fr-BE"/>
        </w:rPr>
        <w:t>des ressources</w:t>
      </w:r>
      <w:r w:rsidRPr="00DA0446">
        <w:rPr>
          <w:lang w:val="fr-BE"/>
        </w:rPr>
        <w:t xml:space="preserve"> belge</w:t>
      </w:r>
      <w:r w:rsidR="00CB7EC7" w:rsidRPr="00DA0446">
        <w:rPr>
          <w:lang w:val="fr-BE"/>
        </w:rPr>
        <w:t>s</w:t>
      </w:r>
      <w:r w:rsidRPr="00DA0446">
        <w:rPr>
          <w:lang w:val="fr-BE"/>
        </w:rPr>
        <w:t xml:space="preserve"> </w:t>
      </w:r>
      <w:r w:rsidR="00AE5F00" w:rsidRPr="00DA0446">
        <w:rPr>
          <w:lang w:val="fr-BE"/>
        </w:rPr>
        <w:t xml:space="preserve">supplémentaire </w:t>
      </w:r>
      <w:r w:rsidR="00CB7EC7" w:rsidRPr="00DA0446">
        <w:rPr>
          <w:lang w:val="fr-BE"/>
        </w:rPr>
        <w:t>ont</w:t>
      </w:r>
      <w:r w:rsidR="00AE5F00" w:rsidRPr="00DA0446">
        <w:rPr>
          <w:lang w:val="fr-BE"/>
        </w:rPr>
        <w:t xml:space="preserve"> pu être obtenu</w:t>
      </w:r>
      <w:r w:rsidR="00CB7EC7" w:rsidRPr="00DA0446">
        <w:rPr>
          <w:lang w:val="fr-BE"/>
        </w:rPr>
        <w:t>es</w:t>
      </w:r>
      <w:r w:rsidR="00AE5F00" w:rsidRPr="00DA0446">
        <w:rPr>
          <w:lang w:val="fr-BE"/>
        </w:rPr>
        <w:t xml:space="preserve"> </w:t>
      </w:r>
      <w:r w:rsidRPr="00DA0446">
        <w:rPr>
          <w:lang w:val="fr-BE"/>
        </w:rPr>
        <w:t xml:space="preserve">et un budget de </w:t>
      </w:r>
      <w:r w:rsidR="00AE5F00" w:rsidRPr="00DA0446">
        <w:rPr>
          <w:lang w:val="fr-BE"/>
        </w:rPr>
        <w:t>477.950,00</w:t>
      </w:r>
      <w:r w:rsidRPr="00DA0446">
        <w:rPr>
          <w:lang w:val="fr-BE"/>
        </w:rPr>
        <w:t xml:space="preserve">€ a donc pu être utilisé pour de l’aide </w:t>
      </w:r>
      <w:r w:rsidR="00A60713" w:rsidRPr="00DA0446">
        <w:rPr>
          <w:lang w:val="fr-BE"/>
        </w:rPr>
        <w:t>non-alimentaire</w:t>
      </w:r>
      <w:r w:rsidRPr="00DA0446">
        <w:rPr>
          <w:lang w:val="fr-BE"/>
        </w:rPr>
        <w:t>.</w:t>
      </w:r>
    </w:p>
    <w:p w14:paraId="6313D627" w14:textId="43854669" w:rsidR="00A2001F" w:rsidRPr="00DA0446" w:rsidRDefault="00A2001F" w:rsidP="00A3247B">
      <w:pPr>
        <w:rPr>
          <w:lang w:val="fr-BE"/>
        </w:rPr>
      </w:pPr>
      <w:r w:rsidRPr="00DA0446">
        <w:rPr>
          <w:lang w:val="fr-BE"/>
        </w:rPr>
        <w:t xml:space="preserve">Après avoir consulté le secteur concernant le choix des produits, </w:t>
      </w:r>
      <w:r w:rsidR="004F72FC" w:rsidRPr="00DA0446">
        <w:rPr>
          <w:lang w:val="fr-BE"/>
        </w:rPr>
        <w:t>deux</w:t>
      </w:r>
      <w:r w:rsidRPr="00DA0446">
        <w:rPr>
          <w:lang w:val="fr-BE"/>
        </w:rPr>
        <w:t xml:space="preserve"> appel</w:t>
      </w:r>
      <w:r w:rsidR="00AE5F00" w:rsidRPr="00DA0446">
        <w:rPr>
          <w:lang w:val="fr-BE"/>
        </w:rPr>
        <w:t>s</w:t>
      </w:r>
      <w:r w:rsidRPr="00DA0446">
        <w:rPr>
          <w:lang w:val="fr-BE"/>
        </w:rPr>
        <w:t xml:space="preserve"> à </w:t>
      </w:r>
      <w:proofErr w:type="spellStart"/>
      <w:r w:rsidRPr="00DA0446">
        <w:rPr>
          <w:lang w:val="fr-BE"/>
        </w:rPr>
        <w:t>marché</w:t>
      </w:r>
      <w:proofErr w:type="spellEnd"/>
      <w:r w:rsidRPr="00DA0446">
        <w:rPr>
          <w:lang w:val="fr-BE"/>
        </w:rPr>
        <w:t xml:space="preserve"> </w:t>
      </w:r>
      <w:r w:rsidR="00AE5F00" w:rsidRPr="00DA0446">
        <w:rPr>
          <w:lang w:val="fr-BE"/>
        </w:rPr>
        <w:t>ont</w:t>
      </w:r>
      <w:r w:rsidRPr="00DA0446">
        <w:rPr>
          <w:lang w:val="fr-BE"/>
        </w:rPr>
        <w:t xml:space="preserve"> pu être lancé</w:t>
      </w:r>
      <w:r w:rsidR="006603A6" w:rsidRPr="00DA0446">
        <w:rPr>
          <w:lang w:val="fr-BE"/>
        </w:rPr>
        <w:t>s</w:t>
      </w:r>
      <w:r w:rsidRPr="00DA0446">
        <w:rPr>
          <w:lang w:val="fr-BE"/>
        </w:rPr>
        <w:t xml:space="preserve"> </w:t>
      </w:r>
      <w:r w:rsidR="00AE5F00" w:rsidRPr="00DA0446">
        <w:rPr>
          <w:lang w:val="fr-BE"/>
        </w:rPr>
        <w:t xml:space="preserve">en octobre/novembre 2015 et </w:t>
      </w:r>
      <w:r w:rsidR="0028522B" w:rsidRPr="00DA0446">
        <w:rPr>
          <w:lang w:val="fr-BE"/>
        </w:rPr>
        <w:t>ont</w:t>
      </w:r>
      <w:r w:rsidR="00AE5F00" w:rsidRPr="00DA0446">
        <w:rPr>
          <w:lang w:val="fr-BE"/>
        </w:rPr>
        <w:t xml:space="preserve"> servi à acheter</w:t>
      </w:r>
      <w:r w:rsidRPr="00DA0446">
        <w:rPr>
          <w:lang w:val="fr-BE"/>
        </w:rPr>
        <w:t>:</w:t>
      </w:r>
    </w:p>
    <w:p w14:paraId="0B0B9121" w14:textId="2D93CC87" w:rsidR="00A2001F" w:rsidRPr="00DA0446" w:rsidRDefault="00A2001F" w:rsidP="00A3247B">
      <w:pPr>
        <w:pStyle w:val="Lijstalinea"/>
        <w:numPr>
          <w:ilvl w:val="0"/>
          <w:numId w:val="21"/>
        </w:numPr>
        <w:rPr>
          <w:lang w:val="fr-BE"/>
        </w:rPr>
      </w:pPr>
      <w:r w:rsidRPr="00DA0446">
        <w:rPr>
          <w:lang w:val="fr-BE"/>
        </w:rPr>
        <w:t>Des couches jetables pour bébés (4-9 kilos et 7-18 kilos) : 1.208.723 unités</w:t>
      </w:r>
      <w:r w:rsidR="0064695E" w:rsidRPr="00DA0446">
        <w:rPr>
          <w:lang w:val="fr-BE"/>
        </w:rPr>
        <w:t> ;</w:t>
      </w:r>
    </w:p>
    <w:p w14:paraId="55CB553C" w14:textId="77777777" w:rsidR="00A2001F" w:rsidRPr="005B1999" w:rsidRDefault="00A2001F" w:rsidP="00A3247B">
      <w:pPr>
        <w:pStyle w:val="Lijstalinea"/>
        <w:numPr>
          <w:ilvl w:val="0"/>
          <w:numId w:val="21"/>
        </w:numPr>
        <w:rPr>
          <w:lang w:val="fr-BE"/>
        </w:rPr>
      </w:pPr>
      <w:r w:rsidRPr="00DA0446">
        <w:rPr>
          <w:lang w:val="fr-BE"/>
        </w:rPr>
        <w:t xml:space="preserve">Des kits d’hygiène pour hommes et pour femmes : 35.000 </w:t>
      </w:r>
      <w:r w:rsidRPr="005B1999">
        <w:rPr>
          <w:lang w:val="fr-BE"/>
        </w:rPr>
        <w:t>unités.</w:t>
      </w:r>
    </w:p>
    <w:p w14:paraId="7491CC1D" w14:textId="77777777" w:rsidR="00A2001F" w:rsidRPr="005B1999" w:rsidRDefault="00A2001F" w:rsidP="00A3247B">
      <w:pPr>
        <w:rPr>
          <w:lang w:val="fr-BE"/>
        </w:rPr>
      </w:pPr>
      <w:r w:rsidRPr="005B1999">
        <w:rPr>
          <w:lang w:val="fr-BE"/>
        </w:rPr>
        <w:t xml:space="preserve">Le marché concernant les couchez jetables a été gagné par la société </w:t>
      </w:r>
      <w:proofErr w:type="spellStart"/>
      <w:r w:rsidRPr="005B1999">
        <w:rPr>
          <w:lang w:val="fr-BE"/>
        </w:rPr>
        <w:t>Ontex</w:t>
      </w:r>
      <w:proofErr w:type="spellEnd"/>
      <w:r w:rsidRPr="005B1999">
        <w:rPr>
          <w:lang w:val="fr-BE"/>
        </w:rPr>
        <w:t xml:space="preserve"> (BE) et celui concernant les kits d’hygiène par la société Boma (BE).</w:t>
      </w:r>
    </w:p>
    <w:p w14:paraId="18507544" w14:textId="77777777" w:rsidR="00A2001F" w:rsidRPr="005B1999" w:rsidRDefault="00CB581B" w:rsidP="00A3247B">
      <w:pPr>
        <w:rPr>
          <w:lang w:val="fr-BE"/>
        </w:rPr>
      </w:pPr>
      <w:r w:rsidRPr="005B1999">
        <w:rPr>
          <w:lang w:val="fr-BE"/>
        </w:rPr>
        <w:t>Ces produits ont été extrêmement appréciés par les organisations partenaires agréées. La demande a de loin dépassé l’offre.</w:t>
      </w:r>
    </w:p>
    <w:p w14:paraId="61AF6793" w14:textId="0019165C" w:rsidR="00CB581B" w:rsidRPr="005B1999" w:rsidRDefault="00CB581B" w:rsidP="00A3247B">
      <w:pPr>
        <w:rPr>
          <w:lang w:val="fr-BE"/>
        </w:rPr>
      </w:pPr>
      <w:r w:rsidRPr="005B1999">
        <w:rPr>
          <w:lang w:val="fr-BE"/>
        </w:rPr>
        <w:t>Le processus de consultation avec les principaux secteurs de l’aide alimentaire continue. Ces réunions rentrent dans le cadre du processus d’amélioration et d’optimisation constante. En 2015, les consultations ont été organisées tous les deux/trois mois invitant tous les principaux acteurs de l’aide alimentaire en Belgique :</w:t>
      </w:r>
      <w:r w:rsidR="007D60E8" w:rsidRPr="005B1999">
        <w:rPr>
          <w:lang w:val="fr-BE"/>
        </w:rPr>
        <w:t xml:space="preserve"> la Fédération belge des Banques alimentaires, la Croix-Rouge, la Fédération des Services Sociaux (FDSS), le Réseau belge de Lutte contre la Pauvreté (BAPN), les associations des villes et communes</w:t>
      </w:r>
      <w:r w:rsidR="00BB6C89" w:rsidRPr="005B1999">
        <w:rPr>
          <w:lang w:val="fr-BE"/>
        </w:rPr>
        <w:t xml:space="preserve">, </w:t>
      </w:r>
      <w:proofErr w:type="spellStart"/>
      <w:r w:rsidR="00BB6C89" w:rsidRPr="005B1999">
        <w:rPr>
          <w:lang w:val="fr-BE"/>
        </w:rPr>
        <w:t>Komosie</w:t>
      </w:r>
      <w:proofErr w:type="spellEnd"/>
      <w:r w:rsidR="00BB6C89" w:rsidRPr="005B1999">
        <w:rPr>
          <w:lang w:val="fr-BE"/>
        </w:rPr>
        <w:t>, Level IT</w:t>
      </w:r>
      <w:r w:rsidR="007D60E8" w:rsidRPr="005B1999">
        <w:rPr>
          <w:lang w:val="fr-BE"/>
        </w:rPr>
        <w:t xml:space="preserve"> et plusieurs experts du vécu de la pauvreté et de l'exclusion sociale.</w:t>
      </w:r>
      <w:r w:rsidRPr="005B1999">
        <w:rPr>
          <w:lang w:val="fr-BE"/>
        </w:rPr>
        <w:t xml:space="preserve"> </w:t>
      </w:r>
    </w:p>
    <w:p w14:paraId="2125633F" w14:textId="0F8FD395" w:rsidR="00CB581B" w:rsidRPr="005B1999" w:rsidRDefault="00CB581B" w:rsidP="00A3247B">
      <w:pPr>
        <w:rPr>
          <w:lang w:val="fr-BE"/>
        </w:rPr>
      </w:pPr>
      <w:r w:rsidRPr="005B1999">
        <w:rPr>
          <w:lang w:val="fr-BE"/>
        </w:rPr>
        <w:t>En 2015, 6 réunions du groupe de réflexion ont eu lieu aux dates s</w:t>
      </w:r>
      <w:r w:rsidR="00AE5F00" w:rsidRPr="005B1999">
        <w:rPr>
          <w:lang w:val="fr-BE"/>
        </w:rPr>
        <w:t>uivantes</w:t>
      </w:r>
      <w:r w:rsidRPr="005B1999">
        <w:rPr>
          <w:lang w:val="fr-BE"/>
        </w:rPr>
        <w:t>: 16/01/2015, 27/02/2015, 13/05/2015, 02/07/2015, 30/09/2015 et le 11/12/2015.</w:t>
      </w:r>
    </w:p>
    <w:p w14:paraId="4EADF527" w14:textId="5FEB019D" w:rsidR="000A5DE6" w:rsidRPr="005B1999" w:rsidRDefault="00CB581B" w:rsidP="005B1999">
      <w:pPr>
        <w:rPr>
          <w:lang w:val="fr-BE"/>
        </w:rPr>
      </w:pPr>
      <w:r w:rsidRPr="005B1999">
        <w:rPr>
          <w:lang w:val="fr-BE"/>
        </w:rPr>
        <w:t>Le but de ces réunions est le partage d’information concernant les principales activités menées dans le cadre du FEAD. Ces réunions servent également de lieu de discuss</w:t>
      </w:r>
      <w:r w:rsidR="00AE5F00" w:rsidRPr="005B1999">
        <w:rPr>
          <w:lang w:val="fr-BE"/>
        </w:rPr>
        <w:t>ions</w:t>
      </w:r>
      <w:r w:rsidRPr="005B1999">
        <w:rPr>
          <w:lang w:val="fr-BE"/>
        </w:rPr>
        <w:t>: nouvelles initiatives, bonnes pratique</w:t>
      </w:r>
      <w:r w:rsidR="005B1999">
        <w:rPr>
          <w:lang w:val="fr-BE"/>
        </w:rPr>
        <w:t>s, solutions, difficultés, etc.</w:t>
      </w:r>
    </w:p>
    <w:p w14:paraId="3C1A2BFD" w14:textId="3C243257" w:rsidR="00302054" w:rsidRPr="00CE1DEE" w:rsidRDefault="0028522B" w:rsidP="00A3247B">
      <w:pPr>
        <w:pStyle w:val="Kop4"/>
        <w:numPr>
          <w:ilvl w:val="3"/>
          <w:numId w:val="2"/>
        </w:numPr>
        <w:spacing w:after="240" w:line="276" w:lineRule="auto"/>
      </w:pPr>
      <w:r w:rsidRPr="00CE1DEE">
        <w:t>La liste des produits</w:t>
      </w:r>
    </w:p>
    <w:p w14:paraId="5316570F" w14:textId="53AC18AF" w:rsidR="00302054" w:rsidRPr="005B1999" w:rsidRDefault="00FB44F8" w:rsidP="00A3247B">
      <w:r w:rsidRPr="005B1999">
        <w:t>Un grand travail a été effectué</w:t>
      </w:r>
      <w:r w:rsidR="00302054" w:rsidRPr="005B1999">
        <w:t xml:space="preserve"> afin d'améliorer la liste des produits pour l'année 2015</w:t>
      </w:r>
      <w:r w:rsidR="0028522B" w:rsidRPr="005B1999">
        <w:t xml:space="preserve"> et 2016</w:t>
      </w:r>
      <w:r w:rsidR="00302054" w:rsidRPr="005B1999">
        <w:t>. Voir le point 2.2.3.</w:t>
      </w:r>
    </w:p>
    <w:p w14:paraId="53A74EAE" w14:textId="77777777" w:rsidR="00302054" w:rsidRDefault="00302054" w:rsidP="00A3247B">
      <w:pPr>
        <w:pStyle w:val="Kop4"/>
        <w:numPr>
          <w:ilvl w:val="3"/>
          <w:numId w:val="2"/>
        </w:numPr>
        <w:spacing w:after="240" w:line="276" w:lineRule="auto"/>
      </w:pPr>
      <w:r w:rsidRPr="00407488">
        <w:t>Les frais de transport</w:t>
      </w:r>
    </w:p>
    <w:p w14:paraId="548249B8" w14:textId="36299513" w:rsidR="00A779F6" w:rsidRPr="005B1999" w:rsidRDefault="00A779F6" w:rsidP="00A3247B">
      <w:r w:rsidRPr="005B1999">
        <w:t xml:space="preserve">Comme déjà mentionné dans le rapport annuel </w:t>
      </w:r>
      <w:r w:rsidR="004F72FC" w:rsidRPr="005B1999">
        <w:t xml:space="preserve">de </w:t>
      </w:r>
      <w:r w:rsidRPr="005B1999">
        <w:t xml:space="preserve">2014, un point d’amélioration important que l’AG devra aborder pendant la durée de la programmation </w:t>
      </w:r>
      <w:r w:rsidR="00DA0E9E" w:rsidRPr="005B1999">
        <w:t>est lié aux</w:t>
      </w:r>
      <w:r w:rsidRPr="005B1999">
        <w:t xml:space="preserve"> frais de transport élevés. Les frais de transport sont repris dans l’appel d’offres pour l’achat de denrées alimentaires</w:t>
      </w:r>
      <w:r w:rsidR="00DA0E9E" w:rsidRPr="005B1999">
        <w:t xml:space="preserve"> (ils sont inclus dans le prix proposé par les fabricants)</w:t>
      </w:r>
      <w:r w:rsidRPr="005B1999">
        <w:t xml:space="preserve">. Ces frais sont élevés du </w:t>
      </w:r>
      <w:r w:rsidRPr="005B1999">
        <w:lastRenderedPageBreak/>
        <w:t>fait que les CPAS sont livrés directement ‘à domicile’ et non pas via les banques alimentaires comme les organisations partenaires agréées.</w:t>
      </w:r>
    </w:p>
    <w:p w14:paraId="2552EFE3" w14:textId="7448D23D" w:rsidR="00A779F6" w:rsidRPr="005B1999" w:rsidRDefault="00A779F6" w:rsidP="00A3247B">
      <w:r w:rsidRPr="005B1999">
        <w:t xml:space="preserve">Fin 2014 en </w:t>
      </w:r>
      <w:r w:rsidR="00DA0E9E" w:rsidRPr="005B1999">
        <w:t>vue de la préparation des</w:t>
      </w:r>
      <w:r w:rsidRPr="005B1999">
        <w:t xml:space="preserve"> activités 2015, les premières étapes</w:t>
      </w:r>
      <w:r w:rsidR="00DA0E9E" w:rsidRPr="005B1999">
        <w:t xml:space="preserve"> pour résoudre cette problématique ont été amorcées. </w:t>
      </w:r>
      <w:r w:rsidRPr="005B1999">
        <w:t xml:space="preserve">Une solution intermédiaire a pu être trouvée pour l’année 2015. Cette solution a été possible grâce aux efforts de la Fédération Belge des Banques alimentaires et </w:t>
      </w:r>
      <w:proofErr w:type="spellStart"/>
      <w:r w:rsidRPr="005B1999">
        <w:t>l’asbl</w:t>
      </w:r>
      <w:proofErr w:type="spellEnd"/>
      <w:r w:rsidRPr="005B1999">
        <w:t xml:space="preserve"> NGE dans la province de Luxembourg. La solution intermédiaire est la suivante:</w:t>
      </w:r>
    </w:p>
    <w:p w14:paraId="79C99B59" w14:textId="7A97CD63" w:rsidR="00A779F6" w:rsidRPr="005B1999" w:rsidRDefault="00A779F6" w:rsidP="00A3247B">
      <w:pPr>
        <w:pStyle w:val="Lijstalinea"/>
        <w:numPr>
          <w:ilvl w:val="0"/>
          <w:numId w:val="21"/>
        </w:numPr>
      </w:pPr>
      <w:r w:rsidRPr="005B1999">
        <w:t xml:space="preserve">Les Banques alimentaires de Flandre occidentale et de Flandre orientale se </w:t>
      </w:r>
      <w:r w:rsidR="004F72FC" w:rsidRPr="005B1999">
        <w:t>sont proposées</w:t>
      </w:r>
      <w:r w:rsidRPr="005B1999">
        <w:t xml:space="preserve"> de réceptionner et stocker les produits destinés aux CPAS de leur province respective.</w:t>
      </w:r>
    </w:p>
    <w:p w14:paraId="465994E6" w14:textId="5BB69F5D" w:rsidR="00A779F6" w:rsidRPr="005B1999" w:rsidRDefault="00A779F6" w:rsidP="00A3247B">
      <w:pPr>
        <w:pStyle w:val="Lijstalinea"/>
        <w:numPr>
          <w:ilvl w:val="0"/>
          <w:numId w:val="21"/>
        </w:numPr>
      </w:pPr>
      <w:r w:rsidRPr="005B1999">
        <w:t xml:space="preserve">La Banque alimentaire de Bruxelles </w:t>
      </w:r>
      <w:r w:rsidR="004F72FC" w:rsidRPr="005B1999">
        <w:t>a proposé</w:t>
      </w:r>
      <w:r w:rsidRPr="005B1999">
        <w:t xml:space="preserve"> de réceptionner et stocker les produits destinés aux CPAS pour autant que les quantités soient inférieures à une palette de produit.</w:t>
      </w:r>
    </w:p>
    <w:p w14:paraId="75B22739" w14:textId="029B1757" w:rsidR="00A779F6" w:rsidRPr="005B1999" w:rsidRDefault="00A779F6" w:rsidP="00A3247B">
      <w:pPr>
        <w:pStyle w:val="Lijstalinea"/>
        <w:numPr>
          <w:ilvl w:val="0"/>
          <w:numId w:val="21"/>
        </w:numPr>
      </w:pPr>
      <w:r w:rsidRPr="005B1999">
        <w:t xml:space="preserve">Une solution a également été trouvée pour la province de </w:t>
      </w:r>
      <w:r w:rsidR="004F72FC" w:rsidRPr="005B1999">
        <w:t xml:space="preserve">Luxembourg : </w:t>
      </w:r>
      <w:r w:rsidRPr="005B1999">
        <w:t xml:space="preserve">c'est </w:t>
      </w:r>
      <w:proofErr w:type="spellStart"/>
      <w:r w:rsidRPr="005B1999">
        <w:t>l'asbl</w:t>
      </w:r>
      <w:proofErr w:type="spellEnd"/>
      <w:r w:rsidRPr="005B1999">
        <w:t xml:space="preserve"> NGE qui réceptionne et stocke les produits destinés aux CPAS de la province de Luxembourg </w:t>
      </w:r>
      <w:r w:rsidR="00A74A96" w:rsidRPr="005B1999">
        <w:t xml:space="preserve">(une quarantaine de CPAS) </w:t>
      </w:r>
      <w:r w:rsidRPr="005B1999">
        <w:t>et cela, dans le cadre d'un projet d'économie sociale.</w:t>
      </w:r>
    </w:p>
    <w:p w14:paraId="030A3CEF" w14:textId="47310A66" w:rsidR="00A74A96" w:rsidRPr="005B1999" w:rsidRDefault="00A74A96" w:rsidP="00A74A96">
      <w:pPr>
        <w:pStyle w:val="Lijstalinea"/>
      </w:pPr>
      <w:r w:rsidRPr="005B1999">
        <w:t xml:space="preserve">NGE, une agence de développement territorial, est une </w:t>
      </w:r>
      <w:proofErr w:type="spellStart"/>
      <w:r w:rsidRPr="005B1999">
        <w:t>asbl</w:t>
      </w:r>
      <w:proofErr w:type="spellEnd"/>
      <w:r w:rsidRPr="005B1999">
        <w:t xml:space="preserve"> qui initie et soutient tout type de projets permettant le développement local durable du territoire de la province du Luxembourg. NGE est née </w:t>
      </w:r>
      <w:r w:rsidR="00532856" w:rsidRPr="005B1999">
        <w:t xml:space="preserve">dans </w:t>
      </w:r>
      <w:r w:rsidRPr="005B1999">
        <w:t xml:space="preserve">l’idée de créer une </w:t>
      </w:r>
      <w:proofErr w:type="spellStart"/>
      <w:r w:rsidRPr="005B1999">
        <w:t>asbl</w:t>
      </w:r>
      <w:proofErr w:type="spellEnd"/>
      <w:r w:rsidRPr="005B1999">
        <w:t xml:space="preserve"> de coordination d’aide alimentaire en province de Luxembourg afin de venir en aide aux acteurs de terrain. Le but </w:t>
      </w:r>
      <w:r w:rsidR="00532856" w:rsidRPr="005B1999">
        <w:t>est</w:t>
      </w:r>
      <w:r w:rsidRPr="005B1999">
        <w:t xml:space="preserve"> de fédérer l’ensemble des associations actives dans l’aide alimentaire en province de Luxembourg et d’apporter des solutions concrètes à certaines difficultés. </w:t>
      </w:r>
    </w:p>
    <w:p w14:paraId="4E97B695" w14:textId="77777777" w:rsidR="00A779F6" w:rsidRPr="005B1999" w:rsidRDefault="00A779F6" w:rsidP="00A3247B">
      <w:r w:rsidRPr="005B1999">
        <w:t>Grâce à ces solutions (intermédiaires), le nombre de points de livraison pour l'année 2015 a pu être réduit de 387 à 274, ce qui suppose une réduction de plus de 100 points de livraison. Ce changement a eu une influence positive sur les quantités disponibles de nourriture.</w:t>
      </w:r>
    </w:p>
    <w:p w14:paraId="2D445C27" w14:textId="4B744ABA" w:rsidR="00A779F6" w:rsidRPr="005B1999" w:rsidRDefault="00A779F6" w:rsidP="00A3247B">
      <w:r w:rsidRPr="005B1999">
        <w:t xml:space="preserve">Grâce aux efforts de la Fédération belge des banques alimentaires et </w:t>
      </w:r>
      <w:proofErr w:type="spellStart"/>
      <w:r w:rsidRPr="005B1999">
        <w:t>l’asbl</w:t>
      </w:r>
      <w:proofErr w:type="spellEnd"/>
      <w:r w:rsidRPr="005B1999">
        <w:t xml:space="preserve"> NGE dans la province de Luxembourg, la solution intermédiaire </w:t>
      </w:r>
      <w:r w:rsidR="007622AE" w:rsidRPr="005B1999">
        <w:t>mise en place</w:t>
      </w:r>
      <w:r w:rsidRPr="005B1999">
        <w:t xml:space="preserve"> en 2015 </w:t>
      </w:r>
      <w:r w:rsidR="00A74A96" w:rsidRPr="005B1999">
        <w:t>sera</w:t>
      </w:r>
      <w:r w:rsidRPr="005B1999">
        <w:t xml:space="preserve"> maintenu</w:t>
      </w:r>
      <w:r w:rsidR="00A74A96" w:rsidRPr="005B1999">
        <w:t>e</w:t>
      </w:r>
      <w:r w:rsidRPr="005B1999">
        <w:t xml:space="preserve"> en 2016. </w:t>
      </w:r>
      <w:r w:rsidR="00A74A96" w:rsidRPr="005B1999">
        <w:t>L</w:t>
      </w:r>
      <w:r w:rsidRPr="005B1999">
        <w:t xml:space="preserve">e nombre de points de livraison pour l’année 2016 a encore pu être réduit de 274 à 264, ce qui suppose une réduction de 10 points de livraison. </w:t>
      </w:r>
    </w:p>
    <w:p w14:paraId="5AA69573" w14:textId="6CE300AA" w:rsidR="007622AE" w:rsidRDefault="00A779F6" w:rsidP="00A3247B">
      <w:r w:rsidRPr="005B1999">
        <w:t xml:space="preserve">L’AG continuera à travailler sur ce point </w:t>
      </w:r>
      <w:r w:rsidR="00532856" w:rsidRPr="005B1999">
        <w:t xml:space="preserve">tout au long de </w:t>
      </w:r>
      <w:r w:rsidR="005B1999">
        <w:t>l'année 2016.</w:t>
      </w:r>
    </w:p>
    <w:p w14:paraId="0442C8D4" w14:textId="77777777" w:rsidR="00633EF3" w:rsidRDefault="00633EF3" w:rsidP="00A3247B"/>
    <w:p w14:paraId="111F2E35" w14:textId="77777777" w:rsidR="00633EF3" w:rsidRDefault="00633EF3" w:rsidP="00A3247B"/>
    <w:p w14:paraId="743C5BC7" w14:textId="77777777" w:rsidR="00633EF3" w:rsidRDefault="00633EF3" w:rsidP="00A3247B"/>
    <w:p w14:paraId="4A99C7CB" w14:textId="77777777" w:rsidR="00633EF3" w:rsidRDefault="00633EF3" w:rsidP="00A3247B"/>
    <w:p w14:paraId="0892A32C" w14:textId="77777777" w:rsidR="00633EF3" w:rsidRPr="005B1999" w:rsidRDefault="00633EF3" w:rsidP="00A3247B"/>
    <w:p w14:paraId="5DFBA2F9" w14:textId="77777777" w:rsidR="00011F50" w:rsidRDefault="0087680D" w:rsidP="00A3247B">
      <w:pPr>
        <w:pStyle w:val="Kop3"/>
        <w:numPr>
          <w:ilvl w:val="1"/>
          <w:numId w:val="2"/>
        </w:numPr>
        <w:spacing w:after="240" w:line="276" w:lineRule="auto"/>
      </w:pPr>
      <w:bookmarkStart w:id="24" w:name="_Toc422390657"/>
      <w:bookmarkStart w:id="25" w:name="_Toc454974435"/>
      <w:r w:rsidRPr="00407488">
        <w:lastRenderedPageBreak/>
        <w:t>Information sur l'évaluation des actions en tenant compte des articles 5(6), 5 (11), et le cas échéant</w:t>
      </w:r>
      <w:r w:rsidR="002A3D1E">
        <w:t>, 5(13) du règlement (UE) n</w:t>
      </w:r>
      <w:r w:rsidRPr="00407488">
        <w:t> 223/2014.</w:t>
      </w:r>
      <w:bookmarkEnd w:id="24"/>
      <w:bookmarkEnd w:id="25"/>
    </w:p>
    <w:p w14:paraId="319F65A2" w14:textId="77777777" w:rsidR="000815C0" w:rsidRPr="000815C0" w:rsidRDefault="000815C0" w:rsidP="000815C0"/>
    <w:p w14:paraId="19A8233E" w14:textId="77777777" w:rsidR="00011F50" w:rsidRPr="00407488" w:rsidRDefault="00011F50" w:rsidP="00A3247B">
      <w:pPr>
        <w:pStyle w:val="Kop4"/>
        <w:numPr>
          <w:ilvl w:val="2"/>
          <w:numId w:val="2"/>
        </w:numPr>
        <w:spacing w:after="240" w:line="276" w:lineRule="auto"/>
      </w:pPr>
      <w:r w:rsidRPr="00407488">
        <w:t>Article 5 (6) – Le risque de double financement</w:t>
      </w:r>
    </w:p>
    <w:p w14:paraId="625CD3DE" w14:textId="1C000651" w:rsidR="00C40D5C" w:rsidRPr="00407488" w:rsidRDefault="00C40D5C" w:rsidP="00A3247B">
      <w:r w:rsidRPr="00407488">
        <w:t>Il n'existe aucun risque de double financement avec le Fonds social européen. En effet, comme cela est stipulé dans le programme op</w:t>
      </w:r>
      <w:r w:rsidR="000824C7">
        <w:t>érationnel, le financement de 5</w:t>
      </w:r>
      <w:r w:rsidRPr="00407488">
        <w:t>% prévu pour les mesures d'accompagnement n'est pas utilisé.</w:t>
      </w:r>
    </w:p>
    <w:p w14:paraId="1E38DD64" w14:textId="4B0AD6C9" w:rsidR="00011F50" w:rsidRPr="00DA0446" w:rsidRDefault="00C40D5C" w:rsidP="00A3247B">
      <w:r w:rsidRPr="00407488">
        <w:t xml:space="preserve">Quant aux autres mesures </w:t>
      </w:r>
      <w:r w:rsidRPr="00DA0446">
        <w:t>d'accompagnement pertinentes, le risque de double finan</w:t>
      </w:r>
      <w:r w:rsidR="00A450BC" w:rsidRPr="00DA0446">
        <w:t>cement est également inexistant</w:t>
      </w:r>
      <w:r w:rsidRPr="00DA0446">
        <w:t>.</w:t>
      </w:r>
      <w:r w:rsidR="00A450BC" w:rsidRPr="00DA0446">
        <w:t xml:space="preserve"> En effet, il n’y a pas d’autre utilisation des fonds que pour l’achat de denrées alimentaires (l’achat é</w:t>
      </w:r>
      <w:r w:rsidR="000824C7" w:rsidRPr="00DA0446">
        <w:t>tant géré exclusivement par l’AG) et l’assistance t</w:t>
      </w:r>
      <w:r w:rsidR="00A450BC" w:rsidRPr="00DA0446">
        <w:t xml:space="preserve">echnique. Il n’y a pas </w:t>
      </w:r>
      <w:r w:rsidR="000824C7" w:rsidRPr="00DA0446">
        <w:t xml:space="preserve">de transfert d’argent entre l’AG </w:t>
      </w:r>
      <w:r w:rsidR="00A450BC" w:rsidRPr="00DA0446">
        <w:t xml:space="preserve">et les organisations partenaires agréées. </w:t>
      </w:r>
    </w:p>
    <w:p w14:paraId="069214D5" w14:textId="77777777" w:rsidR="00E82B11" w:rsidRPr="00DA0446" w:rsidRDefault="00E82B11" w:rsidP="00A3247B">
      <w:pPr>
        <w:pStyle w:val="Kop4"/>
        <w:numPr>
          <w:ilvl w:val="2"/>
          <w:numId w:val="2"/>
        </w:numPr>
        <w:spacing w:after="240" w:line="276" w:lineRule="auto"/>
      </w:pPr>
      <w:r w:rsidRPr="00DA0446">
        <w:t>Article 5 (11) – Égalité entre les hommes et les femmes</w:t>
      </w:r>
    </w:p>
    <w:p w14:paraId="2D35D824" w14:textId="5226D0EA" w:rsidR="009B5789" w:rsidRPr="00DA0446" w:rsidRDefault="009B5789" w:rsidP="00A3247B">
      <w:pPr>
        <w:rPr>
          <w:lang w:val="fr-BE"/>
        </w:rPr>
      </w:pPr>
      <w:r w:rsidRPr="00DA0446">
        <w:rPr>
          <w:lang w:val="fr-BE"/>
        </w:rPr>
        <w:t xml:space="preserve">A l’occasion de l’envoi de la lettre mensuelle d’information, </w:t>
      </w:r>
      <w:r w:rsidR="00532856" w:rsidRPr="00DA0446">
        <w:rPr>
          <w:lang w:val="fr-BE"/>
        </w:rPr>
        <w:t xml:space="preserve">un article concernant la question du genre </w:t>
      </w:r>
      <w:r w:rsidRPr="00DA0446">
        <w:rPr>
          <w:lang w:val="fr-BE"/>
        </w:rPr>
        <w:t>a été publié</w:t>
      </w:r>
      <w:r w:rsidR="004F72FC" w:rsidRPr="00DA0446">
        <w:rPr>
          <w:lang w:val="fr-BE"/>
        </w:rPr>
        <w:t xml:space="preserve"> (décembre 2015)</w:t>
      </w:r>
      <w:r w:rsidRPr="00DA0446">
        <w:rPr>
          <w:lang w:val="fr-BE"/>
        </w:rPr>
        <w:t>.</w:t>
      </w:r>
    </w:p>
    <w:p w14:paraId="05B1AFBA" w14:textId="77777777" w:rsidR="009B5789" w:rsidRPr="005B1999" w:rsidRDefault="009B5789" w:rsidP="00A3247B">
      <w:pPr>
        <w:rPr>
          <w:lang w:val="fr-BE"/>
        </w:rPr>
      </w:pPr>
      <w:r w:rsidRPr="005B1999">
        <w:rPr>
          <w:lang w:val="fr-BE"/>
        </w:rPr>
        <w:t xml:space="preserve">L’AG y a rappelé que l’égalité entre les femmes et les hommes constitue l’un des principes fondateurs de l’Union européenne: « </w:t>
      </w:r>
      <w:r w:rsidRPr="005B1999">
        <w:rPr>
          <w:i/>
          <w:lang w:val="fr-BE"/>
        </w:rPr>
        <w:t>L’égalité est l’une des cinq valeurs sur lesquelles l’Union européenne est fondée. L’Union est tenue de promouvoir l’égalité entre les hommes et les femmes dans toutes ses actions (Articles 2 et 3 TUE, article 8 TFUE.). La Charte des droits fondamentaux de l’Union européenne institue cette égalité et interdit toute discrimination fondée sur le sexe</w:t>
      </w:r>
      <w:r w:rsidRPr="005B1999">
        <w:rPr>
          <w:lang w:val="fr-BE"/>
        </w:rPr>
        <w:t xml:space="preserve">.» </w:t>
      </w:r>
      <w:r w:rsidR="0078460E" w:rsidRPr="005B1999">
        <w:rPr>
          <w:lang w:val="fr-BE"/>
        </w:rPr>
        <w:t xml:space="preserve"> </w:t>
      </w:r>
      <w:r w:rsidRPr="005B1999">
        <w:rPr>
          <w:lang w:val="fr-BE"/>
        </w:rPr>
        <w:t xml:space="preserve">(Source: </w:t>
      </w:r>
      <w:hyperlink r:id="rId15" w:history="1">
        <w:r w:rsidRPr="005B1999">
          <w:rPr>
            <w:lang w:val="fr-BE"/>
          </w:rPr>
          <w:t>http://ec.europa.eu/justice/gender-equality/files/strategy_equality_women_men_fr.pdf</w:t>
        </w:r>
      </w:hyperlink>
      <w:r w:rsidRPr="005B1999">
        <w:rPr>
          <w:lang w:val="fr-BE"/>
        </w:rPr>
        <w:t xml:space="preserve"> )</w:t>
      </w:r>
    </w:p>
    <w:p w14:paraId="0CAF3376" w14:textId="77777777" w:rsidR="009B5789" w:rsidRPr="005B1999" w:rsidRDefault="009B5789" w:rsidP="00A3247B">
      <w:pPr>
        <w:rPr>
          <w:lang w:val="fr-BE"/>
        </w:rPr>
      </w:pPr>
      <w:r w:rsidRPr="005B1999">
        <w:rPr>
          <w:lang w:val="fr-BE"/>
        </w:rPr>
        <w:t xml:space="preserve">Il a donc été </w:t>
      </w:r>
      <w:r w:rsidR="00A3247B" w:rsidRPr="005B1999">
        <w:rPr>
          <w:lang w:val="fr-BE"/>
        </w:rPr>
        <w:t>rappelé</w:t>
      </w:r>
      <w:r w:rsidRPr="005B1999">
        <w:rPr>
          <w:lang w:val="fr-BE"/>
        </w:rPr>
        <w:t xml:space="preserve"> aux organisations et CPAS que la distribution de produits FEAD doit être accessible à toute personne vivant sous le seuil de pauvreté et que les organisations et CPAS doivent en prévenir toute discrimination et assurer l’égalité entre les hommes et les femmes.</w:t>
      </w:r>
    </w:p>
    <w:p w14:paraId="7C21DE52" w14:textId="256E832C" w:rsidR="00230013" w:rsidRPr="005B1999" w:rsidRDefault="00230013" w:rsidP="00A3247B">
      <w:pPr>
        <w:rPr>
          <w:lang w:val="fr-BE"/>
        </w:rPr>
      </w:pPr>
      <w:r w:rsidRPr="005B1999">
        <w:rPr>
          <w:lang w:val="fr-BE"/>
        </w:rPr>
        <w:t>Les critères d’éligibilité à l’aide reposent sur le seuil de pauvreté et sont donc objectifs. Cela permet d’éviter toute discrimination liée au sexe ou à l’origine de la personne bénéficiant de l’aide.</w:t>
      </w:r>
    </w:p>
    <w:p w14:paraId="54A052B9" w14:textId="77777777" w:rsidR="00B917A1" w:rsidRDefault="00E82B11" w:rsidP="00A3247B">
      <w:pPr>
        <w:pStyle w:val="Kop4"/>
        <w:numPr>
          <w:ilvl w:val="2"/>
          <w:numId w:val="2"/>
        </w:numPr>
        <w:spacing w:after="240" w:line="276" w:lineRule="auto"/>
      </w:pPr>
      <w:r w:rsidRPr="00407488">
        <w:t>Article 5 (13) – Critères objectifs / aspects climatiques et environnementaux dans le choix de l'aide alimentaire</w:t>
      </w:r>
    </w:p>
    <w:p w14:paraId="25926E22" w14:textId="77777777" w:rsidR="00BB3D93" w:rsidRPr="005B1999" w:rsidRDefault="00BB3D93" w:rsidP="00A3247B">
      <w:pPr>
        <w:tabs>
          <w:tab w:val="num" w:pos="720"/>
        </w:tabs>
        <w:rPr>
          <w:u w:val="single"/>
          <w:lang w:val="fr-BE"/>
        </w:rPr>
      </w:pPr>
      <w:r w:rsidRPr="005B1999">
        <w:rPr>
          <w:lang w:val="fr-BE"/>
        </w:rPr>
        <w:t>2.2.3.1</w:t>
      </w:r>
      <w:r w:rsidRPr="005B1999">
        <w:rPr>
          <w:u w:val="single"/>
          <w:lang w:val="fr-BE"/>
        </w:rPr>
        <w:t xml:space="preserve"> Liste de produits 2015</w:t>
      </w:r>
    </w:p>
    <w:p w14:paraId="7D97C98B" w14:textId="77777777" w:rsidR="00427D70" w:rsidRPr="005B1999" w:rsidRDefault="000225C3" w:rsidP="00A3247B">
      <w:pPr>
        <w:tabs>
          <w:tab w:val="num" w:pos="720"/>
        </w:tabs>
        <w:rPr>
          <w:lang w:val="fr-BE"/>
        </w:rPr>
      </w:pPr>
      <w:r w:rsidRPr="005B1999">
        <w:rPr>
          <w:lang w:val="fr-BE"/>
        </w:rPr>
        <w:t xml:space="preserve">Une nouvelle liste de produits a été élaborée pour l’année 2015. Cette liste est le fruit de nombreux contacts initiés par </w:t>
      </w:r>
      <w:r w:rsidR="00427D70" w:rsidRPr="005B1999">
        <w:rPr>
          <w:lang w:val="fr-BE"/>
        </w:rPr>
        <w:t>l’AG</w:t>
      </w:r>
      <w:r w:rsidRPr="005B1999">
        <w:rPr>
          <w:lang w:val="fr-BE"/>
        </w:rPr>
        <w:t xml:space="preserve"> avec différents experts (experts nutritionnels, experts en développement durable, SPF santé publique, etc.) dans le but d’améliorer la qualité nutritionnelle des produits distribués, d’en augmenter l’appréciation de la part des bénéficiaires tout en s’inscrivant dans le cadre d’une alimentation saine et durable. </w:t>
      </w:r>
    </w:p>
    <w:p w14:paraId="431BC65E" w14:textId="3BFE37DF" w:rsidR="000225C3" w:rsidRPr="005B1999" w:rsidRDefault="000225C3" w:rsidP="00A3247B">
      <w:pPr>
        <w:tabs>
          <w:tab w:val="num" w:pos="720"/>
        </w:tabs>
        <w:rPr>
          <w:lang w:val="fr-BE"/>
        </w:rPr>
      </w:pPr>
      <w:r w:rsidRPr="005B1999">
        <w:rPr>
          <w:lang w:val="fr-BE"/>
        </w:rPr>
        <w:lastRenderedPageBreak/>
        <w:t>Il a également été tenu compte de l’importance de stimuler l’éducation au goût ainsi que le savoir-faire culinaire dans le cadre d’une politique de promotion de la santé. En effet, certains produits étaient accompagnés cette année de fiches recettes simples et faciles à réaliser.</w:t>
      </w:r>
      <w:r w:rsidR="00427D70" w:rsidRPr="005B1999">
        <w:rPr>
          <w:lang w:val="fr-BE"/>
        </w:rPr>
        <w:t xml:space="preserve"> L’idée sous-jacente étant d’inciter les bénéficiaires (ou les bénévoles dans les organisations</w:t>
      </w:r>
      <w:r w:rsidR="004F72FC" w:rsidRPr="005B1999">
        <w:rPr>
          <w:lang w:val="fr-BE"/>
        </w:rPr>
        <w:t xml:space="preserve"> </w:t>
      </w:r>
      <w:r w:rsidR="00427D70" w:rsidRPr="005B1999">
        <w:rPr>
          <w:lang w:val="fr-BE"/>
        </w:rPr>
        <w:t>/travailleurs sociaux) à apprendre à préparer des plats cuisinés complets et sains.</w:t>
      </w:r>
    </w:p>
    <w:p w14:paraId="1B95DB25" w14:textId="030AD8AB" w:rsidR="00BB3D93" w:rsidRPr="005B1999" w:rsidRDefault="00BB3D93" w:rsidP="00A3247B">
      <w:pPr>
        <w:tabs>
          <w:tab w:val="num" w:pos="720"/>
        </w:tabs>
        <w:rPr>
          <w:lang w:val="fr-BE"/>
        </w:rPr>
      </w:pPr>
      <w:r w:rsidRPr="005B1999">
        <w:rPr>
          <w:lang w:val="fr-BE"/>
        </w:rPr>
        <w:t xml:space="preserve">L’avis de nos experts du vécu a également été pris en considération. La plupart de ces experts connaissaient les produits distribués précédemment par le BIRB </w:t>
      </w:r>
      <w:r w:rsidR="004F72FC" w:rsidRPr="005B1999">
        <w:rPr>
          <w:lang w:val="fr-BE"/>
        </w:rPr>
        <w:t>car ils</w:t>
      </w:r>
      <w:r w:rsidRPr="005B1999">
        <w:rPr>
          <w:lang w:val="fr-BE"/>
        </w:rPr>
        <w:t xml:space="preserve"> en étaient </w:t>
      </w:r>
      <w:r w:rsidR="004F72FC" w:rsidRPr="005B1999">
        <w:rPr>
          <w:lang w:val="fr-BE"/>
        </w:rPr>
        <w:t xml:space="preserve">parfois les </w:t>
      </w:r>
      <w:r w:rsidRPr="005B1999">
        <w:rPr>
          <w:lang w:val="fr-BE"/>
        </w:rPr>
        <w:t>bénéficiaires. Leur avis est donc d’une grande importance pour nous.</w:t>
      </w:r>
    </w:p>
    <w:p w14:paraId="5F04C97F" w14:textId="77777777" w:rsidR="000225C3" w:rsidRPr="005B1999" w:rsidRDefault="000225C3" w:rsidP="00A3247B">
      <w:pPr>
        <w:tabs>
          <w:tab w:val="num" w:pos="720"/>
        </w:tabs>
        <w:rPr>
          <w:lang w:val="fr-BE"/>
        </w:rPr>
      </w:pPr>
      <w:r w:rsidRPr="005B1999">
        <w:rPr>
          <w:lang w:val="fr-BE"/>
        </w:rPr>
        <w:t xml:space="preserve">Lors de l’élaboration de cette liste, les recommandations produites par la Concertation Aide Alimentaire (via une étude soutenue par Bruxelles Environnement) ont également été prises en compte. Cette étude a eu pour but d’analyser la qualité des produits alimentaires distribués dans le cadre du FEAD. </w:t>
      </w:r>
    </w:p>
    <w:p w14:paraId="55B2E9AC" w14:textId="77777777" w:rsidR="000225C3" w:rsidRPr="005B1999" w:rsidRDefault="000225C3" w:rsidP="00A3247B">
      <w:pPr>
        <w:pStyle w:val="Lijstalinea"/>
        <w:numPr>
          <w:ilvl w:val="0"/>
          <w:numId w:val="28"/>
        </w:numPr>
        <w:tabs>
          <w:tab w:val="num" w:pos="720"/>
        </w:tabs>
        <w:spacing w:after="0"/>
        <w:contextualSpacing w:val="0"/>
        <w:rPr>
          <w:lang w:val="fr-BE"/>
        </w:rPr>
      </w:pPr>
      <w:r w:rsidRPr="005B1999">
        <w:rPr>
          <w:lang w:val="fr-BE"/>
        </w:rPr>
        <w:t>Les produits présentant peu d’intérêt nutritionnel ou présentant un indice glycémique élevé ont été supprimés (c’était le cas des champignons et du cocktail de fruits au sirop).</w:t>
      </w:r>
    </w:p>
    <w:p w14:paraId="4BBB51D6" w14:textId="77777777" w:rsidR="000225C3" w:rsidRPr="005B1999" w:rsidRDefault="000225C3" w:rsidP="00A3247B">
      <w:pPr>
        <w:pStyle w:val="Lijstalinea"/>
        <w:numPr>
          <w:ilvl w:val="0"/>
          <w:numId w:val="27"/>
        </w:numPr>
        <w:tabs>
          <w:tab w:val="num" w:pos="720"/>
        </w:tabs>
        <w:spacing w:after="0"/>
        <w:contextualSpacing w:val="0"/>
        <w:rPr>
          <w:lang w:val="fr-BE"/>
        </w:rPr>
      </w:pPr>
      <w:r w:rsidRPr="005B1999">
        <w:rPr>
          <w:lang w:val="fr-BE"/>
        </w:rPr>
        <w:t>Il a été décidé de privilégier des produis pas ou peu transformés qui, en plus de présenter un bon intérêt nutritionnel, s’intègrent facilement dans toutes les cultures alimentaires et encouragent les bénéficiaires à cuisiner.</w:t>
      </w:r>
    </w:p>
    <w:p w14:paraId="6C3F5D39" w14:textId="77777777" w:rsidR="000225C3" w:rsidRPr="005B1999" w:rsidRDefault="000225C3" w:rsidP="00A3247B">
      <w:pPr>
        <w:pStyle w:val="Lijstalinea"/>
        <w:numPr>
          <w:ilvl w:val="0"/>
          <w:numId w:val="27"/>
        </w:numPr>
        <w:tabs>
          <w:tab w:val="num" w:pos="720"/>
        </w:tabs>
        <w:spacing w:after="0"/>
        <w:contextualSpacing w:val="0"/>
        <w:rPr>
          <w:lang w:val="fr-BE"/>
        </w:rPr>
      </w:pPr>
      <w:r w:rsidRPr="005B1999">
        <w:rPr>
          <w:lang w:val="fr-BE"/>
        </w:rPr>
        <w:t>Le nombre de produits proposés a augmenté de manière à accroitre la variété gustative et nutritionnelle pour les bénéficiaires.</w:t>
      </w:r>
    </w:p>
    <w:p w14:paraId="55E855C8" w14:textId="7D24E528" w:rsidR="000225C3" w:rsidRPr="005B1999" w:rsidRDefault="000225C3" w:rsidP="00A3247B">
      <w:pPr>
        <w:pStyle w:val="Lijstalinea"/>
        <w:numPr>
          <w:ilvl w:val="0"/>
          <w:numId w:val="27"/>
        </w:numPr>
        <w:spacing w:after="0"/>
        <w:contextualSpacing w:val="0"/>
        <w:rPr>
          <w:lang w:val="fr-BE"/>
        </w:rPr>
      </w:pPr>
      <w:r w:rsidRPr="005B1999">
        <w:rPr>
          <w:lang w:val="fr-BE"/>
        </w:rPr>
        <w:t>Il a été décidé d’intégrer des protéines végétales en proposant des produits co</w:t>
      </w:r>
      <w:r w:rsidR="00045E9A">
        <w:rPr>
          <w:lang w:val="fr-BE"/>
        </w:rPr>
        <w:t>mme les lentilles par exemple.</w:t>
      </w:r>
    </w:p>
    <w:p w14:paraId="4D2FC015" w14:textId="77777777" w:rsidR="000225C3" w:rsidRPr="005B1999" w:rsidRDefault="000225C3" w:rsidP="00A3247B">
      <w:pPr>
        <w:pStyle w:val="Lijstalinea"/>
        <w:numPr>
          <w:ilvl w:val="0"/>
          <w:numId w:val="27"/>
        </w:numPr>
        <w:spacing w:after="0"/>
        <w:contextualSpacing w:val="0"/>
        <w:rPr>
          <w:lang w:val="fr-BE"/>
        </w:rPr>
      </w:pPr>
      <w:r w:rsidRPr="005B1999">
        <w:rPr>
          <w:lang w:val="fr-BE"/>
        </w:rPr>
        <w:t>Il a aussi été décidé de privilégier les protéines animales issues du poisson qui sont généralement plus facilement acceptées par les bénéficiaires et plus favorables à la santé.</w:t>
      </w:r>
    </w:p>
    <w:p w14:paraId="0C2712DD" w14:textId="77777777" w:rsidR="000824C7" w:rsidRPr="00DA0446" w:rsidRDefault="000225C3" w:rsidP="000824C7">
      <w:pPr>
        <w:pStyle w:val="Lijstalinea"/>
        <w:numPr>
          <w:ilvl w:val="0"/>
          <w:numId w:val="27"/>
        </w:numPr>
        <w:spacing w:after="0"/>
        <w:contextualSpacing w:val="0"/>
        <w:rPr>
          <w:lang w:val="fr-BE"/>
        </w:rPr>
      </w:pPr>
      <w:r w:rsidRPr="005B1999">
        <w:rPr>
          <w:lang w:val="fr-BE"/>
        </w:rPr>
        <w:t xml:space="preserve">Pour certains produits, les spécifications techniques incluaient des critères durables comme par exemple pour les sardines à l’huile d’olive (issues de la pêche durable), les céréales (sans aucune trace d’OGM), ou l’huile d’olive qui devait être produite, transformée et élaborée </w:t>
      </w:r>
      <w:r w:rsidRPr="00DA0446">
        <w:rPr>
          <w:lang w:val="fr-BE"/>
        </w:rPr>
        <w:t>dans le même pays.</w:t>
      </w:r>
    </w:p>
    <w:p w14:paraId="1706DFF6" w14:textId="520B6B1F" w:rsidR="001D72F3" w:rsidRPr="00DA0446" w:rsidRDefault="001D72F3" w:rsidP="000824C7">
      <w:pPr>
        <w:pStyle w:val="Lijstalinea"/>
        <w:numPr>
          <w:ilvl w:val="0"/>
          <w:numId w:val="27"/>
        </w:numPr>
        <w:contextualSpacing w:val="0"/>
        <w:rPr>
          <w:lang w:val="fr-BE"/>
        </w:rPr>
      </w:pPr>
      <w:r w:rsidRPr="00DA0446">
        <w:rPr>
          <w:lang w:val="fr-BE"/>
        </w:rPr>
        <w:t>Tous</w:t>
      </w:r>
      <w:r w:rsidR="000824C7" w:rsidRPr="00DA0446">
        <w:rPr>
          <w:lang w:val="fr-BE"/>
        </w:rPr>
        <w:t xml:space="preserve"> les produits proposés ont un «</w:t>
      </w:r>
      <w:r w:rsidRPr="00DA0446">
        <w:rPr>
          <w:lang w:val="fr-BE"/>
        </w:rPr>
        <w:t>système d’ouvertur</w:t>
      </w:r>
      <w:r w:rsidR="000824C7" w:rsidRPr="00DA0446">
        <w:rPr>
          <w:lang w:val="fr-BE"/>
        </w:rPr>
        <w:t>e facile</w:t>
      </w:r>
      <w:r w:rsidRPr="00DA0446">
        <w:rPr>
          <w:lang w:val="fr-BE"/>
        </w:rPr>
        <w:t>» ne nécessitant pas d’ouvre boite.</w:t>
      </w:r>
    </w:p>
    <w:p w14:paraId="6CC3BC38" w14:textId="77777777" w:rsidR="000225C3" w:rsidRPr="00DA0446" w:rsidRDefault="000225C3" w:rsidP="00A3247B">
      <w:pPr>
        <w:rPr>
          <w:lang w:val="fr-BE"/>
        </w:rPr>
      </w:pPr>
      <w:r w:rsidRPr="00DA0446">
        <w:rPr>
          <w:lang w:val="fr-BE"/>
        </w:rPr>
        <w:t>Toutes ces recommandations restent d’actualité pour l’élaboration des listes futures également.</w:t>
      </w:r>
    </w:p>
    <w:p w14:paraId="11332813" w14:textId="14D1CD84" w:rsidR="00503F5C" w:rsidRPr="005B1999" w:rsidRDefault="00503F5C" w:rsidP="00A3247B">
      <w:pPr>
        <w:rPr>
          <w:lang w:val="fr-BE"/>
        </w:rPr>
      </w:pPr>
      <w:r w:rsidRPr="00DA0446">
        <w:rPr>
          <w:lang w:val="fr-BE"/>
        </w:rPr>
        <w:t>Une réflexion a également été menée</w:t>
      </w:r>
      <w:r w:rsidRPr="005B1999">
        <w:rPr>
          <w:lang w:val="fr-BE"/>
        </w:rPr>
        <w:t xml:space="preserve"> concernant les emballages : il a été demandé aux fabricants de proposer des emballages ressemblant à ce qui peut être trouvé dans les supermarchés – ceci pour éviter </w:t>
      </w:r>
      <w:r w:rsidR="00532856" w:rsidRPr="005B1999">
        <w:rPr>
          <w:lang w:val="fr-BE"/>
        </w:rPr>
        <w:t>d’éventuels phénomènes de stigmatisation.</w:t>
      </w:r>
      <w:r w:rsidRPr="005B1999">
        <w:rPr>
          <w:lang w:val="fr-BE"/>
        </w:rPr>
        <w:t xml:space="preserve"> Les fabricants sont tenus de soumettre leur proposition d’emballage avant de les mettre en production.</w:t>
      </w:r>
    </w:p>
    <w:p w14:paraId="2C189726" w14:textId="38F2D434" w:rsidR="00427D70" w:rsidRPr="005B1999" w:rsidRDefault="00427D70" w:rsidP="00A3247B">
      <w:pPr>
        <w:rPr>
          <w:lang w:val="fr-BE"/>
        </w:rPr>
      </w:pPr>
      <w:r w:rsidRPr="005B1999">
        <w:rPr>
          <w:lang w:val="fr-BE"/>
        </w:rPr>
        <w:t>La liste de produits proposés en 2015 comp</w:t>
      </w:r>
      <w:r w:rsidR="00A3247B" w:rsidRPr="005B1999">
        <w:rPr>
          <w:lang w:val="fr-BE"/>
        </w:rPr>
        <w:t>renait les 1</w:t>
      </w:r>
      <w:r w:rsidR="00532856" w:rsidRPr="005B1999">
        <w:rPr>
          <w:lang w:val="fr-BE"/>
        </w:rPr>
        <w:t>5</w:t>
      </w:r>
      <w:r w:rsidR="00A3247B" w:rsidRPr="005B1999">
        <w:rPr>
          <w:lang w:val="fr-BE"/>
        </w:rPr>
        <w:t xml:space="preserve"> produits suivants</w:t>
      </w:r>
      <w:r w:rsidRPr="005B1999">
        <w:rPr>
          <w:lang w:val="fr-BE"/>
        </w:rPr>
        <w:t>:</w:t>
      </w:r>
    </w:p>
    <w:p w14:paraId="466B485F" w14:textId="77777777" w:rsidR="00427D70" w:rsidRPr="005B1999" w:rsidRDefault="00427D70" w:rsidP="00A3247B">
      <w:pPr>
        <w:numPr>
          <w:ilvl w:val="0"/>
          <w:numId w:val="34"/>
        </w:numPr>
        <w:spacing w:after="0"/>
      </w:pPr>
      <w:r w:rsidRPr="005B1999">
        <w:rPr>
          <w:lang w:val="fr-BE"/>
        </w:rPr>
        <w:t>Lot 1:</w:t>
      </w:r>
      <w:r w:rsidRPr="005B1999">
        <w:rPr>
          <w:b/>
          <w:bCs/>
          <w:lang w:val="fr-BE"/>
        </w:rPr>
        <w:t xml:space="preserve"> </w:t>
      </w:r>
      <w:r w:rsidRPr="005B1999">
        <w:rPr>
          <w:b/>
          <w:bCs/>
          <w:lang w:val="fr-BE"/>
        </w:rPr>
        <w:tab/>
        <w:t>Lait</w:t>
      </w:r>
    </w:p>
    <w:p w14:paraId="1CC44DDD" w14:textId="77777777" w:rsidR="00427D70" w:rsidRPr="005B1999" w:rsidRDefault="00427D70" w:rsidP="00A3247B">
      <w:pPr>
        <w:numPr>
          <w:ilvl w:val="0"/>
          <w:numId w:val="34"/>
        </w:numPr>
        <w:spacing w:after="0"/>
        <w:rPr>
          <w:lang w:val="fr-BE"/>
        </w:rPr>
      </w:pPr>
      <w:r w:rsidRPr="005B1999">
        <w:rPr>
          <w:lang w:val="fr-BE"/>
        </w:rPr>
        <w:lastRenderedPageBreak/>
        <w:t xml:space="preserve">Lot 2: </w:t>
      </w:r>
      <w:r w:rsidRPr="005B1999">
        <w:rPr>
          <w:lang w:val="fr-BE"/>
        </w:rPr>
        <w:tab/>
      </w:r>
      <w:r w:rsidRPr="005B1999">
        <w:rPr>
          <w:b/>
          <w:bCs/>
          <w:lang w:val="fr-BE"/>
        </w:rPr>
        <w:t>Sardines</w:t>
      </w:r>
      <w:r w:rsidRPr="005B1999">
        <w:rPr>
          <w:lang w:val="fr-BE"/>
        </w:rPr>
        <w:t xml:space="preserve"> </w:t>
      </w:r>
      <w:r w:rsidRPr="005B1999">
        <w:rPr>
          <w:b/>
          <w:lang w:val="fr-BE"/>
        </w:rPr>
        <w:t>(sous huile d’olive)</w:t>
      </w:r>
      <w:r w:rsidRPr="005B1999">
        <w:rPr>
          <w:lang w:val="fr-BE"/>
        </w:rPr>
        <w:t xml:space="preserve"> </w:t>
      </w:r>
    </w:p>
    <w:p w14:paraId="31EBD999" w14:textId="77777777" w:rsidR="00427D70" w:rsidRPr="005B1999" w:rsidRDefault="00427D70" w:rsidP="00A3247B">
      <w:pPr>
        <w:numPr>
          <w:ilvl w:val="0"/>
          <w:numId w:val="34"/>
        </w:numPr>
        <w:spacing w:after="0"/>
      </w:pPr>
      <w:r w:rsidRPr="005B1999">
        <w:rPr>
          <w:lang w:val="fr-BE"/>
        </w:rPr>
        <w:t xml:space="preserve">Lot 3: </w:t>
      </w:r>
      <w:r w:rsidRPr="005B1999">
        <w:rPr>
          <w:lang w:val="fr-BE"/>
        </w:rPr>
        <w:tab/>
      </w:r>
      <w:r w:rsidRPr="005B1999">
        <w:rPr>
          <w:b/>
          <w:bCs/>
          <w:lang w:val="fr-BE"/>
        </w:rPr>
        <w:t xml:space="preserve">Lentilles </w:t>
      </w:r>
    </w:p>
    <w:p w14:paraId="400792E8" w14:textId="77777777" w:rsidR="00427D70" w:rsidRPr="005B1999" w:rsidRDefault="00427D70" w:rsidP="00A3247B">
      <w:pPr>
        <w:numPr>
          <w:ilvl w:val="0"/>
          <w:numId w:val="34"/>
        </w:numPr>
        <w:spacing w:after="0"/>
        <w:rPr>
          <w:lang w:val="fr-BE"/>
        </w:rPr>
      </w:pPr>
      <w:r w:rsidRPr="005B1999">
        <w:rPr>
          <w:lang w:val="fr-BE"/>
        </w:rPr>
        <w:t>Lot 4:</w:t>
      </w:r>
      <w:r w:rsidRPr="005B1999">
        <w:rPr>
          <w:b/>
          <w:bCs/>
          <w:lang w:val="fr-BE"/>
        </w:rPr>
        <w:t xml:space="preserve"> </w:t>
      </w:r>
      <w:r w:rsidRPr="005B1999">
        <w:rPr>
          <w:b/>
          <w:bCs/>
          <w:lang w:val="fr-BE"/>
        </w:rPr>
        <w:tab/>
        <w:t>Poulet en sauce</w:t>
      </w:r>
      <w:r w:rsidRPr="005B1999">
        <w:rPr>
          <w:lang w:val="fr-BE"/>
        </w:rPr>
        <w:t xml:space="preserve"> </w:t>
      </w:r>
    </w:p>
    <w:p w14:paraId="7D9B9D54" w14:textId="77777777" w:rsidR="00427D70" w:rsidRPr="005B1999" w:rsidRDefault="00427D70" w:rsidP="00A3247B">
      <w:pPr>
        <w:numPr>
          <w:ilvl w:val="0"/>
          <w:numId w:val="34"/>
        </w:numPr>
        <w:spacing w:after="0"/>
      </w:pPr>
      <w:r w:rsidRPr="005B1999">
        <w:rPr>
          <w:lang w:val="fr-BE"/>
        </w:rPr>
        <w:t xml:space="preserve">Lot 5: </w:t>
      </w:r>
      <w:r w:rsidRPr="005B1999">
        <w:rPr>
          <w:lang w:val="fr-BE"/>
        </w:rPr>
        <w:tab/>
      </w:r>
      <w:r w:rsidR="00916F5D" w:rsidRPr="005B1999">
        <w:rPr>
          <w:b/>
          <w:bCs/>
          <w:lang w:val="fr-BE"/>
        </w:rPr>
        <w:t>Pâtes (2 sortes)</w:t>
      </w:r>
      <w:r w:rsidRPr="005B1999">
        <w:rPr>
          <w:lang w:val="fr-BE"/>
        </w:rPr>
        <w:t> </w:t>
      </w:r>
    </w:p>
    <w:p w14:paraId="55EF918E" w14:textId="77777777" w:rsidR="00427D70" w:rsidRPr="005B1999" w:rsidRDefault="00427D70" w:rsidP="00A3247B">
      <w:pPr>
        <w:numPr>
          <w:ilvl w:val="0"/>
          <w:numId w:val="34"/>
        </w:numPr>
        <w:spacing w:after="0"/>
      </w:pPr>
      <w:r w:rsidRPr="005B1999">
        <w:rPr>
          <w:lang w:val="fr-BE"/>
        </w:rPr>
        <w:t xml:space="preserve">Lot 6: </w:t>
      </w:r>
      <w:r w:rsidRPr="005B1999">
        <w:rPr>
          <w:lang w:val="fr-BE"/>
        </w:rPr>
        <w:tab/>
      </w:r>
      <w:r w:rsidRPr="005B1999">
        <w:rPr>
          <w:b/>
          <w:bCs/>
          <w:lang w:val="fr-BE"/>
        </w:rPr>
        <w:t>Semoule</w:t>
      </w:r>
    </w:p>
    <w:p w14:paraId="62AFE01B" w14:textId="77777777" w:rsidR="00427D70" w:rsidRPr="005B1999" w:rsidRDefault="00427D70" w:rsidP="00A3247B">
      <w:pPr>
        <w:numPr>
          <w:ilvl w:val="0"/>
          <w:numId w:val="34"/>
        </w:numPr>
        <w:spacing w:after="0"/>
      </w:pPr>
      <w:r w:rsidRPr="005B1999">
        <w:rPr>
          <w:lang w:val="fr-BE"/>
        </w:rPr>
        <w:t xml:space="preserve">Lot 7: </w:t>
      </w:r>
      <w:r w:rsidRPr="005B1999">
        <w:rPr>
          <w:lang w:val="fr-BE"/>
        </w:rPr>
        <w:tab/>
      </w:r>
      <w:r w:rsidRPr="005B1999">
        <w:rPr>
          <w:b/>
          <w:bCs/>
          <w:lang w:val="fr-BE"/>
        </w:rPr>
        <w:t>Tomates pelées</w:t>
      </w:r>
      <w:r w:rsidRPr="005B1999">
        <w:rPr>
          <w:lang w:val="fr-BE"/>
        </w:rPr>
        <w:t xml:space="preserve">  </w:t>
      </w:r>
    </w:p>
    <w:p w14:paraId="10355EC0" w14:textId="77777777" w:rsidR="00427D70" w:rsidRPr="005B1999" w:rsidRDefault="00427D70" w:rsidP="00A3247B">
      <w:pPr>
        <w:numPr>
          <w:ilvl w:val="0"/>
          <w:numId w:val="34"/>
        </w:numPr>
        <w:spacing w:after="0"/>
      </w:pPr>
      <w:r w:rsidRPr="005B1999">
        <w:rPr>
          <w:lang w:val="fr-BE"/>
        </w:rPr>
        <w:t xml:space="preserve">Lot 8: </w:t>
      </w:r>
      <w:r w:rsidRPr="005B1999">
        <w:rPr>
          <w:lang w:val="fr-BE"/>
        </w:rPr>
        <w:tab/>
      </w:r>
      <w:r w:rsidR="00916F5D" w:rsidRPr="005B1999">
        <w:rPr>
          <w:b/>
          <w:bCs/>
          <w:lang w:val="fr-BE"/>
        </w:rPr>
        <w:t>Haricots verts très fins</w:t>
      </w:r>
      <w:r w:rsidRPr="005B1999">
        <w:rPr>
          <w:lang w:val="fr-BE"/>
        </w:rPr>
        <w:t> </w:t>
      </w:r>
    </w:p>
    <w:p w14:paraId="6A80B7A6" w14:textId="77777777" w:rsidR="00427D70" w:rsidRPr="005B1999" w:rsidRDefault="00427D70" w:rsidP="00A3247B">
      <w:pPr>
        <w:numPr>
          <w:ilvl w:val="0"/>
          <w:numId w:val="34"/>
        </w:numPr>
        <w:spacing w:after="0"/>
        <w:rPr>
          <w:lang w:val="fr-BE"/>
        </w:rPr>
      </w:pPr>
      <w:r w:rsidRPr="005B1999">
        <w:rPr>
          <w:lang w:val="fr-BE"/>
        </w:rPr>
        <w:t xml:space="preserve">Lot 9: </w:t>
      </w:r>
      <w:r w:rsidRPr="005B1999">
        <w:rPr>
          <w:b/>
          <w:lang w:val="fr-BE"/>
        </w:rPr>
        <w:tab/>
        <w:t>F</w:t>
      </w:r>
      <w:r w:rsidRPr="005B1999">
        <w:rPr>
          <w:b/>
          <w:bCs/>
          <w:lang w:val="fr-BE"/>
        </w:rPr>
        <w:t>romage de type vache qui rit</w:t>
      </w:r>
    </w:p>
    <w:p w14:paraId="67125B94" w14:textId="77777777" w:rsidR="00427D70" w:rsidRPr="005B1999" w:rsidRDefault="00427D70" w:rsidP="00A3247B">
      <w:pPr>
        <w:numPr>
          <w:ilvl w:val="0"/>
          <w:numId w:val="34"/>
        </w:numPr>
        <w:spacing w:after="0"/>
      </w:pPr>
      <w:r w:rsidRPr="005B1999">
        <w:rPr>
          <w:lang w:val="fr-BE"/>
        </w:rPr>
        <w:t xml:space="preserve">Lot 10: </w:t>
      </w:r>
      <w:r w:rsidR="00916F5D" w:rsidRPr="005B1999">
        <w:rPr>
          <w:b/>
          <w:bCs/>
          <w:lang w:val="fr-BE"/>
        </w:rPr>
        <w:t>Mousseline de pommes</w:t>
      </w:r>
      <w:r w:rsidRPr="005B1999">
        <w:rPr>
          <w:lang w:val="fr-BE"/>
        </w:rPr>
        <w:t xml:space="preserve"> </w:t>
      </w:r>
    </w:p>
    <w:p w14:paraId="46503BC5" w14:textId="77777777" w:rsidR="00427D70" w:rsidRPr="005B1999" w:rsidRDefault="00427D70" w:rsidP="00A3247B">
      <w:pPr>
        <w:numPr>
          <w:ilvl w:val="0"/>
          <w:numId w:val="34"/>
        </w:numPr>
        <w:spacing w:after="0"/>
      </w:pPr>
      <w:r w:rsidRPr="005B1999">
        <w:rPr>
          <w:lang w:val="fr-BE"/>
        </w:rPr>
        <w:t>Lot 11:</w:t>
      </w:r>
      <w:r w:rsidRPr="005B1999">
        <w:rPr>
          <w:b/>
          <w:bCs/>
          <w:lang w:val="fr-BE"/>
        </w:rPr>
        <w:t xml:space="preserve"> Huile d’olive</w:t>
      </w:r>
    </w:p>
    <w:p w14:paraId="0F11C9D7" w14:textId="77777777" w:rsidR="00427D70" w:rsidRPr="005B1999" w:rsidRDefault="00427D70" w:rsidP="00A3247B">
      <w:pPr>
        <w:numPr>
          <w:ilvl w:val="0"/>
          <w:numId w:val="34"/>
        </w:numPr>
        <w:spacing w:after="0"/>
      </w:pPr>
      <w:r w:rsidRPr="005B1999">
        <w:rPr>
          <w:lang w:val="fr-BE"/>
        </w:rPr>
        <w:t xml:space="preserve">Lot 12: </w:t>
      </w:r>
      <w:r w:rsidRPr="005B1999">
        <w:rPr>
          <w:b/>
          <w:bCs/>
          <w:lang w:val="fr-BE"/>
        </w:rPr>
        <w:t>Confiture</w:t>
      </w:r>
      <w:r w:rsidRPr="005B1999">
        <w:rPr>
          <w:lang w:val="fr-BE"/>
        </w:rPr>
        <w:t> </w:t>
      </w:r>
      <w:r w:rsidRPr="005B1999">
        <w:rPr>
          <w:b/>
          <w:bCs/>
          <w:lang w:val="fr-BE"/>
        </w:rPr>
        <w:t>de fraises</w:t>
      </w:r>
    </w:p>
    <w:p w14:paraId="3878E558" w14:textId="77777777" w:rsidR="00916F5D" w:rsidRPr="005B1999" w:rsidRDefault="00427D70" w:rsidP="00A3247B">
      <w:pPr>
        <w:numPr>
          <w:ilvl w:val="0"/>
          <w:numId w:val="34"/>
        </w:numPr>
        <w:spacing w:after="0"/>
      </w:pPr>
      <w:r w:rsidRPr="005B1999">
        <w:rPr>
          <w:lang w:val="fr-BE"/>
        </w:rPr>
        <w:t xml:space="preserve">Lot 13: </w:t>
      </w:r>
      <w:r w:rsidR="00916F5D" w:rsidRPr="005B1999">
        <w:rPr>
          <w:b/>
          <w:bCs/>
          <w:lang w:val="fr-BE"/>
        </w:rPr>
        <w:t>Pétales de maïs sucrés</w:t>
      </w:r>
    </w:p>
    <w:p w14:paraId="11032934" w14:textId="129EA70A" w:rsidR="00427D70" w:rsidRPr="005B1999" w:rsidRDefault="005B1999" w:rsidP="00A3247B">
      <w:pPr>
        <w:numPr>
          <w:ilvl w:val="0"/>
          <w:numId w:val="34"/>
        </w:numPr>
        <w:spacing w:after="0"/>
      </w:pPr>
      <w:r>
        <w:rPr>
          <w:bCs/>
          <w:lang w:val="fr-BE"/>
        </w:rPr>
        <w:t>Lot 14</w:t>
      </w:r>
      <w:r w:rsidR="00916F5D" w:rsidRPr="005B1999">
        <w:rPr>
          <w:bCs/>
          <w:lang w:val="fr-BE"/>
        </w:rPr>
        <w:t>:</w:t>
      </w:r>
      <w:r>
        <w:rPr>
          <w:lang w:val="fr-BE"/>
        </w:rPr>
        <w:t xml:space="preserve"> </w:t>
      </w:r>
      <w:r w:rsidR="00916F5D" w:rsidRPr="005B1999">
        <w:rPr>
          <w:b/>
          <w:lang w:val="fr-BE"/>
        </w:rPr>
        <w:t>Pétales de blé au chocolat</w:t>
      </w:r>
    </w:p>
    <w:p w14:paraId="41506743" w14:textId="77777777" w:rsidR="00427D70" w:rsidRPr="005B1999" w:rsidRDefault="00427D70" w:rsidP="00A3247B">
      <w:pPr>
        <w:numPr>
          <w:ilvl w:val="0"/>
          <w:numId w:val="34"/>
        </w:numPr>
        <w:spacing w:after="0"/>
        <w:rPr>
          <w:lang w:val="fr-BE"/>
        </w:rPr>
      </w:pPr>
      <w:r w:rsidRPr="005B1999">
        <w:rPr>
          <w:lang w:val="fr-BE"/>
        </w:rPr>
        <w:t>Lot 1</w:t>
      </w:r>
      <w:r w:rsidR="00916F5D" w:rsidRPr="005B1999">
        <w:rPr>
          <w:lang w:val="fr-BE"/>
        </w:rPr>
        <w:t>5</w:t>
      </w:r>
      <w:r w:rsidRPr="005B1999">
        <w:rPr>
          <w:lang w:val="fr-BE"/>
        </w:rPr>
        <w:t xml:space="preserve">: </w:t>
      </w:r>
      <w:r w:rsidRPr="005B1999">
        <w:rPr>
          <w:b/>
          <w:lang w:val="fr-BE"/>
        </w:rPr>
        <w:t>Chocolat</w:t>
      </w:r>
      <w:r w:rsidR="00916F5D" w:rsidRPr="005B1999">
        <w:rPr>
          <w:lang w:val="fr-BE"/>
        </w:rPr>
        <w:t xml:space="preserve"> </w:t>
      </w:r>
      <w:r w:rsidR="00916F5D" w:rsidRPr="005B1999">
        <w:rPr>
          <w:b/>
          <w:lang w:val="fr-BE"/>
        </w:rPr>
        <w:t>au lait</w:t>
      </w:r>
      <w:r w:rsidRPr="005B1999">
        <w:rPr>
          <w:lang w:val="fr-BE"/>
        </w:rPr>
        <w:t xml:space="preserve"> </w:t>
      </w:r>
    </w:p>
    <w:p w14:paraId="44965818" w14:textId="77777777" w:rsidR="00427D70" w:rsidRPr="005B1999" w:rsidRDefault="00427D70" w:rsidP="00A3247B">
      <w:pPr>
        <w:spacing w:after="0"/>
        <w:ind w:left="720"/>
      </w:pPr>
    </w:p>
    <w:p w14:paraId="645AE6FA" w14:textId="77777777" w:rsidR="006D6CA6" w:rsidRPr="005B1999" w:rsidRDefault="006D6CA6" w:rsidP="00A3247B">
      <w:r w:rsidRPr="005B1999">
        <w:t xml:space="preserve">Pour information, </w:t>
      </w:r>
      <w:r w:rsidR="002D381E" w:rsidRPr="005B1999">
        <w:t>le tableau ci-dessous fournit</w:t>
      </w:r>
      <w:r w:rsidRPr="005B1999">
        <w:t xml:space="preserve"> la comparaison de la liste des produits de 201</w:t>
      </w:r>
      <w:r w:rsidR="00427D70" w:rsidRPr="005B1999">
        <w:t>4</w:t>
      </w:r>
      <w:r w:rsidRPr="005B1999">
        <w:t xml:space="preserve"> par rapport à la liste des produits de 201</w:t>
      </w:r>
      <w:r w:rsidR="00427D70" w:rsidRPr="005B1999">
        <w:t>5</w:t>
      </w:r>
      <w:r w:rsidRPr="005B1999">
        <w:t>.</w:t>
      </w:r>
    </w:p>
    <w:tbl>
      <w:tblPr>
        <w:tblStyle w:val="Tabelraster"/>
        <w:tblW w:w="0" w:type="auto"/>
        <w:tblLook w:val="04A0" w:firstRow="1" w:lastRow="0" w:firstColumn="1" w:lastColumn="0" w:noHBand="0" w:noVBand="1"/>
      </w:tblPr>
      <w:tblGrid>
        <w:gridCol w:w="4710"/>
        <w:gridCol w:w="4352"/>
      </w:tblGrid>
      <w:tr w:rsidR="006D6CA6" w:rsidRPr="00A3247B" w14:paraId="65762474" w14:textId="77777777" w:rsidTr="00082AA6">
        <w:tc>
          <w:tcPr>
            <w:tcW w:w="4786" w:type="dxa"/>
            <w:shd w:val="clear" w:color="auto" w:fill="A6A6A6" w:themeFill="background1" w:themeFillShade="A6"/>
          </w:tcPr>
          <w:p w14:paraId="0E5BFFA2" w14:textId="77777777" w:rsidR="006D6CA6" w:rsidRPr="00A3247B" w:rsidRDefault="006D6CA6" w:rsidP="00A3247B">
            <w:pPr>
              <w:spacing w:line="276" w:lineRule="auto"/>
              <w:rPr>
                <w:b/>
                <w:szCs w:val="24"/>
              </w:rPr>
            </w:pPr>
            <w:r w:rsidRPr="00A3247B">
              <w:rPr>
                <w:b/>
                <w:szCs w:val="24"/>
              </w:rPr>
              <w:t>Produits 201</w:t>
            </w:r>
            <w:r w:rsidR="00427D70" w:rsidRPr="00A3247B">
              <w:rPr>
                <w:b/>
                <w:szCs w:val="24"/>
              </w:rPr>
              <w:t>4</w:t>
            </w:r>
          </w:p>
        </w:tc>
        <w:tc>
          <w:tcPr>
            <w:tcW w:w="4426" w:type="dxa"/>
            <w:shd w:val="clear" w:color="auto" w:fill="A6A6A6" w:themeFill="background1" w:themeFillShade="A6"/>
          </w:tcPr>
          <w:p w14:paraId="7A6A9229" w14:textId="77777777" w:rsidR="006D6CA6" w:rsidRPr="00A3247B" w:rsidRDefault="006D6CA6" w:rsidP="00A3247B">
            <w:pPr>
              <w:spacing w:line="276" w:lineRule="auto"/>
              <w:rPr>
                <w:b/>
                <w:szCs w:val="24"/>
              </w:rPr>
            </w:pPr>
            <w:r w:rsidRPr="00A3247B">
              <w:rPr>
                <w:b/>
                <w:szCs w:val="24"/>
              </w:rPr>
              <w:t>Produits 201</w:t>
            </w:r>
            <w:r w:rsidR="00427D70" w:rsidRPr="00A3247B">
              <w:rPr>
                <w:b/>
                <w:szCs w:val="24"/>
              </w:rPr>
              <w:t>5</w:t>
            </w:r>
          </w:p>
        </w:tc>
      </w:tr>
      <w:tr w:rsidR="00427D70" w:rsidRPr="00A3247B" w14:paraId="3DD49C30" w14:textId="77777777" w:rsidTr="00414C8A">
        <w:tc>
          <w:tcPr>
            <w:tcW w:w="4786" w:type="dxa"/>
            <w:shd w:val="clear" w:color="auto" w:fill="auto"/>
          </w:tcPr>
          <w:p w14:paraId="00617633" w14:textId="77777777" w:rsidR="00427D70" w:rsidRPr="00414C8A" w:rsidRDefault="00427D70" w:rsidP="00A3247B">
            <w:pPr>
              <w:spacing w:before="100" w:beforeAutospacing="1" w:after="100" w:afterAutospacing="1" w:line="276" w:lineRule="auto"/>
              <w:rPr>
                <w:szCs w:val="24"/>
              </w:rPr>
            </w:pPr>
            <w:r w:rsidRPr="00414C8A">
              <w:rPr>
                <w:szCs w:val="24"/>
              </w:rPr>
              <w:t>Lait demi-écrémé</w:t>
            </w:r>
          </w:p>
        </w:tc>
        <w:tc>
          <w:tcPr>
            <w:tcW w:w="4426" w:type="dxa"/>
          </w:tcPr>
          <w:p w14:paraId="36001FE6" w14:textId="77777777" w:rsidR="00427D70" w:rsidRPr="00414C8A" w:rsidRDefault="007E5D36" w:rsidP="00A3247B">
            <w:pPr>
              <w:spacing w:before="100" w:beforeAutospacing="1" w:after="100" w:afterAutospacing="1" w:line="276" w:lineRule="auto"/>
              <w:rPr>
                <w:szCs w:val="24"/>
              </w:rPr>
            </w:pPr>
            <w:r w:rsidRPr="00414C8A">
              <w:rPr>
                <w:szCs w:val="24"/>
              </w:rPr>
              <w:t>Lait demi-écrémé</w:t>
            </w:r>
          </w:p>
        </w:tc>
      </w:tr>
      <w:tr w:rsidR="00427D70" w:rsidRPr="00A3247B" w14:paraId="365209AB" w14:textId="77777777" w:rsidTr="00414C8A">
        <w:tc>
          <w:tcPr>
            <w:tcW w:w="4786" w:type="dxa"/>
            <w:shd w:val="clear" w:color="auto" w:fill="auto"/>
          </w:tcPr>
          <w:p w14:paraId="2078B94D" w14:textId="77777777" w:rsidR="00427D70" w:rsidRPr="00414C8A" w:rsidRDefault="00427D70" w:rsidP="00A3247B">
            <w:pPr>
              <w:spacing w:before="100" w:beforeAutospacing="1" w:after="100" w:afterAutospacing="1" w:line="276" w:lineRule="auto"/>
              <w:rPr>
                <w:szCs w:val="24"/>
              </w:rPr>
            </w:pPr>
            <w:r w:rsidRPr="00414C8A">
              <w:rPr>
                <w:szCs w:val="24"/>
              </w:rPr>
              <w:t>Saumon en conserve</w:t>
            </w:r>
          </w:p>
        </w:tc>
        <w:tc>
          <w:tcPr>
            <w:tcW w:w="4426" w:type="dxa"/>
            <w:shd w:val="clear" w:color="auto" w:fill="D9D9D9" w:themeFill="background1" w:themeFillShade="D9"/>
          </w:tcPr>
          <w:p w14:paraId="52698CF9" w14:textId="77777777" w:rsidR="00427D70" w:rsidRPr="00414C8A" w:rsidRDefault="007E5D36" w:rsidP="00A3247B">
            <w:pPr>
              <w:spacing w:before="100" w:beforeAutospacing="1" w:after="100" w:afterAutospacing="1" w:line="276" w:lineRule="auto"/>
              <w:rPr>
                <w:szCs w:val="24"/>
              </w:rPr>
            </w:pPr>
            <w:r w:rsidRPr="00414C8A">
              <w:rPr>
                <w:szCs w:val="24"/>
              </w:rPr>
              <w:t>Sardines à l’huile d’olive</w:t>
            </w:r>
          </w:p>
        </w:tc>
      </w:tr>
      <w:tr w:rsidR="00427D70" w:rsidRPr="00A3247B" w14:paraId="4FC0D435" w14:textId="77777777" w:rsidTr="00414C8A">
        <w:tc>
          <w:tcPr>
            <w:tcW w:w="4786" w:type="dxa"/>
            <w:shd w:val="clear" w:color="auto" w:fill="auto"/>
          </w:tcPr>
          <w:p w14:paraId="0449BD77" w14:textId="77777777" w:rsidR="00427D70" w:rsidRPr="00414C8A" w:rsidRDefault="00427D70" w:rsidP="00A3247B">
            <w:pPr>
              <w:spacing w:before="100" w:beforeAutospacing="1" w:after="100" w:afterAutospacing="1" w:line="276" w:lineRule="auto"/>
              <w:rPr>
                <w:szCs w:val="24"/>
              </w:rPr>
            </w:pPr>
            <w:r w:rsidRPr="00414C8A">
              <w:rPr>
                <w:szCs w:val="24"/>
              </w:rPr>
              <w:t>Filets de maquereau à la sauce tomate</w:t>
            </w:r>
          </w:p>
        </w:tc>
        <w:tc>
          <w:tcPr>
            <w:tcW w:w="4426" w:type="dxa"/>
            <w:shd w:val="clear" w:color="auto" w:fill="D9D9D9" w:themeFill="background1" w:themeFillShade="D9"/>
          </w:tcPr>
          <w:p w14:paraId="1BF637A1" w14:textId="77777777" w:rsidR="00427D70" w:rsidRPr="00414C8A" w:rsidRDefault="007E5D36" w:rsidP="00A3247B">
            <w:pPr>
              <w:spacing w:before="100" w:beforeAutospacing="1" w:after="100" w:afterAutospacing="1" w:line="276" w:lineRule="auto"/>
              <w:rPr>
                <w:szCs w:val="24"/>
              </w:rPr>
            </w:pPr>
            <w:r w:rsidRPr="00414C8A">
              <w:rPr>
                <w:szCs w:val="24"/>
              </w:rPr>
              <w:t>Lentilles</w:t>
            </w:r>
          </w:p>
        </w:tc>
      </w:tr>
      <w:tr w:rsidR="00427D70" w:rsidRPr="00A3247B" w14:paraId="17152C9F" w14:textId="77777777" w:rsidTr="00414C8A">
        <w:tc>
          <w:tcPr>
            <w:tcW w:w="4786" w:type="dxa"/>
            <w:shd w:val="clear" w:color="auto" w:fill="auto"/>
          </w:tcPr>
          <w:p w14:paraId="3399E25A" w14:textId="77777777" w:rsidR="00427D70" w:rsidRPr="00414C8A" w:rsidRDefault="00427D70" w:rsidP="00A3247B">
            <w:pPr>
              <w:spacing w:line="276" w:lineRule="auto"/>
              <w:rPr>
                <w:bCs/>
                <w:szCs w:val="24"/>
              </w:rPr>
            </w:pPr>
            <w:r w:rsidRPr="00414C8A">
              <w:rPr>
                <w:szCs w:val="24"/>
              </w:rPr>
              <w:t>Carbonnades de bœuf</w:t>
            </w:r>
          </w:p>
        </w:tc>
        <w:tc>
          <w:tcPr>
            <w:tcW w:w="4426" w:type="dxa"/>
            <w:shd w:val="clear" w:color="auto" w:fill="D9D9D9" w:themeFill="background1" w:themeFillShade="D9"/>
          </w:tcPr>
          <w:p w14:paraId="318D5C28" w14:textId="77777777" w:rsidR="00427D70" w:rsidRPr="00414C8A" w:rsidRDefault="007E5D36" w:rsidP="00A3247B">
            <w:pPr>
              <w:spacing w:line="276" w:lineRule="auto"/>
              <w:rPr>
                <w:bCs/>
                <w:szCs w:val="24"/>
              </w:rPr>
            </w:pPr>
            <w:r w:rsidRPr="00414C8A">
              <w:rPr>
                <w:bCs/>
                <w:szCs w:val="24"/>
              </w:rPr>
              <w:t>Poulet en sauce</w:t>
            </w:r>
          </w:p>
        </w:tc>
      </w:tr>
      <w:tr w:rsidR="00427D70" w:rsidRPr="00A3247B" w14:paraId="1FCF792E" w14:textId="77777777" w:rsidTr="00414C8A">
        <w:tc>
          <w:tcPr>
            <w:tcW w:w="4786" w:type="dxa"/>
            <w:shd w:val="clear" w:color="auto" w:fill="auto"/>
          </w:tcPr>
          <w:p w14:paraId="225D8B2F" w14:textId="77777777" w:rsidR="00427D70" w:rsidRPr="00414C8A" w:rsidRDefault="00427D70" w:rsidP="00A3247B">
            <w:pPr>
              <w:spacing w:line="276" w:lineRule="auto"/>
              <w:rPr>
                <w:bCs/>
                <w:szCs w:val="24"/>
              </w:rPr>
            </w:pPr>
            <w:r w:rsidRPr="00414C8A">
              <w:rPr>
                <w:szCs w:val="24"/>
              </w:rPr>
              <w:t>Macaronis</w:t>
            </w:r>
          </w:p>
        </w:tc>
        <w:tc>
          <w:tcPr>
            <w:tcW w:w="4426" w:type="dxa"/>
            <w:shd w:val="clear" w:color="auto" w:fill="D9D9D9" w:themeFill="background1" w:themeFillShade="D9"/>
          </w:tcPr>
          <w:p w14:paraId="79B13F1F" w14:textId="77777777" w:rsidR="00427D70" w:rsidRPr="00414C8A" w:rsidRDefault="00A3247B" w:rsidP="00A3247B">
            <w:pPr>
              <w:spacing w:line="276" w:lineRule="auto"/>
              <w:rPr>
                <w:bCs/>
                <w:szCs w:val="24"/>
              </w:rPr>
            </w:pPr>
            <w:r w:rsidRPr="00414C8A">
              <w:rPr>
                <w:bCs/>
                <w:szCs w:val="24"/>
              </w:rPr>
              <w:t>2 types de pâtes</w:t>
            </w:r>
            <w:r w:rsidR="006354EB" w:rsidRPr="00414C8A">
              <w:rPr>
                <w:bCs/>
                <w:szCs w:val="24"/>
              </w:rPr>
              <w:t xml:space="preserve">: spaghetti et </w:t>
            </w:r>
            <w:proofErr w:type="spellStart"/>
            <w:r w:rsidR="006354EB" w:rsidRPr="00414C8A">
              <w:rPr>
                <w:bCs/>
                <w:szCs w:val="24"/>
              </w:rPr>
              <w:t>spirelli</w:t>
            </w:r>
            <w:proofErr w:type="spellEnd"/>
            <w:r w:rsidR="007E5D36" w:rsidRPr="00414C8A">
              <w:rPr>
                <w:bCs/>
                <w:szCs w:val="24"/>
              </w:rPr>
              <w:t xml:space="preserve"> </w:t>
            </w:r>
          </w:p>
        </w:tc>
      </w:tr>
      <w:tr w:rsidR="00427D70" w:rsidRPr="00A3247B" w14:paraId="73635E99" w14:textId="77777777" w:rsidTr="00414C8A">
        <w:tc>
          <w:tcPr>
            <w:tcW w:w="4786" w:type="dxa"/>
            <w:shd w:val="clear" w:color="auto" w:fill="auto"/>
          </w:tcPr>
          <w:p w14:paraId="7568A95B" w14:textId="77777777" w:rsidR="00427D70" w:rsidRPr="00414C8A" w:rsidRDefault="00427D70" w:rsidP="00A3247B">
            <w:pPr>
              <w:spacing w:before="100" w:beforeAutospacing="1" w:after="100" w:afterAutospacing="1" w:line="276" w:lineRule="auto"/>
              <w:rPr>
                <w:szCs w:val="24"/>
              </w:rPr>
            </w:pPr>
            <w:r w:rsidRPr="00414C8A">
              <w:rPr>
                <w:szCs w:val="24"/>
              </w:rPr>
              <w:t xml:space="preserve">Flocons de pommes de terre </w:t>
            </w:r>
          </w:p>
        </w:tc>
        <w:tc>
          <w:tcPr>
            <w:tcW w:w="4426" w:type="dxa"/>
            <w:shd w:val="clear" w:color="auto" w:fill="D9D9D9" w:themeFill="background1" w:themeFillShade="D9"/>
          </w:tcPr>
          <w:p w14:paraId="4B360B7C" w14:textId="77777777" w:rsidR="00427D70" w:rsidRPr="00414C8A" w:rsidRDefault="007E5D36" w:rsidP="00A3247B">
            <w:pPr>
              <w:spacing w:before="100" w:beforeAutospacing="1" w:after="100" w:afterAutospacing="1" w:line="276" w:lineRule="auto"/>
              <w:rPr>
                <w:szCs w:val="24"/>
              </w:rPr>
            </w:pPr>
            <w:r w:rsidRPr="00414C8A">
              <w:rPr>
                <w:szCs w:val="24"/>
              </w:rPr>
              <w:t>Semoule</w:t>
            </w:r>
          </w:p>
        </w:tc>
      </w:tr>
      <w:tr w:rsidR="00427D70" w:rsidRPr="00A3247B" w14:paraId="5A468F69" w14:textId="77777777" w:rsidTr="00414C8A">
        <w:tc>
          <w:tcPr>
            <w:tcW w:w="4786" w:type="dxa"/>
            <w:shd w:val="clear" w:color="auto" w:fill="auto"/>
          </w:tcPr>
          <w:p w14:paraId="46310985" w14:textId="77777777" w:rsidR="00427D70" w:rsidRPr="00414C8A" w:rsidRDefault="00427D70" w:rsidP="00A3247B">
            <w:pPr>
              <w:spacing w:before="100" w:beforeAutospacing="1" w:after="100" w:afterAutospacing="1" w:line="276" w:lineRule="auto"/>
              <w:rPr>
                <w:bCs/>
                <w:szCs w:val="24"/>
              </w:rPr>
            </w:pPr>
            <w:r w:rsidRPr="00414C8A">
              <w:rPr>
                <w:szCs w:val="24"/>
              </w:rPr>
              <w:t xml:space="preserve">Tomates pelées </w:t>
            </w:r>
          </w:p>
        </w:tc>
        <w:tc>
          <w:tcPr>
            <w:tcW w:w="4426" w:type="dxa"/>
          </w:tcPr>
          <w:p w14:paraId="6247098F" w14:textId="77777777" w:rsidR="00427D70" w:rsidRPr="00414C8A" w:rsidRDefault="007E5D36" w:rsidP="00A3247B">
            <w:pPr>
              <w:spacing w:before="100" w:beforeAutospacing="1" w:after="100" w:afterAutospacing="1" w:line="276" w:lineRule="auto"/>
              <w:rPr>
                <w:bCs/>
                <w:szCs w:val="24"/>
              </w:rPr>
            </w:pPr>
            <w:r w:rsidRPr="00414C8A">
              <w:rPr>
                <w:bCs/>
                <w:szCs w:val="24"/>
              </w:rPr>
              <w:t>Tomates pelées</w:t>
            </w:r>
          </w:p>
        </w:tc>
      </w:tr>
      <w:tr w:rsidR="00427D70" w:rsidRPr="00A3247B" w14:paraId="2D78C2A5" w14:textId="77777777" w:rsidTr="00414C8A">
        <w:tc>
          <w:tcPr>
            <w:tcW w:w="4786" w:type="dxa"/>
            <w:shd w:val="clear" w:color="auto" w:fill="auto"/>
          </w:tcPr>
          <w:p w14:paraId="5FF88E87" w14:textId="77777777" w:rsidR="00427D70" w:rsidRPr="00414C8A" w:rsidRDefault="00427D70" w:rsidP="00A3247B">
            <w:pPr>
              <w:spacing w:before="100" w:beforeAutospacing="1" w:after="100" w:afterAutospacing="1" w:line="276" w:lineRule="auto"/>
              <w:rPr>
                <w:bCs/>
                <w:szCs w:val="24"/>
              </w:rPr>
            </w:pPr>
            <w:r w:rsidRPr="00414C8A">
              <w:rPr>
                <w:szCs w:val="24"/>
              </w:rPr>
              <w:t xml:space="preserve">Petits pois et carottes </w:t>
            </w:r>
          </w:p>
        </w:tc>
        <w:tc>
          <w:tcPr>
            <w:tcW w:w="4426" w:type="dxa"/>
            <w:shd w:val="clear" w:color="auto" w:fill="D9D9D9" w:themeFill="background1" w:themeFillShade="D9"/>
          </w:tcPr>
          <w:p w14:paraId="5D80B3A6" w14:textId="77777777" w:rsidR="00427D70" w:rsidRPr="00414C8A" w:rsidRDefault="006354EB" w:rsidP="00A3247B">
            <w:pPr>
              <w:spacing w:before="100" w:beforeAutospacing="1" w:after="100" w:afterAutospacing="1" w:line="276" w:lineRule="auto"/>
              <w:rPr>
                <w:bCs/>
                <w:szCs w:val="24"/>
              </w:rPr>
            </w:pPr>
            <w:r w:rsidRPr="00414C8A">
              <w:rPr>
                <w:szCs w:val="24"/>
              </w:rPr>
              <w:t>Haricots verts très fins</w:t>
            </w:r>
          </w:p>
        </w:tc>
      </w:tr>
      <w:tr w:rsidR="00427D70" w:rsidRPr="00A3247B" w14:paraId="3FE32D61" w14:textId="77777777" w:rsidTr="00414C8A">
        <w:tc>
          <w:tcPr>
            <w:tcW w:w="4786" w:type="dxa"/>
            <w:shd w:val="clear" w:color="auto" w:fill="auto"/>
          </w:tcPr>
          <w:p w14:paraId="0CCFF788" w14:textId="77777777" w:rsidR="00427D70" w:rsidRPr="00414C8A" w:rsidRDefault="00427D70" w:rsidP="00A3247B">
            <w:pPr>
              <w:spacing w:before="100" w:beforeAutospacing="1" w:after="100" w:afterAutospacing="1" w:line="276" w:lineRule="auto"/>
              <w:rPr>
                <w:bCs/>
                <w:szCs w:val="24"/>
              </w:rPr>
            </w:pPr>
            <w:r w:rsidRPr="00414C8A">
              <w:rPr>
                <w:szCs w:val="24"/>
              </w:rPr>
              <w:t>Champignons</w:t>
            </w:r>
          </w:p>
        </w:tc>
        <w:tc>
          <w:tcPr>
            <w:tcW w:w="4426" w:type="dxa"/>
            <w:shd w:val="clear" w:color="auto" w:fill="D9D9D9" w:themeFill="background1" w:themeFillShade="D9"/>
          </w:tcPr>
          <w:p w14:paraId="2157C9BD" w14:textId="77777777" w:rsidR="00427D70" w:rsidRPr="00414C8A" w:rsidRDefault="007E5D36" w:rsidP="00A3247B">
            <w:pPr>
              <w:spacing w:before="100" w:beforeAutospacing="1" w:after="100" w:afterAutospacing="1" w:line="276" w:lineRule="auto"/>
              <w:rPr>
                <w:bCs/>
                <w:szCs w:val="24"/>
              </w:rPr>
            </w:pPr>
            <w:r w:rsidRPr="00414C8A">
              <w:rPr>
                <w:bCs/>
                <w:szCs w:val="24"/>
              </w:rPr>
              <w:t>Fromage fond de type vache qui rit</w:t>
            </w:r>
          </w:p>
        </w:tc>
      </w:tr>
      <w:tr w:rsidR="00427D70" w:rsidRPr="00A3247B" w14:paraId="2B63F7F3" w14:textId="77777777" w:rsidTr="00414C8A">
        <w:tc>
          <w:tcPr>
            <w:tcW w:w="4786" w:type="dxa"/>
            <w:shd w:val="clear" w:color="auto" w:fill="auto"/>
          </w:tcPr>
          <w:p w14:paraId="0950B44A" w14:textId="77777777" w:rsidR="00427D70" w:rsidRPr="00414C8A" w:rsidRDefault="00427D70" w:rsidP="00A3247B">
            <w:pPr>
              <w:spacing w:before="100" w:beforeAutospacing="1" w:after="100" w:afterAutospacing="1" w:line="276" w:lineRule="auto"/>
              <w:rPr>
                <w:bCs/>
                <w:szCs w:val="24"/>
              </w:rPr>
            </w:pPr>
            <w:r w:rsidRPr="00414C8A">
              <w:rPr>
                <w:szCs w:val="24"/>
              </w:rPr>
              <w:t>Cocktail de fruit au sirop léger</w:t>
            </w:r>
          </w:p>
        </w:tc>
        <w:tc>
          <w:tcPr>
            <w:tcW w:w="4426" w:type="dxa"/>
            <w:shd w:val="clear" w:color="auto" w:fill="D9D9D9" w:themeFill="background1" w:themeFillShade="D9"/>
          </w:tcPr>
          <w:p w14:paraId="78212A62" w14:textId="77777777" w:rsidR="00427D70" w:rsidRPr="00414C8A" w:rsidRDefault="006354EB" w:rsidP="00A3247B">
            <w:pPr>
              <w:spacing w:before="100" w:beforeAutospacing="1" w:after="100" w:afterAutospacing="1" w:line="276" w:lineRule="auto"/>
              <w:rPr>
                <w:bCs/>
                <w:szCs w:val="24"/>
              </w:rPr>
            </w:pPr>
            <w:r w:rsidRPr="00414C8A">
              <w:rPr>
                <w:bCs/>
                <w:szCs w:val="24"/>
              </w:rPr>
              <w:t>Mousseline de pommes</w:t>
            </w:r>
          </w:p>
        </w:tc>
      </w:tr>
      <w:tr w:rsidR="00427D70" w:rsidRPr="00A3247B" w14:paraId="358BFF24" w14:textId="77777777" w:rsidTr="00414C8A">
        <w:tc>
          <w:tcPr>
            <w:tcW w:w="4786" w:type="dxa"/>
            <w:shd w:val="clear" w:color="auto" w:fill="auto"/>
          </w:tcPr>
          <w:p w14:paraId="352BF2FB" w14:textId="77777777" w:rsidR="00427D70" w:rsidRPr="00414C8A" w:rsidRDefault="00427D70" w:rsidP="00A3247B">
            <w:pPr>
              <w:spacing w:line="276" w:lineRule="auto"/>
              <w:rPr>
                <w:szCs w:val="24"/>
              </w:rPr>
            </w:pPr>
            <w:r w:rsidRPr="00414C8A">
              <w:rPr>
                <w:szCs w:val="24"/>
              </w:rPr>
              <w:t>Huile d'arachide</w:t>
            </w:r>
          </w:p>
        </w:tc>
        <w:tc>
          <w:tcPr>
            <w:tcW w:w="4426" w:type="dxa"/>
            <w:shd w:val="clear" w:color="auto" w:fill="D9D9D9" w:themeFill="background1" w:themeFillShade="D9"/>
          </w:tcPr>
          <w:p w14:paraId="72154885" w14:textId="77777777" w:rsidR="00427D70" w:rsidRPr="00414C8A" w:rsidRDefault="007E5D36" w:rsidP="00A3247B">
            <w:pPr>
              <w:spacing w:line="276" w:lineRule="auto"/>
              <w:rPr>
                <w:szCs w:val="24"/>
              </w:rPr>
            </w:pPr>
            <w:r w:rsidRPr="00414C8A">
              <w:rPr>
                <w:szCs w:val="24"/>
              </w:rPr>
              <w:t>Huile d’olive</w:t>
            </w:r>
          </w:p>
        </w:tc>
      </w:tr>
      <w:tr w:rsidR="00427D70" w:rsidRPr="00A3247B" w14:paraId="08653ED4" w14:textId="77777777" w:rsidTr="00414C8A">
        <w:tc>
          <w:tcPr>
            <w:tcW w:w="4786" w:type="dxa"/>
            <w:shd w:val="clear" w:color="auto" w:fill="auto"/>
          </w:tcPr>
          <w:p w14:paraId="56C7E669" w14:textId="77777777" w:rsidR="00427D70" w:rsidRPr="00414C8A" w:rsidRDefault="00427D70" w:rsidP="00A3247B">
            <w:pPr>
              <w:spacing w:line="276" w:lineRule="auto"/>
              <w:rPr>
                <w:bCs/>
                <w:szCs w:val="24"/>
              </w:rPr>
            </w:pPr>
            <w:r w:rsidRPr="00414C8A">
              <w:rPr>
                <w:szCs w:val="24"/>
              </w:rPr>
              <w:t>Confiture extra aux quatre fruits rouges</w:t>
            </w:r>
          </w:p>
        </w:tc>
        <w:tc>
          <w:tcPr>
            <w:tcW w:w="4426" w:type="dxa"/>
            <w:shd w:val="clear" w:color="auto" w:fill="D9D9D9" w:themeFill="background1" w:themeFillShade="D9"/>
          </w:tcPr>
          <w:p w14:paraId="4DDF3E48" w14:textId="77777777" w:rsidR="00427D70" w:rsidRPr="00414C8A" w:rsidRDefault="007E5D36" w:rsidP="00A3247B">
            <w:pPr>
              <w:spacing w:line="276" w:lineRule="auto"/>
              <w:rPr>
                <w:bCs/>
                <w:szCs w:val="24"/>
              </w:rPr>
            </w:pPr>
            <w:r w:rsidRPr="00414C8A">
              <w:rPr>
                <w:bCs/>
                <w:szCs w:val="24"/>
              </w:rPr>
              <w:t>Confiture de fraises</w:t>
            </w:r>
          </w:p>
        </w:tc>
      </w:tr>
      <w:tr w:rsidR="00082AA6" w:rsidRPr="00A3247B" w14:paraId="2F025DF3" w14:textId="77777777" w:rsidTr="00414C8A">
        <w:tc>
          <w:tcPr>
            <w:tcW w:w="4786" w:type="dxa"/>
            <w:shd w:val="clear" w:color="auto" w:fill="auto"/>
          </w:tcPr>
          <w:p w14:paraId="2F28095B" w14:textId="77777777" w:rsidR="00082AA6" w:rsidRPr="00414C8A" w:rsidRDefault="00082AA6" w:rsidP="00A3247B">
            <w:pPr>
              <w:spacing w:line="276" w:lineRule="auto"/>
              <w:rPr>
                <w:bCs/>
                <w:szCs w:val="24"/>
              </w:rPr>
            </w:pPr>
            <w:r w:rsidRPr="00414C8A">
              <w:rPr>
                <w:szCs w:val="24"/>
              </w:rPr>
              <w:t>Céréales pour petit-déjeuner (blé soufflé enrobé de miel)</w:t>
            </w:r>
          </w:p>
        </w:tc>
        <w:tc>
          <w:tcPr>
            <w:tcW w:w="4426" w:type="dxa"/>
            <w:shd w:val="clear" w:color="auto" w:fill="D9D9D9" w:themeFill="background1" w:themeFillShade="D9"/>
          </w:tcPr>
          <w:p w14:paraId="2DFBC6B2" w14:textId="77777777" w:rsidR="00082AA6" w:rsidRPr="00414C8A" w:rsidRDefault="00082AA6" w:rsidP="00A3247B">
            <w:pPr>
              <w:spacing w:line="276" w:lineRule="auto"/>
              <w:rPr>
                <w:bCs/>
                <w:szCs w:val="24"/>
              </w:rPr>
            </w:pPr>
            <w:r w:rsidRPr="00414C8A">
              <w:rPr>
                <w:bCs/>
                <w:szCs w:val="24"/>
              </w:rPr>
              <w:t>Pétales de mais sucrés</w:t>
            </w:r>
          </w:p>
        </w:tc>
      </w:tr>
      <w:tr w:rsidR="00082AA6" w:rsidRPr="00A3247B" w14:paraId="5DD6FD16" w14:textId="77777777" w:rsidTr="00082AA6">
        <w:tc>
          <w:tcPr>
            <w:tcW w:w="4786" w:type="dxa"/>
          </w:tcPr>
          <w:p w14:paraId="08DB1177" w14:textId="77777777" w:rsidR="00082AA6" w:rsidRPr="00414C8A" w:rsidRDefault="003E6836" w:rsidP="00A3247B">
            <w:pPr>
              <w:spacing w:line="276" w:lineRule="auto"/>
              <w:rPr>
                <w:szCs w:val="24"/>
              </w:rPr>
            </w:pPr>
            <w:r w:rsidRPr="00414C8A">
              <w:rPr>
                <w:szCs w:val="24"/>
              </w:rPr>
              <w:t>Poudre de pudding à la vanille</w:t>
            </w:r>
          </w:p>
        </w:tc>
        <w:tc>
          <w:tcPr>
            <w:tcW w:w="4426" w:type="dxa"/>
            <w:shd w:val="clear" w:color="auto" w:fill="D9D9D9" w:themeFill="background1" w:themeFillShade="D9"/>
          </w:tcPr>
          <w:p w14:paraId="5739C211" w14:textId="77777777" w:rsidR="00082AA6" w:rsidRPr="00414C8A" w:rsidRDefault="00082AA6" w:rsidP="00A3247B">
            <w:pPr>
              <w:spacing w:line="276" w:lineRule="auto"/>
              <w:rPr>
                <w:bCs/>
                <w:szCs w:val="24"/>
              </w:rPr>
            </w:pPr>
            <w:r w:rsidRPr="00414C8A">
              <w:rPr>
                <w:bCs/>
                <w:szCs w:val="24"/>
              </w:rPr>
              <w:t>Pétales de blé au chocolat</w:t>
            </w:r>
          </w:p>
        </w:tc>
      </w:tr>
      <w:tr w:rsidR="00082AA6" w:rsidRPr="00A3247B" w14:paraId="5D584A5A" w14:textId="77777777" w:rsidTr="00082AA6">
        <w:tc>
          <w:tcPr>
            <w:tcW w:w="4786" w:type="dxa"/>
          </w:tcPr>
          <w:p w14:paraId="1BB818F3" w14:textId="77777777" w:rsidR="00082AA6" w:rsidRPr="00414C8A" w:rsidRDefault="00082AA6" w:rsidP="00A3247B">
            <w:pPr>
              <w:spacing w:line="276" w:lineRule="auto"/>
              <w:rPr>
                <w:bCs/>
                <w:szCs w:val="24"/>
              </w:rPr>
            </w:pPr>
          </w:p>
        </w:tc>
        <w:tc>
          <w:tcPr>
            <w:tcW w:w="4426" w:type="dxa"/>
            <w:shd w:val="clear" w:color="auto" w:fill="D9D9D9" w:themeFill="background1" w:themeFillShade="D9"/>
          </w:tcPr>
          <w:p w14:paraId="00A1E199" w14:textId="77777777" w:rsidR="00082AA6" w:rsidRPr="00414C8A" w:rsidRDefault="00082AA6" w:rsidP="00A3247B">
            <w:pPr>
              <w:spacing w:line="276" w:lineRule="auto"/>
              <w:rPr>
                <w:bCs/>
                <w:szCs w:val="24"/>
              </w:rPr>
            </w:pPr>
            <w:r w:rsidRPr="00414C8A">
              <w:rPr>
                <w:bCs/>
                <w:szCs w:val="24"/>
              </w:rPr>
              <w:t>Chocolat au lait (tablettes)</w:t>
            </w:r>
          </w:p>
        </w:tc>
      </w:tr>
    </w:tbl>
    <w:p w14:paraId="6872ECAB" w14:textId="77777777" w:rsidR="005977F9" w:rsidRDefault="005977F9" w:rsidP="00A3247B">
      <w:pPr>
        <w:tabs>
          <w:tab w:val="num" w:pos="720"/>
        </w:tabs>
        <w:spacing w:before="240"/>
        <w:rPr>
          <w:lang w:val="fr-BE"/>
        </w:rPr>
      </w:pPr>
    </w:p>
    <w:p w14:paraId="1F293923" w14:textId="77777777" w:rsidR="00BB3D93" w:rsidRPr="005B1999" w:rsidRDefault="00BB3D93" w:rsidP="00A3247B">
      <w:pPr>
        <w:tabs>
          <w:tab w:val="num" w:pos="720"/>
        </w:tabs>
        <w:spacing w:before="240"/>
        <w:rPr>
          <w:u w:val="single"/>
          <w:lang w:val="fr-BE"/>
        </w:rPr>
      </w:pPr>
      <w:r w:rsidRPr="005B1999">
        <w:rPr>
          <w:lang w:val="fr-BE"/>
        </w:rPr>
        <w:t>2.2.3.2</w:t>
      </w:r>
      <w:r w:rsidRPr="005B1999">
        <w:rPr>
          <w:u w:val="single"/>
          <w:lang w:val="fr-BE"/>
        </w:rPr>
        <w:t xml:space="preserve">  Liste de produits 2016</w:t>
      </w:r>
    </w:p>
    <w:p w14:paraId="0B81BBE0" w14:textId="677839C2" w:rsidR="0092222A" w:rsidRPr="005B1999" w:rsidRDefault="0092222A" w:rsidP="00A3247B">
      <w:r w:rsidRPr="005B1999">
        <w:t xml:space="preserve">En </w:t>
      </w:r>
      <w:r w:rsidR="007E5D36" w:rsidRPr="005B1999">
        <w:t>septembre</w:t>
      </w:r>
      <w:r w:rsidRPr="005B1999">
        <w:t xml:space="preserve"> 201</w:t>
      </w:r>
      <w:r w:rsidR="007E5D36" w:rsidRPr="005B1999">
        <w:t>5</w:t>
      </w:r>
      <w:r w:rsidRPr="005B1999">
        <w:t>, l'AG a entamé les préparatifs pour l'exercice 201</w:t>
      </w:r>
      <w:r w:rsidR="007E5D36" w:rsidRPr="005B1999">
        <w:t>6</w:t>
      </w:r>
      <w:r w:rsidRPr="005B1999">
        <w:t>, avec notamment l'adaptation de la liste de produits.</w:t>
      </w:r>
    </w:p>
    <w:p w14:paraId="0B1130C8" w14:textId="5A7ADE65" w:rsidR="00E6683B" w:rsidRPr="005B1999" w:rsidRDefault="009C7416" w:rsidP="00A3247B">
      <w:r w:rsidRPr="005B1999">
        <w:lastRenderedPageBreak/>
        <w:t>L</w:t>
      </w:r>
      <w:r w:rsidR="002D381E" w:rsidRPr="005B1999">
        <w:t xml:space="preserve">’AG a </w:t>
      </w:r>
      <w:r w:rsidR="007E5D36" w:rsidRPr="005B1999">
        <w:t>de nouveau</w:t>
      </w:r>
      <w:r w:rsidR="00E6683B" w:rsidRPr="005B1999">
        <w:t xml:space="preserve"> </w:t>
      </w:r>
      <w:r w:rsidR="002D381E" w:rsidRPr="005B1999">
        <w:t xml:space="preserve">veillé </w:t>
      </w:r>
      <w:r w:rsidR="00E6683B" w:rsidRPr="005B1999">
        <w:t xml:space="preserve">à suivre les conseils de plusieurs experts en alimentation et en </w:t>
      </w:r>
      <w:r w:rsidR="007E5D36" w:rsidRPr="005B1999">
        <w:t>développement durable (</w:t>
      </w:r>
      <w:r w:rsidR="00E6683B" w:rsidRPr="005B1999">
        <w:t>SPF Santé publique, Sécurité de la chaîne alimentaire et Environnement</w:t>
      </w:r>
      <w:r w:rsidR="007E5D36" w:rsidRPr="005B1999">
        <w:t>)</w:t>
      </w:r>
      <w:r w:rsidR="00E6683B" w:rsidRPr="005B1999">
        <w:t xml:space="preserve">. Une réunion a été organisée à cet effet le </w:t>
      </w:r>
      <w:r w:rsidR="00BB3D93" w:rsidRPr="005B1999">
        <w:t>19</w:t>
      </w:r>
      <w:r w:rsidR="00E6683B" w:rsidRPr="005B1999">
        <w:t>/11/201</w:t>
      </w:r>
      <w:r w:rsidR="00BB3D93" w:rsidRPr="005B1999">
        <w:t>5</w:t>
      </w:r>
      <w:r w:rsidR="00E6683B" w:rsidRPr="005B1999">
        <w:t>.</w:t>
      </w:r>
    </w:p>
    <w:p w14:paraId="44B2912B" w14:textId="1FC3CC67" w:rsidR="005B1999" w:rsidRPr="00224623" w:rsidRDefault="00E6683B" w:rsidP="00A3247B">
      <w:r w:rsidRPr="005B1999">
        <w:t xml:space="preserve">Les conclusions des experts et les adaptations proposées pour la liste des produits ont ensuite été </w:t>
      </w:r>
      <w:r w:rsidR="002D381E" w:rsidRPr="005B1999">
        <w:t>discutées</w:t>
      </w:r>
      <w:r w:rsidRPr="005B1999">
        <w:t xml:space="preserve"> avec </w:t>
      </w:r>
      <w:r w:rsidR="007E5D36" w:rsidRPr="005B1999">
        <w:t xml:space="preserve">le groupe de réflexion </w:t>
      </w:r>
      <w:r w:rsidRPr="005B1999">
        <w:t xml:space="preserve">FEAD </w:t>
      </w:r>
      <w:r w:rsidR="002D381E" w:rsidRPr="005B1999">
        <w:t>avec l</w:t>
      </w:r>
      <w:r w:rsidRPr="005B1999">
        <w:t xml:space="preserve">es principaux acteurs du secteur de l'aide alimentaire en Belgique. Une réunion a eu lieu à ce propos en date du </w:t>
      </w:r>
      <w:r w:rsidR="00BB3D93" w:rsidRPr="005B1999">
        <w:t>11/12/</w:t>
      </w:r>
      <w:r w:rsidRPr="005B1999">
        <w:t>201</w:t>
      </w:r>
      <w:r w:rsidR="00BB3D93" w:rsidRPr="005B1999">
        <w:t>5</w:t>
      </w:r>
      <w:r w:rsidR="009C7416" w:rsidRPr="005B1999">
        <w:t xml:space="preserve"> et la liste de produits a été validée</w:t>
      </w:r>
      <w:r w:rsidRPr="005B1999">
        <w:t>.</w:t>
      </w:r>
      <w:r w:rsidR="00224623">
        <w:t xml:space="preserve"> Une réunion spécifique avec nos experts du vécu a eu lieu </w:t>
      </w:r>
      <w:r w:rsidR="005B1999" w:rsidRPr="00224623">
        <w:t>le 27/10/2015.</w:t>
      </w:r>
    </w:p>
    <w:p w14:paraId="01FD3F86" w14:textId="021CDE86" w:rsidR="00E6683B" w:rsidRPr="005B1999" w:rsidRDefault="00E6683B" w:rsidP="00A3247B">
      <w:r w:rsidRPr="005B1999">
        <w:t xml:space="preserve">La liste des produits a </w:t>
      </w:r>
      <w:r w:rsidR="00532856" w:rsidRPr="005B1999">
        <w:t xml:space="preserve">été </w:t>
      </w:r>
      <w:r w:rsidR="002D381E" w:rsidRPr="005B1999">
        <w:t>fortement adaptée</w:t>
      </w:r>
      <w:r w:rsidRPr="005B1999">
        <w:t xml:space="preserve">. </w:t>
      </w:r>
      <w:r w:rsidR="002D381E" w:rsidRPr="005B1999">
        <w:t>L</w:t>
      </w:r>
      <w:r w:rsidRPr="005B1999">
        <w:t>e tableau ci-dessous</w:t>
      </w:r>
      <w:r w:rsidR="002D381E" w:rsidRPr="005B1999">
        <w:t xml:space="preserve"> présente</w:t>
      </w:r>
      <w:r w:rsidRPr="005B1999">
        <w:t xml:space="preserve"> les</w:t>
      </w:r>
      <w:r w:rsidR="002D381E" w:rsidRPr="005B1999">
        <w:t xml:space="preserve"> principales</w:t>
      </w:r>
      <w:r w:rsidRPr="005B1999">
        <w:t xml:space="preserve"> adaptations par rappor</w:t>
      </w:r>
      <w:r w:rsidR="007E5D36" w:rsidRPr="005B1999">
        <w:t>t à la liste de produits de 2015</w:t>
      </w:r>
      <w:r w:rsidRPr="005B1999">
        <w:t xml:space="preserve">. </w:t>
      </w:r>
    </w:p>
    <w:tbl>
      <w:tblPr>
        <w:tblStyle w:val="Tabelraster"/>
        <w:tblW w:w="0" w:type="auto"/>
        <w:tblLook w:val="04A0" w:firstRow="1" w:lastRow="0" w:firstColumn="1" w:lastColumn="0" w:noHBand="0" w:noVBand="1"/>
      </w:tblPr>
      <w:tblGrid>
        <w:gridCol w:w="4530"/>
        <w:gridCol w:w="4532"/>
      </w:tblGrid>
      <w:tr w:rsidR="00E6683B" w:rsidRPr="005B1999" w14:paraId="3E286DBD" w14:textId="77777777" w:rsidTr="0028522B">
        <w:tc>
          <w:tcPr>
            <w:tcW w:w="4530" w:type="dxa"/>
            <w:shd w:val="clear" w:color="auto" w:fill="A6A6A6" w:themeFill="background1" w:themeFillShade="A6"/>
          </w:tcPr>
          <w:p w14:paraId="6B7AB68B" w14:textId="77777777" w:rsidR="00E6683B" w:rsidRPr="005B1999" w:rsidRDefault="007E5D36" w:rsidP="00A3247B">
            <w:pPr>
              <w:spacing w:line="276" w:lineRule="auto"/>
              <w:rPr>
                <w:b/>
                <w:szCs w:val="24"/>
              </w:rPr>
            </w:pPr>
            <w:r w:rsidRPr="005B1999">
              <w:rPr>
                <w:b/>
                <w:szCs w:val="24"/>
              </w:rPr>
              <w:t>Produits 2015</w:t>
            </w:r>
          </w:p>
        </w:tc>
        <w:tc>
          <w:tcPr>
            <w:tcW w:w="4532" w:type="dxa"/>
            <w:shd w:val="clear" w:color="auto" w:fill="A6A6A6" w:themeFill="background1" w:themeFillShade="A6"/>
          </w:tcPr>
          <w:p w14:paraId="5DB9DB8C" w14:textId="77777777" w:rsidR="00E6683B" w:rsidRPr="005B1999" w:rsidRDefault="007E5D36" w:rsidP="00A3247B">
            <w:pPr>
              <w:spacing w:line="276" w:lineRule="auto"/>
              <w:rPr>
                <w:b/>
                <w:szCs w:val="24"/>
              </w:rPr>
            </w:pPr>
            <w:r w:rsidRPr="005B1999">
              <w:rPr>
                <w:b/>
                <w:szCs w:val="24"/>
              </w:rPr>
              <w:t>Produits 2016</w:t>
            </w:r>
          </w:p>
        </w:tc>
      </w:tr>
      <w:tr w:rsidR="007E5D36" w:rsidRPr="005B1999" w14:paraId="65560144" w14:textId="77777777" w:rsidTr="00532856">
        <w:tc>
          <w:tcPr>
            <w:tcW w:w="4530" w:type="dxa"/>
            <w:shd w:val="clear" w:color="auto" w:fill="auto"/>
          </w:tcPr>
          <w:p w14:paraId="3006CA5F" w14:textId="77777777" w:rsidR="007E5D36" w:rsidRPr="005B1999" w:rsidRDefault="007E5D36" w:rsidP="00A3247B">
            <w:pPr>
              <w:spacing w:before="100" w:beforeAutospacing="1" w:after="100" w:afterAutospacing="1" w:line="276" w:lineRule="auto"/>
              <w:rPr>
                <w:szCs w:val="24"/>
              </w:rPr>
            </w:pPr>
            <w:r w:rsidRPr="005B1999">
              <w:rPr>
                <w:szCs w:val="24"/>
              </w:rPr>
              <w:t>Lait demi-écrémé</w:t>
            </w:r>
          </w:p>
        </w:tc>
        <w:tc>
          <w:tcPr>
            <w:tcW w:w="4532" w:type="dxa"/>
          </w:tcPr>
          <w:p w14:paraId="0F8E68C5" w14:textId="77777777" w:rsidR="007E5D36" w:rsidRPr="005B1999" w:rsidRDefault="00975B99" w:rsidP="00A3247B">
            <w:pPr>
              <w:spacing w:line="276" w:lineRule="auto"/>
              <w:rPr>
                <w:szCs w:val="24"/>
              </w:rPr>
            </w:pPr>
            <w:r w:rsidRPr="005B1999">
              <w:rPr>
                <w:szCs w:val="24"/>
              </w:rPr>
              <w:t>Lait demi écrémé</w:t>
            </w:r>
          </w:p>
        </w:tc>
      </w:tr>
      <w:tr w:rsidR="007E5D36" w:rsidRPr="005B1999" w14:paraId="6BA1C96C" w14:textId="77777777" w:rsidTr="00532856">
        <w:tc>
          <w:tcPr>
            <w:tcW w:w="4530" w:type="dxa"/>
            <w:shd w:val="clear" w:color="auto" w:fill="auto"/>
          </w:tcPr>
          <w:p w14:paraId="2F7B7448" w14:textId="77777777" w:rsidR="007E5D36" w:rsidRPr="005B1999" w:rsidRDefault="007E5D36" w:rsidP="00A3247B">
            <w:pPr>
              <w:spacing w:before="100" w:beforeAutospacing="1" w:after="100" w:afterAutospacing="1" w:line="276" w:lineRule="auto"/>
              <w:rPr>
                <w:szCs w:val="24"/>
              </w:rPr>
            </w:pPr>
            <w:r w:rsidRPr="005B1999">
              <w:rPr>
                <w:szCs w:val="24"/>
              </w:rPr>
              <w:t>Sardines à l’huile d’olive</w:t>
            </w:r>
          </w:p>
        </w:tc>
        <w:tc>
          <w:tcPr>
            <w:tcW w:w="4532" w:type="dxa"/>
            <w:shd w:val="clear" w:color="auto" w:fill="D9D9D9" w:themeFill="background1" w:themeFillShade="D9"/>
          </w:tcPr>
          <w:p w14:paraId="2E28BB2F" w14:textId="77777777" w:rsidR="007E5D36" w:rsidRPr="005B1999" w:rsidRDefault="00975B99" w:rsidP="00A3247B">
            <w:pPr>
              <w:spacing w:line="276" w:lineRule="auto"/>
              <w:rPr>
                <w:szCs w:val="24"/>
              </w:rPr>
            </w:pPr>
            <w:r w:rsidRPr="005B1999">
              <w:rPr>
                <w:szCs w:val="24"/>
              </w:rPr>
              <w:t>Maquereaux à l’huile d’olive</w:t>
            </w:r>
          </w:p>
        </w:tc>
      </w:tr>
      <w:tr w:rsidR="00975B99" w:rsidRPr="005B1999" w14:paraId="320D1287" w14:textId="77777777" w:rsidTr="00532856">
        <w:tc>
          <w:tcPr>
            <w:tcW w:w="4530" w:type="dxa"/>
            <w:shd w:val="clear" w:color="auto" w:fill="auto"/>
          </w:tcPr>
          <w:p w14:paraId="38B91BC9" w14:textId="77777777" w:rsidR="00975B99" w:rsidRPr="005B1999" w:rsidRDefault="00975B99" w:rsidP="00A3247B">
            <w:pPr>
              <w:spacing w:before="100" w:beforeAutospacing="1" w:after="100" w:afterAutospacing="1" w:line="276" w:lineRule="auto"/>
              <w:rPr>
                <w:szCs w:val="24"/>
              </w:rPr>
            </w:pPr>
            <w:r w:rsidRPr="005B1999">
              <w:rPr>
                <w:szCs w:val="24"/>
              </w:rPr>
              <w:t>Lentilles</w:t>
            </w:r>
          </w:p>
        </w:tc>
        <w:tc>
          <w:tcPr>
            <w:tcW w:w="4532" w:type="dxa"/>
            <w:shd w:val="clear" w:color="auto" w:fill="D9D9D9" w:themeFill="background1" w:themeFillShade="D9"/>
          </w:tcPr>
          <w:p w14:paraId="306BC90F" w14:textId="77777777" w:rsidR="00975B99" w:rsidRPr="005B1999" w:rsidRDefault="00975B99" w:rsidP="00A3247B">
            <w:pPr>
              <w:spacing w:line="276" w:lineRule="auto"/>
              <w:rPr>
                <w:szCs w:val="24"/>
              </w:rPr>
            </w:pPr>
            <w:r w:rsidRPr="005B1999">
              <w:rPr>
                <w:szCs w:val="24"/>
                <w:lang w:val="fr-BE"/>
              </w:rPr>
              <w:t>Pois chiches</w:t>
            </w:r>
          </w:p>
        </w:tc>
      </w:tr>
      <w:tr w:rsidR="00975B99" w:rsidRPr="005B1999" w14:paraId="79497335" w14:textId="77777777" w:rsidTr="00532856">
        <w:tc>
          <w:tcPr>
            <w:tcW w:w="4530" w:type="dxa"/>
            <w:shd w:val="clear" w:color="auto" w:fill="auto"/>
          </w:tcPr>
          <w:p w14:paraId="3A8C82DC" w14:textId="3B1362FD" w:rsidR="00975B99" w:rsidRPr="005B1999" w:rsidRDefault="00975B99" w:rsidP="00532856">
            <w:pPr>
              <w:tabs>
                <w:tab w:val="left" w:pos="3345"/>
              </w:tabs>
              <w:spacing w:line="276" w:lineRule="auto"/>
              <w:rPr>
                <w:bCs/>
                <w:szCs w:val="24"/>
              </w:rPr>
            </w:pPr>
            <w:r w:rsidRPr="005B1999">
              <w:rPr>
                <w:bCs/>
                <w:szCs w:val="24"/>
              </w:rPr>
              <w:t>Poulet en sauce</w:t>
            </w:r>
            <w:r w:rsidR="00532856" w:rsidRPr="005B1999">
              <w:rPr>
                <w:bCs/>
                <w:szCs w:val="24"/>
              </w:rPr>
              <w:tab/>
            </w:r>
          </w:p>
        </w:tc>
        <w:tc>
          <w:tcPr>
            <w:tcW w:w="4532" w:type="dxa"/>
            <w:shd w:val="clear" w:color="auto" w:fill="FFFFFF" w:themeFill="background1"/>
          </w:tcPr>
          <w:p w14:paraId="3B850624" w14:textId="77777777" w:rsidR="00975B99" w:rsidRPr="005B1999" w:rsidRDefault="00975B99" w:rsidP="00A3247B">
            <w:pPr>
              <w:spacing w:line="276" w:lineRule="auto"/>
              <w:rPr>
                <w:szCs w:val="24"/>
              </w:rPr>
            </w:pPr>
            <w:r w:rsidRPr="005B1999">
              <w:rPr>
                <w:szCs w:val="24"/>
                <w:lang w:val="fr-BE"/>
              </w:rPr>
              <w:t xml:space="preserve">Poulet en sauce </w:t>
            </w:r>
          </w:p>
        </w:tc>
      </w:tr>
      <w:tr w:rsidR="00975B99" w:rsidRPr="005B1999" w14:paraId="707504F6" w14:textId="77777777" w:rsidTr="00532856">
        <w:tc>
          <w:tcPr>
            <w:tcW w:w="4530" w:type="dxa"/>
            <w:shd w:val="clear" w:color="auto" w:fill="auto"/>
          </w:tcPr>
          <w:p w14:paraId="11D5BA2F" w14:textId="1F6EE553" w:rsidR="00975B99" w:rsidRPr="005B1999" w:rsidRDefault="00975B99" w:rsidP="00A3247B">
            <w:pPr>
              <w:spacing w:line="276" w:lineRule="auto"/>
              <w:rPr>
                <w:bCs/>
                <w:szCs w:val="24"/>
              </w:rPr>
            </w:pPr>
            <w:r w:rsidRPr="005B1999">
              <w:rPr>
                <w:bCs/>
                <w:szCs w:val="24"/>
              </w:rPr>
              <w:t>Pâtes (2 sortes : spa</w:t>
            </w:r>
            <w:r w:rsidR="00852B51">
              <w:rPr>
                <w:bCs/>
                <w:szCs w:val="24"/>
              </w:rPr>
              <w:t>g</w:t>
            </w:r>
            <w:r w:rsidRPr="005B1999">
              <w:rPr>
                <w:bCs/>
                <w:szCs w:val="24"/>
              </w:rPr>
              <w:t xml:space="preserve">hetti et </w:t>
            </w:r>
            <w:proofErr w:type="spellStart"/>
            <w:r w:rsidRPr="005B1999">
              <w:rPr>
                <w:bCs/>
                <w:szCs w:val="24"/>
              </w:rPr>
              <w:t>spirelli</w:t>
            </w:r>
            <w:proofErr w:type="spellEnd"/>
            <w:r w:rsidRPr="005B1999">
              <w:rPr>
                <w:bCs/>
                <w:szCs w:val="24"/>
              </w:rPr>
              <w:t xml:space="preserve">) </w:t>
            </w:r>
          </w:p>
        </w:tc>
        <w:tc>
          <w:tcPr>
            <w:tcW w:w="4532" w:type="dxa"/>
            <w:shd w:val="clear" w:color="auto" w:fill="D9D9D9" w:themeFill="background1" w:themeFillShade="D9"/>
          </w:tcPr>
          <w:p w14:paraId="4F544F5A" w14:textId="77777777" w:rsidR="00975B99" w:rsidRPr="005B1999" w:rsidRDefault="00975B99" w:rsidP="00A3247B">
            <w:pPr>
              <w:spacing w:line="276" w:lineRule="auto"/>
              <w:rPr>
                <w:szCs w:val="24"/>
              </w:rPr>
            </w:pPr>
            <w:r w:rsidRPr="005B1999">
              <w:rPr>
                <w:szCs w:val="24"/>
                <w:lang w:val="fr-BE"/>
              </w:rPr>
              <w:t>Pâtes: Penne</w:t>
            </w:r>
          </w:p>
        </w:tc>
      </w:tr>
      <w:tr w:rsidR="00975B99" w:rsidRPr="005B1999" w14:paraId="76A836C6" w14:textId="77777777" w:rsidTr="00532856">
        <w:tc>
          <w:tcPr>
            <w:tcW w:w="4530" w:type="dxa"/>
            <w:shd w:val="clear" w:color="auto" w:fill="auto"/>
          </w:tcPr>
          <w:p w14:paraId="544C4654" w14:textId="77777777" w:rsidR="00975B99" w:rsidRPr="005B1999" w:rsidRDefault="00975B99" w:rsidP="00A3247B">
            <w:pPr>
              <w:spacing w:before="100" w:beforeAutospacing="1" w:after="100" w:afterAutospacing="1" w:line="276" w:lineRule="auto"/>
              <w:rPr>
                <w:szCs w:val="24"/>
              </w:rPr>
            </w:pPr>
            <w:r w:rsidRPr="005B1999">
              <w:rPr>
                <w:szCs w:val="24"/>
              </w:rPr>
              <w:t>Semoule</w:t>
            </w:r>
          </w:p>
        </w:tc>
        <w:tc>
          <w:tcPr>
            <w:tcW w:w="4532" w:type="dxa"/>
            <w:shd w:val="clear" w:color="auto" w:fill="D9D9D9" w:themeFill="background1" w:themeFillShade="D9"/>
          </w:tcPr>
          <w:p w14:paraId="0D32F330" w14:textId="77777777" w:rsidR="00975B99" w:rsidRPr="005B1999" w:rsidRDefault="00975B99" w:rsidP="00A3247B">
            <w:pPr>
              <w:spacing w:line="276" w:lineRule="auto"/>
              <w:rPr>
                <w:szCs w:val="24"/>
              </w:rPr>
            </w:pPr>
            <w:r w:rsidRPr="005B1999">
              <w:rPr>
                <w:szCs w:val="24"/>
                <w:lang w:val="fr-BE"/>
              </w:rPr>
              <w:t xml:space="preserve">Pâtes: </w:t>
            </w:r>
            <w:proofErr w:type="spellStart"/>
            <w:r w:rsidRPr="005B1999">
              <w:rPr>
                <w:szCs w:val="24"/>
                <w:lang w:val="fr-BE"/>
              </w:rPr>
              <w:t>Farfalle</w:t>
            </w:r>
            <w:proofErr w:type="spellEnd"/>
          </w:p>
        </w:tc>
      </w:tr>
      <w:tr w:rsidR="00975B99" w:rsidRPr="005B1999" w14:paraId="11DF3472" w14:textId="77777777" w:rsidTr="00532856">
        <w:tc>
          <w:tcPr>
            <w:tcW w:w="4530" w:type="dxa"/>
            <w:shd w:val="clear" w:color="auto" w:fill="auto"/>
          </w:tcPr>
          <w:p w14:paraId="2E4A4EEE" w14:textId="574913DA" w:rsidR="00975B99" w:rsidRPr="005B1999" w:rsidRDefault="00975B99" w:rsidP="00A3247B">
            <w:pPr>
              <w:spacing w:before="100" w:beforeAutospacing="1" w:after="100" w:afterAutospacing="1" w:line="276" w:lineRule="auto"/>
              <w:rPr>
                <w:bCs/>
                <w:szCs w:val="24"/>
              </w:rPr>
            </w:pPr>
            <w:r w:rsidRPr="005B1999">
              <w:rPr>
                <w:bCs/>
                <w:szCs w:val="24"/>
              </w:rPr>
              <w:t>Tomates pelées</w:t>
            </w:r>
            <w:r w:rsidR="00852B51">
              <w:rPr>
                <w:bCs/>
                <w:szCs w:val="24"/>
              </w:rPr>
              <w:t xml:space="preserve"> </w:t>
            </w:r>
            <w:r w:rsidR="00852B51" w:rsidRPr="005B1999">
              <w:rPr>
                <w:szCs w:val="24"/>
                <w:lang w:val="fr-BE"/>
              </w:rPr>
              <w:t>concassées en cubes</w:t>
            </w:r>
          </w:p>
        </w:tc>
        <w:tc>
          <w:tcPr>
            <w:tcW w:w="4532" w:type="dxa"/>
          </w:tcPr>
          <w:p w14:paraId="73C2C3D2" w14:textId="77777777" w:rsidR="00975B99" w:rsidRPr="005B1999" w:rsidRDefault="00975B99" w:rsidP="00A3247B">
            <w:pPr>
              <w:spacing w:line="276" w:lineRule="auto"/>
              <w:rPr>
                <w:szCs w:val="24"/>
              </w:rPr>
            </w:pPr>
            <w:r w:rsidRPr="005B1999">
              <w:rPr>
                <w:szCs w:val="24"/>
                <w:lang w:val="fr-BE"/>
              </w:rPr>
              <w:t>Tomates pelées concassées en cubes</w:t>
            </w:r>
          </w:p>
        </w:tc>
      </w:tr>
      <w:tr w:rsidR="00975B99" w:rsidRPr="005B1999" w14:paraId="486DF3A5" w14:textId="77777777" w:rsidTr="00532856">
        <w:tc>
          <w:tcPr>
            <w:tcW w:w="4530" w:type="dxa"/>
            <w:shd w:val="clear" w:color="auto" w:fill="auto"/>
          </w:tcPr>
          <w:p w14:paraId="3AEBB548" w14:textId="77777777" w:rsidR="00975B99" w:rsidRPr="005B1999" w:rsidRDefault="00975B99" w:rsidP="00A3247B">
            <w:pPr>
              <w:spacing w:before="100" w:beforeAutospacing="1" w:after="100" w:afterAutospacing="1" w:line="276" w:lineRule="auto"/>
              <w:rPr>
                <w:bCs/>
                <w:szCs w:val="24"/>
              </w:rPr>
            </w:pPr>
            <w:r w:rsidRPr="005B1999">
              <w:rPr>
                <w:szCs w:val="24"/>
              </w:rPr>
              <w:t>Haricots verts entiers très fins</w:t>
            </w:r>
          </w:p>
        </w:tc>
        <w:tc>
          <w:tcPr>
            <w:tcW w:w="4532" w:type="dxa"/>
          </w:tcPr>
          <w:p w14:paraId="7F966A03" w14:textId="6F2AA57D" w:rsidR="00975B99" w:rsidRPr="005B1999" w:rsidRDefault="00975B99" w:rsidP="00852B51">
            <w:pPr>
              <w:spacing w:line="276" w:lineRule="auto"/>
              <w:rPr>
                <w:szCs w:val="24"/>
              </w:rPr>
            </w:pPr>
            <w:r w:rsidRPr="005B1999">
              <w:rPr>
                <w:szCs w:val="24"/>
                <w:lang w:val="fr-BE"/>
              </w:rPr>
              <w:t>H</w:t>
            </w:r>
            <w:r w:rsidR="00852B51">
              <w:rPr>
                <w:szCs w:val="24"/>
                <w:lang w:val="fr-BE"/>
              </w:rPr>
              <w:t>aricots verts entiers très fins</w:t>
            </w:r>
          </w:p>
        </w:tc>
      </w:tr>
      <w:tr w:rsidR="00975B99" w:rsidRPr="005B1999" w14:paraId="7E7E237E" w14:textId="77777777" w:rsidTr="00532856">
        <w:tc>
          <w:tcPr>
            <w:tcW w:w="4530" w:type="dxa"/>
            <w:shd w:val="clear" w:color="auto" w:fill="auto"/>
          </w:tcPr>
          <w:p w14:paraId="3D28D2D7" w14:textId="35E0DEBC" w:rsidR="00975B99" w:rsidRPr="005B1999" w:rsidRDefault="00852B51" w:rsidP="00A3247B">
            <w:pPr>
              <w:spacing w:before="100" w:beforeAutospacing="1" w:after="100" w:afterAutospacing="1" w:line="276" w:lineRule="auto"/>
              <w:rPr>
                <w:bCs/>
                <w:szCs w:val="24"/>
              </w:rPr>
            </w:pPr>
            <w:r>
              <w:rPr>
                <w:bCs/>
                <w:szCs w:val="24"/>
              </w:rPr>
              <w:t>Fromage fondu à tartiner</w:t>
            </w:r>
          </w:p>
        </w:tc>
        <w:tc>
          <w:tcPr>
            <w:tcW w:w="4532" w:type="dxa"/>
            <w:shd w:val="clear" w:color="auto" w:fill="FFFFFF" w:themeFill="background1"/>
          </w:tcPr>
          <w:p w14:paraId="622D4A09" w14:textId="77777777" w:rsidR="00975B99" w:rsidRPr="005B1999" w:rsidRDefault="00975B99" w:rsidP="00A3247B">
            <w:pPr>
              <w:spacing w:line="276" w:lineRule="auto"/>
              <w:rPr>
                <w:szCs w:val="24"/>
              </w:rPr>
            </w:pPr>
            <w:r w:rsidRPr="005B1999">
              <w:rPr>
                <w:szCs w:val="24"/>
                <w:lang w:val="fr-BE"/>
              </w:rPr>
              <w:t>Fromage fondu à tartiner</w:t>
            </w:r>
          </w:p>
        </w:tc>
      </w:tr>
      <w:tr w:rsidR="00975B99" w:rsidRPr="005B1999" w14:paraId="7E776BD1" w14:textId="77777777" w:rsidTr="00532856">
        <w:tc>
          <w:tcPr>
            <w:tcW w:w="4530" w:type="dxa"/>
            <w:shd w:val="clear" w:color="auto" w:fill="auto"/>
          </w:tcPr>
          <w:p w14:paraId="48248C03" w14:textId="77777777" w:rsidR="00975B99" w:rsidRPr="005B1999" w:rsidRDefault="00975B99" w:rsidP="00A3247B">
            <w:pPr>
              <w:spacing w:before="100" w:beforeAutospacing="1" w:after="100" w:afterAutospacing="1" w:line="276" w:lineRule="auto"/>
              <w:rPr>
                <w:bCs/>
                <w:szCs w:val="24"/>
              </w:rPr>
            </w:pPr>
            <w:r w:rsidRPr="005B1999">
              <w:rPr>
                <w:bCs/>
                <w:szCs w:val="24"/>
              </w:rPr>
              <w:t>Mousseline de pommes</w:t>
            </w:r>
          </w:p>
        </w:tc>
        <w:tc>
          <w:tcPr>
            <w:tcW w:w="4532" w:type="dxa"/>
          </w:tcPr>
          <w:p w14:paraId="3D1C3704" w14:textId="0F955752" w:rsidR="00975B99" w:rsidRPr="005B1999" w:rsidRDefault="00975B99" w:rsidP="00A3247B">
            <w:pPr>
              <w:spacing w:line="276" w:lineRule="auto"/>
              <w:rPr>
                <w:szCs w:val="24"/>
              </w:rPr>
            </w:pPr>
            <w:r w:rsidRPr="005B1999">
              <w:rPr>
                <w:szCs w:val="24"/>
                <w:lang w:val="fr-BE"/>
              </w:rPr>
              <w:t>Mousseline de pomme</w:t>
            </w:r>
            <w:r w:rsidR="006B4B37">
              <w:rPr>
                <w:szCs w:val="24"/>
                <w:lang w:val="fr-BE"/>
              </w:rPr>
              <w:t>s</w:t>
            </w:r>
          </w:p>
        </w:tc>
      </w:tr>
      <w:tr w:rsidR="00975B99" w:rsidRPr="005B1999" w14:paraId="1BAA843F" w14:textId="77777777" w:rsidTr="00532856">
        <w:tc>
          <w:tcPr>
            <w:tcW w:w="4530" w:type="dxa"/>
            <w:shd w:val="clear" w:color="auto" w:fill="auto"/>
          </w:tcPr>
          <w:p w14:paraId="46702930" w14:textId="77777777" w:rsidR="00975B99" w:rsidRPr="005B1999" w:rsidRDefault="00975B99" w:rsidP="00A3247B">
            <w:pPr>
              <w:spacing w:line="276" w:lineRule="auto"/>
              <w:rPr>
                <w:szCs w:val="24"/>
              </w:rPr>
            </w:pPr>
            <w:r w:rsidRPr="005B1999">
              <w:rPr>
                <w:szCs w:val="24"/>
              </w:rPr>
              <w:t>Huile d’olive</w:t>
            </w:r>
          </w:p>
        </w:tc>
        <w:tc>
          <w:tcPr>
            <w:tcW w:w="4532" w:type="dxa"/>
          </w:tcPr>
          <w:p w14:paraId="57E8DE71" w14:textId="77777777" w:rsidR="00975B99" w:rsidRPr="005B1999" w:rsidRDefault="00975B99" w:rsidP="00A3247B">
            <w:pPr>
              <w:spacing w:line="276" w:lineRule="auto"/>
              <w:rPr>
                <w:szCs w:val="24"/>
              </w:rPr>
            </w:pPr>
            <w:r w:rsidRPr="005B1999">
              <w:rPr>
                <w:szCs w:val="24"/>
                <w:lang w:val="fr-BE"/>
              </w:rPr>
              <w:t>Huile d’olive</w:t>
            </w:r>
          </w:p>
        </w:tc>
      </w:tr>
      <w:tr w:rsidR="00975B99" w:rsidRPr="005B1999" w14:paraId="4904CFFE" w14:textId="77777777" w:rsidTr="00532856">
        <w:tc>
          <w:tcPr>
            <w:tcW w:w="4530" w:type="dxa"/>
            <w:shd w:val="clear" w:color="auto" w:fill="auto"/>
          </w:tcPr>
          <w:p w14:paraId="77A02DA4" w14:textId="77777777" w:rsidR="00975B99" w:rsidRPr="005B1999" w:rsidRDefault="00975B99" w:rsidP="00A3247B">
            <w:pPr>
              <w:spacing w:line="276" w:lineRule="auto"/>
              <w:rPr>
                <w:bCs/>
                <w:szCs w:val="24"/>
              </w:rPr>
            </w:pPr>
            <w:r w:rsidRPr="005B1999">
              <w:rPr>
                <w:bCs/>
                <w:szCs w:val="24"/>
              </w:rPr>
              <w:t>Confiture extra aux fraises</w:t>
            </w:r>
          </w:p>
        </w:tc>
        <w:tc>
          <w:tcPr>
            <w:tcW w:w="4532" w:type="dxa"/>
            <w:shd w:val="clear" w:color="auto" w:fill="FFFFFF" w:themeFill="background1"/>
          </w:tcPr>
          <w:p w14:paraId="5703D4BA" w14:textId="77777777" w:rsidR="00975B99" w:rsidRPr="005B1999" w:rsidRDefault="00975B99" w:rsidP="00A3247B">
            <w:pPr>
              <w:spacing w:line="276" w:lineRule="auto"/>
              <w:rPr>
                <w:szCs w:val="24"/>
              </w:rPr>
            </w:pPr>
            <w:r w:rsidRPr="005B1999">
              <w:rPr>
                <w:szCs w:val="24"/>
                <w:lang w:val="fr-BE"/>
              </w:rPr>
              <w:t>Confiture extra aux fraises</w:t>
            </w:r>
          </w:p>
        </w:tc>
      </w:tr>
      <w:tr w:rsidR="00975B99" w:rsidRPr="005B1999" w14:paraId="32B7A8F0" w14:textId="77777777" w:rsidTr="00532856">
        <w:tc>
          <w:tcPr>
            <w:tcW w:w="4530" w:type="dxa"/>
            <w:shd w:val="clear" w:color="auto" w:fill="auto"/>
          </w:tcPr>
          <w:p w14:paraId="58AC16BE" w14:textId="77777777" w:rsidR="00975B99" w:rsidRPr="005B1999" w:rsidRDefault="00975B99" w:rsidP="00A3247B">
            <w:pPr>
              <w:spacing w:line="276" w:lineRule="auto"/>
              <w:rPr>
                <w:bCs/>
                <w:szCs w:val="24"/>
              </w:rPr>
            </w:pPr>
            <w:r w:rsidRPr="005B1999">
              <w:rPr>
                <w:bCs/>
                <w:szCs w:val="24"/>
              </w:rPr>
              <w:t xml:space="preserve">Pétales de blé au chocolat </w:t>
            </w:r>
          </w:p>
        </w:tc>
        <w:tc>
          <w:tcPr>
            <w:tcW w:w="4532" w:type="dxa"/>
            <w:shd w:val="clear" w:color="auto" w:fill="FFFFFF" w:themeFill="background1"/>
          </w:tcPr>
          <w:p w14:paraId="5CF15E33" w14:textId="77777777" w:rsidR="00975B99" w:rsidRPr="005B1999" w:rsidRDefault="00975B99" w:rsidP="00A3247B">
            <w:pPr>
              <w:spacing w:line="276" w:lineRule="auto"/>
              <w:rPr>
                <w:szCs w:val="24"/>
              </w:rPr>
            </w:pPr>
            <w:r w:rsidRPr="005B1999">
              <w:rPr>
                <w:szCs w:val="24"/>
                <w:lang w:val="fr-BE"/>
              </w:rPr>
              <w:t>Pétales de blé au chocolat</w:t>
            </w:r>
          </w:p>
        </w:tc>
      </w:tr>
      <w:tr w:rsidR="00975B99" w:rsidRPr="005B1999" w14:paraId="76D5FDCD" w14:textId="77777777" w:rsidTr="00532856">
        <w:tc>
          <w:tcPr>
            <w:tcW w:w="4530" w:type="dxa"/>
            <w:shd w:val="clear" w:color="auto" w:fill="auto"/>
          </w:tcPr>
          <w:p w14:paraId="4AD8D3EE" w14:textId="77777777" w:rsidR="00975B99" w:rsidRPr="005B1999" w:rsidRDefault="00975B99" w:rsidP="00A3247B">
            <w:pPr>
              <w:spacing w:line="276" w:lineRule="auto"/>
              <w:rPr>
                <w:bCs/>
                <w:szCs w:val="24"/>
              </w:rPr>
            </w:pPr>
            <w:r w:rsidRPr="005B1999">
              <w:rPr>
                <w:bCs/>
                <w:szCs w:val="24"/>
              </w:rPr>
              <w:t>Pétales de mais sucrés</w:t>
            </w:r>
          </w:p>
        </w:tc>
        <w:tc>
          <w:tcPr>
            <w:tcW w:w="4532" w:type="dxa"/>
            <w:shd w:val="clear" w:color="auto" w:fill="D9D9D9" w:themeFill="background1" w:themeFillShade="D9"/>
          </w:tcPr>
          <w:p w14:paraId="7B473C01" w14:textId="77777777" w:rsidR="00975B99" w:rsidRPr="005B1999" w:rsidRDefault="00975B99" w:rsidP="00A3247B">
            <w:pPr>
              <w:spacing w:line="276" w:lineRule="auto"/>
              <w:rPr>
                <w:szCs w:val="24"/>
              </w:rPr>
            </w:pPr>
            <w:r w:rsidRPr="005B1999">
              <w:rPr>
                <w:szCs w:val="24"/>
                <w:lang w:val="fr-BE"/>
              </w:rPr>
              <w:t>Chocolat noir issu du commerce équitable</w:t>
            </w:r>
          </w:p>
        </w:tc>
      </w:tr>
      <w:tr w:rsidR="00975B99" w:rsidRPr="005B1999" w14:paraId="645F889B" w14:textId="77777777" w:rsidTr="00532856">
        <w:tc>
          <w:tcPr>
            <w:tcW w:w="4530" w:type="dxa"/>
            <w:shd w:val="clear" w:color="auto" w:fill="auto"/>
          </w:tcPr>
          <w:p w14:paraId="0A76A307" w14:textId="77777777" w:rsidR="00975B99" w:rsidRPr="005B1999" w:rsidRDefault="00975B99" w:rsidP="00A3247B">
            <w:pPr>
              <w:spacing w:line="276" w:lineRule="auto"/>
              <w:rPr>
                <w:bCs/>
                <w:szCs w:val="24"/>
              </w:rPr>
            </w:pPr>
            <w:r w:rsidRPr="005B1999">
              <w:rPr>
                <w:bCs/>
                <w:szCs w:val="24"/>
              </w:rPr>
              <w:t>Chocolat au lait (tablettes)</w:t>
            </w:r>
          </w:p>
        </w:tc>
        <w:tc>
          <w:tcPr>
            <w:tcW w:w="4532" w:type="dxa"/>
            <w:shd w:val="clear" w:color="auto" w:fill="D9D9D9" w:themeFill="background1" w:themeFillShade="D9"/>
          </w:tcPr>
          <w:p w14:paraId="0458F945" w14:textId="77777777" w:rsidR="00975B99" w:rsidRPr="005B1999" w:rsidRDefault="00975B99" w:rsidP="00A3247B">
            <w:pPr>
              <w:spacing w:line="276" w:lineRule="auto"/>
              <w:rPr>
                <w:szCs w:val="24"/>
                <w:lang w:val="fr-BE"/>
              </w:rPr>
            </w:pPr>
            <w:r w:rsidRPr="005B1999">
              <w:rPr>
                <w:szCs w:val="24"/>
                <w:lang w:val="fr-BE"/>
              </w:rPr>
              <w:t>Macédoine de légumes</w:t>
            </w:r>
          </w:p>
        </w:tc>
      </w:tr>
      <w:tr w:rsidR="0028522B" w:rsidRPr="005B1999" w14:paraId="1A5239DA" w14:textId="77777777" w:rsidTr="00532856">
        <w:tc>
          <w:tcPr>
            <w:tcW w:w="4530" w:type="dxa"/>
            <w:vMerge w:val="restart"/>
            <w:shd w:val="clear" w:color="auto" w:fill="auto"/>
          </w:tcPr>
          <w:p w14:paraId="40089985" w14:textId="77777777" w:rsidR="0028522B" w:rsidRPr="005B1999" w:rsidRDefault="0028522B" w:rsidP="00A3247B">
            <w:pPr>
              <w:spacing w:line="276" w:lineRule="auto"/>
              <w:rPr>
                <w:bCs/>
                <w:szCs w:val="24"/>
              </w:rPr>
            </w:pPr>
          </w:p>
        </w:tc>
        <w:tc>
          <w:tcPr>
            <w:tcW w:w="4532" w:type="dxa"/>
            <w:shd w:val="clear" w:color="auto" w:fill="D9D9D9" w:themeFill="background1" w:themeFillShade="D9"/>
          </w:tcPr>
          <w:p w14:paraId="24F65CC8" w14:textId="77777777" w:rsidR="0028522B" w:rsidRPr="005B1999" w:rsidRDefault="0028522B" w:rsidP="00A3247B">
            <w:pPr>
              <w:spacing w:line="276" w:lineRule="auto"/>
              <w:rPr>
                <w:szCs w:val="24"/>
              </w:rPr>
            </w:pPr>
            <w:r w:rsidRPr="005B1999">
              <w:rPr>
                <w:szCs w:val="24"/>
              </w:rPr>
              <w:t>Salade de riz au thon</w:t>
            </w:r>
          </w:p>
        </w:tc>
      </w:tr>
      <w:tr w:rsidR="0028522B" w:rsidRPr="005B1999" w14:paraId="44CD3F82" w14:textId="77777777" w:rsidTr="00532856">
        <w:tc>
          <w:tcPr>
            <w:tcW w:w="4530" w:type="dxa"/>
            <w:vMerge/>
            <w:shd w:val="clear" w:color="auto" w:fill="auto"/>
          </w:tcPr>
          <w:p w14:paraId="5F8227D3" w14:textId="77777777" w:rsidR="0028522B" w:rsidRPr="005B1999" w:rsidRDefault="0028522B" w:rsidP="00A3247B">
            <w:pPr>
              <w:spacing w:line="276" w:lineRule="auto"/>
              <w:rPr>
                <w:bCs/>
                <w:szCs w:val="24"/>
              </w:rPr>
            </w:pPr>
          </w:p>
        </w:tc>
        <w:tc>
          <w:tcPr>
            <w:tcW w:w="4532" w:type="dxa"/>
            <w:shd w:val="clear" w:color="auto" w:fill="D9D9D9" w:themeFill="background1" w:themeFillShade="D9"/>
          </w:tcPr>
          <w:p w14:paraId="1F3EBC5F" w14:textId="77777777" w:rsidR="0028522B" w:rsidRPr="005B1999" w:rsidRDefault="0028522B" w:rsidP="00A3247B">
            <w:pPr>
              <w:tabs>
                <w:tab w:val="left" w:pos="1080"/>
              </w:tabs>
              <w:spacing w:line="276" w:lineRule="auto"/>
              <w:rPr>
                <w:szCs w:val="24"/>
              </w:rPr>
            </w:pPr>
            <w:r w:rsidRPr="005B1999">
              <w:rPr>
                <w:szCs w:val="24"/>
                <w:lang w:val="fr-BE"/>
              </w:rPr>
              <w:t>Biscuits secs «petit beurre»</w:t>
            </w:r>
          </w:p>
        </w:tc>
      </w:tr>
      <w:tr w:rsidR="0028522B" w:rsidRPr="005B1999" w14:paraId="6D96C912" w14:textId="77777777" w:rsidTr="00532856">
        <w:tc>
          <w:tcPr>
            <w:tcW w:w="4530" w:type="dxa"/>
            <w:vMerge/>
            <w:shd w:val="clear" w:color="auto" w:fill="auto"/>
          </w:tcPr>
          <w:p w14:paraId="110A4482" w14:textId="77777777" w:rsidR="0028522B" w:rsidRPr="005B1999" w:rsidRDefault="0028522B" w:rsidP="00A3247B">
            <w:pPr>
              <w:spacing w:line="276" w:lineRule="auto"/>
              <w:rPr>
                <w:bCs/>
                <w:szCs w:val="24"/>
              </w:rPr>
            </w:pPr>
          </w:p>
        </w:tc>
        <w:tc>
          <w:tcPr>
            <w:tcW w:w="4532" w:type="dxa"/>
            <w:shd w:val="clear" w:color="auto" w:fill="D9D9D9" w:themeFill="background1" w:themeFillShade="D9"/>
          </w:tcPr>
          <w:p w14:paraId="51F2E061" w14:textId="77777777" w:rsidR="0028522B" w:rsidRPr="005B1999" w:rsidRDefault="0028522B" w:rsidP="00A3247B">
            <w:pPr>
              <w:spacing w:line="276" w:lineRule="auto"/>
              <w:rPr>
                <w:szCs w:val="24"/>
                <w:lang w:val="fr-BE"/>
              </w:rPr>
            </w:pPr>
            <w:r w:rsidRPr="005B1999">
              <w:rPr>
                <w:szCs w:val="24"/>
                <w:lang w:val="fr-BE"/>
              </w:rPr>
              <w:t>Soupe de tomates-légumes au bouillon de légumes</w:t>
            </w:r>
          </w:p>
        </w:tc>
      </w:tr>
      <w:tr w:rsidR="0028522B" w:rsidRPr="005B1999" w14:paraId="03E17AF5" w14:textId="77777777" w:rsidTr="00532856">
        <w:tc>
          <w:tcPr>
            <w:tcW w:w="4530" w:type="dxa"/>
            <w:vMerge/>
            <w:shd w:val="clear" w:color="auto" w:fill="auto"/>
          </w:tcPr>
          <w:p w14:paraId="4CAC9D97" w14:textId="77777777" w:rsidR="0028522B" w:rsidRPr="005B1999" w:rsidRDefault="0028522B" w:rsidP="00A3247B">
            <w:pPr>
              <w:spacing w:line="276" w:lineRule="auto"/>
              <w:rPr>
                <w:bCs/>
                <w:szCs w:val="24"/>
              </w:rPr>
            </w:pPr>
          </w:p>
        </w:tc>
        <w:tc>
          <w:tcPr>
            <w:tcW w:w="4532" w:type="dxa"/>
            <w:shd w:val="clear" w:color="auto" w:fill="D9D9D9" w:themeFill="background1" w:themeFillShade="D9"/>
          </w:tcPr>
          <w:p w14:paraId="152692FC" w14:textId="77777777" w:rsidR="0028522B" w:rsidRPr="005B1999" w:rsidRDefault="0028522B" w:rsidP="00A3247B">
            <w:pPr>
              <w:spacing w:line="276" w:lineRule="auto"/>
              <w:rPr>
                <w:szCs w:val="24"/>
              </w:rPr>
            </w:pPr>
            <w:r w:rsidRPr="005B1999">
              <w:rPr>
                <w:szCs w:val="24"/>
                <w:lang w:val="fr-BE"/>
              </w:rPr>
              <w:t>Farine de blé</w:t>
            </w:r>
          </w:p>
        </w:tc>
      </w:tr>
      <w:tr w:rsidR="0028522B" w:rsidRPr="005B1999" w14:paraId="2B2E104B" w14:textId="77777777" w:rsidTr="00532856">
        <w:tc>
          <w:tcPr>
            <w:tcW w:w="4530" w:type="dxa"/>
            <w:vMerge/>
            <w:shd w:val="clear" w:color="auto" w:fill="auto"/>
          </w:tcPr>
          <w:p w14:paraId="7C36BF53" w14:textId="77777777" w:rsidR="0028522B" w:rsidRPr="005B1999" w:rsidRDefault="0028522B" w:rsidP="00A3247B">
            <w:pPr>
              <w:spacing w:line="276" w:lineRule="auto"/>
              <w:rPr>
                <w:bCs/>
                <w:szCs w:val="24"/>
              </w:rPr>
            </w:pPr>
          </w:p>
        </w:tc>
        <w:tc>
          <w:tcPr>
            <w:tcW w:w="4532" w:type="dxa"/>
            <w:shd w:val="clear" w:color="auto" w:fill="D9D9D9" w:themeFill="background1" w:themeFillShade="D9"/>
          </w:tcPr>
          <w:p w14:paraId="5B56C771" w14:textId="77777777" w:rsidR="0028522B" w:rsidRPr="005B1999" w:rsidRDefault="0028522B" w:rsidP="00A3247B">
            <w:pPr>
              <w:spacing w:line="276" w:lineRule="auto"/>
              <w:rPr>
                <w:szCs w:val="24"/>
              </w:rPr>
            </w:pPr>
            <w:r w:rsidRPr="005B1999">
              <w:rPr>
                <w:szCs w:val="24"/>
                <w:lang w:val="fr-BE"/>
              </w:rPr>
              <w:t>Sucre blanc de betterave ou de canne</w:t>
            </w:r>
          </w:p>
        </w:tc>
      </w:tr>
      <w:tr w:rsidR="0028522B" w:rsidRPr="005B1999" w14:paraId="243AB553" w14:textId="77777777" w:rsidTr="00532856">
        <w:tc>
          <w:tcPr>
            <w:tcW w:w="4530" w:type="dxa"/>
            <w:vMerge/>
            <w:shd w:val="clear" w:color="auto" w:fill="auto"/>
          </w:tcPr>
          <w:p w14:paraId="2133E9B6" w14:textId="77777777" w:rsidR="0028522B" w:rsidRPr="005B1999" w:rsidRDefault="0028522B" w:rsidP="00A3247B">
            <w:pPr>
              <w:spacing w:line="276" w:lineRule="auto"/>
              <w:rPr>
                <w:bCs/>
                <w:szCs w:val="24"/>
              </w:rPr>
            </w:pPr>
          </w:p>
        </w:tc>
        <w:tc>
          <w:tcPr>
            <w:tcW w:w="4532" w:type="dxa"/>
            <w:shd w:val="clear" w:color="auto" w:fill="D9D9D9" w:themeFill="background1" w:themeFillShade="D9"/>
          </w:tcPr>
          <w:p w14:paraId="5F99A423" w14:textId="77777777" w:rsidR="0028522B" w:rsidRPr="005B1999" w:rsidRDefault="0028522B" w:rsidP="00A3247B">
            <w:pPr>
              <w:spacing w:line="276" w:lineRule="auto"/>
              <w:rPr>
                <w:szCs w:val="24"/>
                <w:lang w:val="fr-BE"/>
              </w:rPr>
            </w:pPr>
            <w:r w:rsidRPr="005B1999">
              <w:rPr>
                <w:szCs w:val="24"/>
                <w:lang w:val="fr-BE"/>
              </w:rPr>
              <w:t>Riz</w:t>
            </w:r>
          </w:p>
        </w:tc>
      </w:tr>
    </w:tbl>
    <w:p w14:paraId="7B4AE620" w14:textId="77777777" w:rsidR="00E6683B" w:rsidRPr="005B1999" w:rsidRDefault="007E5D36" w:rsidP="00A3247B">
      <w:pPr>
        <w:spacing w:before="240"/>
      </w:pPr>
      <w:r w:rsidRPr="005B1999">
        <w:t>Pour élaborer cette liste, plusieurs</w:t>
      </w:r>
      <w:r w:rsidR="00E6683B" w:rsidRPr="005B1999">
        <w:t xml:space="preserve"> éléments ont été pris en compte, notamment :</w:t>
      </w:r>
    </w:p>
    <w:p w14:paraId="036B4394" w14:textId="77777777" w:rsidR="00E6683B" w:rsidRPr="005B1999" w:rsidRDefault="00A3247B" w:rsidP="00A3247B">
      <w:pPr>
        <w:pStyle w:val="Lijstalinea"/>
        <w:numPr>
          <w:ilvl w:val="0"/>
          <w:numId w:val="25"/>
        </w:numPr>
      </w:pPr>
      <w:r w:rsidRPr="005B1999">
        <w:t>Les réactions du terrain</w:t>
      </w:r>
      <w:r w:rsidR="00E6683B" w:rsidRPr="005B1999">
        <w:t>: quels produits ont été appré</w:t>
      </w:r>
      <w:r w:rsidRPr="005B1999">
        <w:t>ciés</w:t>
      </w:r>
      <w:r w:rsidR="00E6683B" w:rsidRPr="005B1999">
        <w:t>?</w:t>
      </w:r>
      <w:r w:rsidR="007E5D36" w:rsidRPr="005B1999">
        <w:t xml:space="preserve"> quels p</w:t>
      </w:r>
      <w:r w:rsidRPr="005B1999">
        <w:t>roduits n’ont pas été appréciés</w:t>
      </w:r>
      <w:r w:rsidR="007E5D36" w:rsidRPr="005B1999">
        <w:t>?</w:t>
      </w:r>
    </w:p>
    <w:p w14:paraId="450C323F" w14:textId="77777777" w:rsidR="00E6683B" w:rsidRPr="005B1999" w:rsidRDefault="00E6683B" w:rsidP="00A3247B">
      <w:pPr>
        <w:pStyle w:val="Lijstalinea"/>
        <w:numPr>
          <w:ilvl w:val="0"/>
          <w:numId w:val="25"/>
        </w:numPr>
      </w:pPr>
      <w:r w:rsidRPr="005B1999">
        <w:t xml:space="preserve">La variété des produits proposés, au sein de la liste de produits même, mais aussi comparativement aux années précédentes. </w:t>
      </w:r>
    </w:p>
    <w:p w14:paraId="7FF07E8A" w14:textId="03C8DBAE" w:rsidR="00E6683B" w:rsidRPr="005B1999" w:rsidRDefault="00A3247B" w:rsidP="00A3247B">
      <w:pPr>
        <w:pStyle w:val="Lijstalinea"/>
        <w:numPr>
          <w:ilvl w:val="0"/>
          <w:numId w:val="25"/>
        </w:numPr>
      </w:pPr>
      <w:r w:rsidRPr="005B1999">
        <w:lastRenderedPageBreak/>
        <w:t>La qualité nutritionnelle</w:t>
      </w:r>
      <w:r w:rsidR="00E6683B" w:rsidRPr="005B1999">
        <w:t>: attention accordée à l'indice glycémique, aux protéines végétales, à la teneur en sucres, aux conservateurs</w:t>
      </w:r>
      <w:r w:rsidR="009C7416" w:rsidRPr="005B1999">
        <w:t>, etc.</w:t>
      </w:r>
    </w:p>
    <w:p w14:paraId="4833644D" w14:textId="77777777" w:rsidR="00E6683B" w:rsidRPr="005B1999" w:rsidRDefault="00E6683B" w:rsidP="00A3247B">
      <w:pPr>
        <w:pStyle w:val="Lijstalinea"/>
        <w:numPr>
          <w:ilvl w:val="0"/>
          <w:numId w:val="25"/>
        </w:numPr>
      </w:pPr>
      <w:r w:rsidRPr="005B1999">
        <w:t xml:space="preserve">Durabilité : dans le cadre de l'élaboration des fiches techniques des produits, </w:t>
      </w:r>
      <w:r w:rsidR="002D381E" w:rsidRPr="005B1999">
        <w:t>nous avons</w:t>
      </w:r>
      <w:r w:rsidRPr="005B1999">
        <w:t xml:space="preserve"> tenu compte des labels de durabilité, de l'util</w:t>
      </w:r>
      <w:r w:rsidR="00C43521" w:rsidRPr="005B1999">
        <w:t>isation de l'huile de palme, des organismes génétiquement modifiés,</w:t>
      </w:r>
      <w:r w:rsidR="00975B99" w:rsidRPr="005B1999">
        <w:t xml:space="preserve"> et cette année, nous avons demandé un produit équitable (le chocolat)</w:t>
      </w:r>
    </w:p>
    <w:p w14:paraId="769BB4A9" w14:textId="77777777" w:rsidR="007A1555" w:rsidRPr="005B1999" w:rsidRDefault="007A1555" w:rsidP="00A3247B">
      <w:r w:rsidRPr="005B1999">
        <w:t>Cela a abouti, entre autres, aux modifications suivantes :</w:t>
      </w:r>
    </w:p>
    <w:p w14:paraId="4E6EBDAA" w14:textId="77777777" w:rsidR="007E5B58" w:rsidRPr="005B1999" w:rsidRDefault="007E5B58" w:rsidP="00A3247B">
      <w:pPr>
        <w:pStyle w:val="Lijstalinea"/>
        <w:numPr>
          <w:ilvl w:val="0"/>
          <w:numId w:val="25"/>
        </w:numPr>
      </w:pPr>
      <w:r w:rsidRPr="005B1999">
        <w:t>Ajout d’un grand nombre de produits</w:t>
      </w:r>
      <w:r w:rsidR="00492A5A" w:rsidRPr="005B1999">
        <w:t xml:space="preserve"> ‘bruts’</w:t>
      </w:r>
      <w:r w:rsidRPr="005B1999">
        <w:t> : la farine, le sucre, le riz – à la demande du terrain.</w:t>
      </w:r>
    </w:p>
    <w:p w14:paraId="096F0FC8" w14:textId="52DC9A6A" w:rsidR="007E5B58" w:rsidRPr="005B1999" w:rsidRDefault="007E5B58" w:rsidP="00A3247B">
      <w:pPr>
        <w:pStyle w:val="Lijstalinea"/>
        <w:numPr>
          <w:ilvl w:val="0"/>
          <w:numId w:val="25"/>
        </w:numPr>
      </w:pPr>
      <w:r w:rsidRPr="005B1999">
        <w:t xml:space="preserve">Le remplacement des sardines par des maquereaux – pour </w:t>
      </w:r>
      <w:r w:rsidR="00D25245" w:rsidRPr="005B1999">
        <w:t xml:space="preserve">plus de variété mais aussi parce que le maquereau est un poisson facile à préparer et qui </w:t>
      </w:r>
      <w:r w:rsidR="00532856" w:rsidRPr="005B1999">
        <w:t>se cuisine</w:t>
      </w:r>
      <w:r w:rsidR="00D25245" w:rsidRPr="005B1999">
        <w:t xml:space="preserve"> de différentes façons. C’est l’un des poissons les plus riches en Omega 3, il est très nutritif et fournit de bonnes quantités de vitamines D ainsi que des minéraux</w:t>
      </w:r>
      <w:r w:rsidR="00DB117B" w:rsidRPr="005B1999">
        <w:t>.</w:t>
      </w:r>
    </w:p>
    <w:p w14:paraId="04BD2A27" w14:textId="6C81D713" w:rsidR="00D25245" w:rsidRPr="005B1999" w:rsidRDefault="00D25245" w:rsidP="00A3247B">
      <w:pPr>
        <w:pStyle w:val="Lijstalinea"/>
        <w:numPr>
          <w:ilvl w:val="0"/>
          <w:numId w:val="25"/>
        </w:numPr>
      </w:pPr>
      <w:r w:rsidRPr="005B1999">
        <w:t>Le remplacement des lentilles en conserve par des pois chic</w:t>
      </w:r>
      <w:r w:rsidR="00916237" w:rsidRPr="005B1999">
        <w:t>h</w:t>
      </w:r>
      <w:r w:rsidRPr="005B1999">
        <w:t>es en conserve. Les lentilles n’ayan</w:t>
      </w:r>
      <w:r w:rsidR="00A26376" w:rsidRPr="005B1999">
        <w:t>t pas obtenu beaucoup de succès il était important de garder</w:t>
      </w:r>
      <w:r w:rsidR="004F72FC" w:rsidRPr="005B1999">
        <w:t xml:space="preserve"> néanmoins</w:t>
      </w:r>
      <w:r w:rsidR="00A26376" w:rsidRPr="005B1999">
        <w:t xml:space="preserve"> au moins une légumineuse dans la liste.</w:t>
      </w:r>
    </w:p>
    <w:p w14:paraId="6806BA03" w14:textId="54EBF160" w:rsidR="006E3E4D" w:rsidRPr="005B1999" w:rsidRDefault="007E5B58" w:rsidP="00A3247B">
      <w:pPr>
        <w:pStyle w:val="Lijstalinea"/>
        <w:numPr>
          <w:ilvl w:val="0"/>
          <w:numId w:val="25"/>
        </w:numPr>
      </w:pPr>
      <w:r w:rsidRPr="005B1999">
        <w:t xml:space="preserve">L’ajout </w:t>
      </w:r>
      <w:r w:rsidR="007B3568" w:rsidRPr="005B1999">
        <w:t>d’</w:t>
      </w:r>
      <w:r w:rsidRPr="005B1999">
        <w:t>un produit ‘facile à manger’ et prép</w:t>
      </w:r>
      <w:r w:rsidR="00C47882">
        <w:t>aré</w:t>
      </w:r>
      <w:r w:rsidRPr="005B1999">
        <w:t>: la salade de riz au thon.</w:t>
      </w:r>
      <w:r w:rsidR="00C47882">
        <w:t xml:space="preserve"> Le thon demandé pour ce produit est un thon</w:t>
      </w:r>
      <w:r w:rsidR="00C808D0">
        <w:t xml:space="preserve"> issu de la pêche</w:t>
      </w:r>
      <w:r w:rsidR="00C47882">
        <w:t xml:space="preserve"> durable.</w:t>
      </w:r>
    </w:p>
    <w:p w14:paraId="651AE67F" w14:textId="42446F0C" w:rsidR="00492A5A" w:rsidRPr="005B1999" w:rsidRDefault="00492A5A" w:rsidP="00A3247B">
      <w:pPr>
        <w:pStyle w:val="Lijstalinea"/>
        <w:numPr>
          <w:ilvl w:val="0"/>
          <w:numId w:val="25"/>
        </w:numPr>
      </w:pPr>
      <w:r w:rsidRPr="005B1999">
        <w:t>L’ajout de deux produit</w:t>
      </w:r>
      <w:r w:rsidR="00C47882">
        <w:t>s contenant beaucoup de légumes</w:t>
      </w:r>
      <w:r w:rsidRPr="005B1999">
        <w:t>: la macédoine de légumes et la soupe de tomates-légumes</w:t>
      </w:r>
      <w:r w:rsidR="004F72FC" w:rsidRPr="005B1999">
        <w:t xml:space="preserve"> (69 % de légumes minimum)</w:t>
      </w:r>
      <w:r w:rsidRPr="005B1999">
        <w:t>.</w:t>
      </w:r>
    </w:p>
    <w:p w14:paraId="54097512" w14:textId="31117ADD" w:rsidR="00905D07" w:rsidRPr="005B1999" w:rsidRDefault="00905D07" w:rsidP="00A3247B">
      <w:pPr>
        <w:pStyle w:val="Lijstalinea"/>
        <w:numPr>
          <w:ilvl w:val="0"/>
          <w:numId w:val="25"/>
        </w:numPr>
      </w:pPr>
      <w:r w:rsidRPr="005B1999">
        <w:t xml:space="preserve">L'introduction de deux </w:t>
      </w:r>
      <w:r w:rsidR="007E5B58" w:rsidRPr="005B1999">
        <w:t>nouveaux</w:t>
      </w:r>
      <w:r w:rsidRPr="005B1999">
        <w:t xml:space="preserve"> types de pâtes comparat</w:t>
      </w:r>
      <w:r w:rsidR="00A26376" w:rsidRPr="005B1999">
        <w:t>ivement aux années précédentes (plus de variété).</w:t>
      </w:r>
    </w:p>
    <w:p w14:paraId="09DD12B4" w14:textId="77777777" w:rsidR="00905D07" w:rsidRPr="005B1999" w:rsidRDefault="006E3E4D" w:rsidP="00A3247B">
      <w:pPr>
        <w:pStyle w:val="Lijstalinea"/>
        <w:numPr>
          <w:ilvl w:val="0"/>
          <w:numId w:val="25"/>
        </w:numPr>
      </w:pPr>
      <w:r w:rsidRPr="005B1999">
        <w:t xml:space="preserve">Le </w:t>
      </w:r>
      <w:r w:rsidR="001D3F58" w:rsidRPr="005B1999">
        <w:t xml:space="preserve">chocolat au lait </w:t>
      </w:r>
      <w:r w:rsidRPr="005B1999">
        <w:t>comme dessert,</w:t>
      </w:r>
      <w:r w:rsidR="006B2FE6" w:rsidRPr="005B1999">
        <w:t xml:space="preserve"> a été remplacé par du chocolat noir (contenant moins de sucre)</w:t>
      </w:r>
      <w:r w:rsidRPr="005B1999">
        <w:t xml:space="preserve">. </w:t>
      </w:r>
    </w:p>
    <w:p w14:paraId="01232ABB" w14:textId="77777777" w:rsidR="00492A5A" w:rsidRPr="005B1999" w:rsidRDefault="00492A5A" w:rsidP="00A3247B">
      <w:pPr>
        <w:pStyle w:val="Lijstalinea"/>
        <w:numPr>
          <w:ilvl w:val="0"/>
          <w:numId w:val="25"/>
        </w:numPr>
      </w:pPr>
      <w:r w:rsidRPr="005B1999">
        <w:t xml:space="preserve">Nous avons ajouté un produit : les biscuits secs </w:t>
      </w:r>
      <w:r w:rsidR="00916237" w:rsidRPr="005B1999">
        <w:t>« </w:t>
      </w:r>
      <w:r w:rsidRPr="005B1999">
        <w:t>petits beurre</w:t>
      </w:r>
      <w:r w:rsidR="00916237" w:rsidRPr="005B1999">
        <w:t>s »</w:t>
      </w:r>
      <w:r w:rsidRPr="005B1999">
        <w:t xml:space="preserve"> car c’est un produit que les enfants peuvent apporter facilement à l’école.</w:t>
      </w:r>
    </w:p>
    <w:p w14:paraId="3D2B0946" w14:textId="06A34076" w:rsidR="00492A5A" w:rsidRPr="005B1999" w:rsidRDefault="00492A5A" w:rsidP="00A3247B">
      <w:r w:rsidRPr="005B1999">
        <w:t xml:space="preserve">Les produits phares ont bien entendu été conservés : le lait, les tomates, les pâtes, </w:t>
      </w:r>
      <w:r w:rsidR="00A26376" w:rsidRPr="005B1999">
        <w:t xml:space="preserve">les haricots verts, </w:t>
      </w:r>
      <w:r w:rsidRPr="005B1999">
        <w:t>etc.</w:t>
      </w:r>
    </w:p>
    <w:p w14:paraId="370F84E5" w14:textId="77777777" w:rsidR="00916237" w:rsidRPr="005B1999" w:rsidRDefault="00916237" w:rsidP="00A3247B">
      <w:r w:rsidRPr="005B1999">
        <w:t>L’huile d’olive a été un produit qui a été très fortement apprécié. Il a été proposé de changer les bouteilles de un litre de 2015 par des bouteilles de 500 ml – car cela se révèle plus pratique pour les personnes seules.</w:t>
      </w:r>
    </w:p>
    <w:p w14:paraId="23D6EE61" w14:textId="09CD00F2" w:rsidR="00A01394" w:rsidRDefault="007A1555" w:rsidP="00A3247B">
      <w:r w:rsidRPr="005B1999">
        <w:t>Afin de préparer les fiches techniques du cahier des charges, l'AG a réalisé</w:t>
      </w:r>
      <w:r w:rsidR="006B2FE6" w:rsidRPr="005B1999">
        <w:t>, comme chaque année</w:t>
      </w:r>
      <w:r w:rsidR="00A26376" w:rsidRPr="005B1999">
        <w:t>,</w:t>
      </w:r>
      <w:r w:rsidR="006B2FE6" w:rsidRPr="005B1999">
        <w:t xml:space="preserve"> </w:t>
      </w:r>
      <w:r w:rsidRPr="005B1999">
        <w:t>une étude de marché en collaboration avec un spécialiste en alimentation. À cette fin, les produits de la nouvelle liste ont été achetés dans différents supermarchés et dans différentes gammes de prix. Les produits achetés ont été analysés en termes de composition et de goût en vue de l'élaboration des fiches techniques pour le cahier des charges de 201</w:t>
      </w:r>
      <w:r w:rsidR="006B2FE6" w:rsidRPr="005B1999">
        <w:t>6</w:t>
      </w:r>
      <w:r w:rsidRPr="005B1999">
        <w:t>. Ce processus s'est</w:t>
      </w:r>
      <w:r w:rsidR="006B2FE6" w:rsidRPr="005B1999">
        <w:t xml:space="preserve"> achevé à la fin de l'année 2015</w:t>
      </w:r>
      <w:r w:rsidRPr="005B1999">
        <w:t xml:space="preserve">. </w:t>
      </w:r>
    </w:p>
    <w:p w14:paraId="0DDBA85D" w14:textId="77777777" w:rsidR="00EC6EBD" w:rsidRDefault="00EC6EBD" w:rsidP="00A3247B"/>
    <w:p w14:paraId="5C85328F" w14:textId="77777777" w:rsidR="008E71BB" w:rsidRPr="005B1999" w:rsidRDefault="008E71BB" w:rsidP="00A3247B"/>
    <w:p w14:paraId="42F77988" w14:textId="77777777" w:rsidR="000E45F4" w:rsidRPr="002978CD" w:rsidRDefault="00BC3EE5" w:rsidP="00A3247B">
      <w:pPr>
        <w:pStyle w:val="Kop3"/>
        <w:numPr>
          <w:ilvl w:val="1"/>
          <w:numId w:val="2"/>
        </w:numPr>
        <w:spacing w:after="240" w:line="276" w:lineRule="auto"/>
      </w:pPr>
      <w:bookmarkStart w:id="26" w:name="_Toc422390658"/>
      <w:bookmarkStart w:id="27" w:name="_Toc454974436"/>
      <w:r w:rsidRPr="002978CD">
        <w:lastRenderedPageBreak/>
        <w:t>Indicateurs communs</w:t>
      </w:r>
      <w:bookmarkEnd w:id="26"/>
      <w:bookmarkEnd w:id="27"/>
    </w:p>
    <w:p w14:paraId="2AFE277B" w14:textId="77777777" w:rsidR="00BC3EE5" w:rsidRPr="002978CD" w:rsidRDefault="00BC3EE5" w:rsidP="00A3247B">
      <w:pPr>
        <w:pStyle w:val="Kop4"/>
        <w:numPr>
          <w:ilvl w:val="2"/>
          <w:numId w:val="2"/>
        </w:numPr>
        <w:spacing w:line="276" w:lineRule="auto"/>
      </w:pPr>
      <w:r w:rsidRPr="002978CD">
        <w:t xml:space="preserve">Indicateurs </w:t>
      </w:r>
      <w:r w:rsidR="007617E0" w:rsidRPr="002978CD">
        <w:t>de ressources</w:t>
      </w:r>
    </w:p>
    <w:tbl>
      <w:tblPr>
        <w:tblStyle w:val="Tabelraster"/>
        <w:tblW w:w="8867" w:type="dxa"/>
        <w:tblLayout w:type="fixed"/>
        <w:tblLook w:val="04A0" w:firstRow="1" w:lastRow="0" w:firstColumn="1" w:lastColumn="0" w:noHBand="0" w:noVBand="1"/>
      </w:tblPr>
      <w:tblGrid>
        <w:gridCol w:w="1384"/>
        <w:gridCol w:w="2977"/>
        <w:gridCol w:w="992"/>
        <w:gridCol w:w="1757"/>
        <w:gridCol w:w="1757"/>
      </w:tblGrid>
      <w:tr w:rsidR="002978CD" w:rsidRPr="002978CD" w14:paraId="3BA6DE1B" w14:textId="77777777" w:rsidTr="002A3D1E">
        <w:tc>
          <w:tcPr>
            <w:tcW w:w="1384" w:type="dxa"/>
            <w:shd w:val="clear" w:color="auto" w:fill="A6A6A6" w:themeFill="background1" w:themeFillShade="A6"/>
            <w:vAlign w:val="center"/>
          </w:tcPr>
          <w:p w14:paraId="733D61B0" w14:textId="77777777" w:rsidR="00A779F6" w:rsidRPr="002978CD" w:rsidRDefault="00A779F6" w:rsidP="00A3247B">
            <w:pPr>
              <w:spacing w:line="276" w:lineRule="auto"/>
              <w:jc w:val="center"/>
            </w:pPr>
            <w:r w:rsidRPr="002978CD">
              <w:t>Identifiant de l'indicateur</w:t>
            </w:r>
          </w:p>
        </w:tc>
        <w:tc>
          <w:tcPr>
            <w:tcW w:w="2977" w:type="dxa"/>
            <w:shd w:val="clear" w:color="auto" w:fill="A6A6A6" w:themeFill="background1" w:themeFillShade="A6"/>
            <w:vAlign w:val="center"/>
          </w:tcPr>
          <w:p w14:paraId="14D98C22" w14:textId="77777777" w:rsidR="00A779F6" w:rsidRPr="002978CD" w:rsidRDefault="00A779F6" w:rsidP="00A3247B">
            <w:pPr>
              <w:spacing w:line="276" w:lineRule="auto"/>
              <w:jc w:val="center"/>
            </w:pPr>
            <w:r w:rsidRPr="002978CD">
              <w:t>Nom de l'indicateur</w:t>
            </w:r>
          </w:p>
        </w:tc>
        <w:tc>
          <w:tcPr>
            <w:tcW w:w="992" w:type="dxa"/>
            <w:shd w:val="clear" w:color="auto" w:fill="A6A6A6" w:themeFill="background1" w:themeFillShade="A6"/>
            <w:vAlign w:val="center"/>
          </w:tcPr>
          <w:p w14:paraId="78E1BD1B" w14:textId="77777777" w:rsidR="00A779F6" w:rsidRPr="002978CD" w:rsidRDefault="00A779F6" w:rsidP="00A3247B">
            <w:pPr>
              <w:spacing w:line="276" w:lineRule="auto"/>
              <w:jc w:val="center"/>
            </w:pPr>
            <w:r w:rsidRPr="002978CD">
              <w:t>Unité</w:t>
            </w:r>
          </w:p>
          <w:p w14:paraId="07209CF6" w14:textId="77777777" w:rsidR="00A779F6" w:rsidRPr="002978CD" w:rsidRDefault="00A779F6" w:rsidP="00A3247B">
            <w:pPr>
              <w:spacing w:line="276" w:lineRule="auto"/>
              <w:jc w:val="center"/>
            </w:pPr>
            <w:r w:rsidRPr="002978CD">
              <w:t>de</w:t>
            </w:r>
          </w:p>
          <w:p w14:paraId="09324F6E" w14:textId="77777777" w:rsidR="00A779F6" w:rsidRPr="002978CD" w:rsidRDefault="00A779F6" w:rsidP="00A3247B">
            <w:pPr>
              <w:spacing w:line="276" w:lineRule="auto"/>
              <w:jc w:val="center"/>
            </w:pPr>
            <w:r w:rsidRPr="002978CD">
              <w:t>mesure</w:t>
            </w:r>
          </w:p>
        </w:tc>
        <w:tc>
          <w:tcPr>
            <w:tcW w:w="1757" w:type="dxa"/>
            <w:shd w:val="clear" w:color="auto" w:fill="A6A6A6" w:themeFill="background1" w:themeFillShade="A6"/>
            <w:vAlign w:val="center"/>
          </w:tcPr>
          <w:p w14:paraId="6A1DDC11" w14:textId="77777777" w:rsidR="00A779F6" w:rsidRPr="002978CD" w:rsidRDefault="00A779F6" w:rsidP="00A3247B">
            <w:pPr>
              <w:spacing w:line="276" w:lineRule="auto"/>
              <w:jc w:val="center"/>
            </w:pPr>
            <w:r w:rsidRPr="002978CD">
              <w:t>2014</w:t>
            </w:r>
          </w:p>
        </w:tc>
        <w:tc>
          <w:tcPr>
            <w:tcW w:w="1757" w:type="dxa"/>
            <w:shd w:val="clear" w:color="auto" w:fill="A6A6A6" w:themeFill="background1" w:themeFillShade="A6"/>
            <w:vAlign w:val="center"/>
          </w:tcPr>
          <w:p w14:paraId="16905F5B" w14:textId="77777777" w:rsidR="00A779F6" w:rsidRPr="002978CD" w:rsidRDefault="00A779F6" w:rsidP="00A3247B">
            <w:pPr>
              <w:spacing w:line="276" w:lineRule="auto"/>
              <w:jc w:val="center"/>
            </w:pPr>
            <w:r w:rsidRPr="002978CD">
              <w:t>2015</w:t>
            </w:r>
          </w:p>
        </w:tc>
      </w:tr>
      <w:tr w:rsidR="002978CD" w:rsidRPr="002978CD" w14:paraId="6294C0D6" w14:textId="77777777" w:rsidTr="002A3D1E">
        <w:tc>
          <w:tcPr>
            <w:tcW w:w="1384" w:type="dxa"/>
            <w:shd w:val="clear" w:color="auto" w:fill="D9D9D9" w:themeFill="background1" w:themeFillShade="D9"/>
            <w:vAlign w:val="center"/>
          </w:tcPr>
          <w:p w14:paraId="0BA3868E" w14:textId="77777777" w:rsidR="00A779F6" w:rsidRPr="002978CD" w:rsidRDefault="00A779F6" w:rsidP="00A3247B">
            <w:pPr>
              <w:spacing w:line="276" w:lineRule="auto"/>
              <w:jc w:val="center"/>
            </w:pPr>
            <w:r w:rsidRPr="002978CD">
              <w:t>(1)</w:t>
            </w:r>
          </w:p>
        </w:tc>
        <w:tc>
          <w:tcPr>
            <w:tcW w:w="2977" w:type="dxa"/>
          </w:tcPr>
          <w:p w14:paraId="1B6DB9C6" w14:textId="77777777" w:rsidR="00A779F6" w:rsidRPr="002978CD" w:rsidRDefault="00A779F6" w:rsidP="00A3247B">
            <w:pPr>
              <w:spacing w:line="276" w:lineRule="auto"/>
            </w:pPr>
            <w:r w:rsidRPr="002978CD">
              <w:rPr>
                <w:sz w:val="19"/>
                <w:szCs w:val="19"/>
              </w:rPr>
              <w:t>Montant total des dépenses publiques éligibles approuvé dans les documents fixant les conditions du soutien aux opérations</w:t>
            </w:r>
          </w:p>
        </w:tc>
        <w:tc>
          <w:tcPr>
            <w:tcW w:w="992" w:type="dxa"/>
            <w:vAlign w:val="center"/>
          </w:tcPr>
          <w:p w14:paraId="5B7C9FA5" w14:textId="77777777" w:rsidR="00A779F6" w:rsidRPr="005B1999" w:rsidRDefault="00A779F6" w:rsidP="00A3247B">
            <w:pPr>
              <w:spacing w:line="276" w:lineRule="auto"/>
              <w:jc w:val="center"/>
            </w:pPr>
            <w:r w:rsidRPr="005B1999">
              <w:t>EUR</w:t>
            </w:r>
          </w:p>
        </w:tc>
        <w:tc>
          <w:tcPr>
            <w:tcW w:w="1757" w:type="dxa"/>
            <w:vAlign w:val="center"/>
          </w:tcPr>
          <w:p w14:paraId="5705580E" w14:textId="77777777" w:rsidR="00A779F6" w:rsidRPr="005B1999" w:rsidRDefault="00A779F6" w:rsidP="005B1999">
            <w:pPr>
              <w:spacing w:line="276" w:lineRule="auto"/>
              <w:jc w:val="left"/>
            </w:pPr>
            <w:r w:rsidRPr="005B1999">
              <w:t>12.695.237,36</w:t>
            </w:r>
          </w:p>
          <w:p w14:paraId="030FE622" w14:textId="77777777" w:rsidR="00A779F6" w:rsidRPr="005B1999" w:rsidRDefault="00A779F6" w:rsidP="00A3247B">
            <w:pPr>
              <w:spacing w:line="276" w:lineRule="auto"/>
            </w:pPr>
          </w:p>
          <w:p w14:paraId="13FC600D" w14:textId="77777777" w:rsidR="00A779F6" w:rsidRPr="005B1999" w:rsidRDefault="00A779F6" w:rsidP="00A3247B">
            <w:pPr>
              <w:spacing w:line="276" w:lineRule="auto"/>
              <w:jc w:val="left"/>
            </w:pPr>
            <w:r w:rsidRPr="005B1999">
              <w:t xml:space="preserve">11.871.000,00€ (montant appel à </w:t>
            </w:r>
            <w:proofErr w:type="spellStart"/>
            <w:r w:rsidRPr="005B1999">
              <w:t>marché</w:t>
            </w:r>
            <w:proofErr w:type="spellEnd"/>
            <w:r w:rsidRPr="005B1999">
              <w:t xml:space="preserve"> 2014) + 712.260,00€ (coût TVA 6%) + 111.977,36€ (assistance technique)</w:t>
            </w:r>
          </w:p>
        </w:tc>
        <w:tc>
          <w:tcPr>
            <w:tcW w:w="1757" w:type="dxa"/>
            <w:vAlign w:val="center"/>
          </w:tcPr>
          <w:p w14:paraId="53FD80F4" w14:textId="77777777" w:rsidR="00A779F6" w:rsidRPr="002978CD" w:rsidRDefault="00A779F6" w:rsidP="00A3247B">
            <w:pPr>
              <w:spacing w:line="276" w:lineRule="auto"/>
            </w:pPr>
            <w:r w:rsidRPr="002978CD">
              <w:t>13.282.352,12</w:t>
            </w:r>
          </w:p>
          <w:p w14:paraId="3F490441" w14:textId="77777777" w:rsidR="00A779F6" w:rsidRPr="002978CD" w:rsidRDefault="00A779F6" w:rsidP="00A3247B">
            <w:pPr>
              <w:spacing w:line="276" w:lineRule="auto"/>
            </w:pPr>
          </w:p>
          <w:p w14:paraId="6F3515DD" w14:textId="77777777" w:rsidR="00A779F6" w:rsidRPr="002978CD" w:rsidRDefault="00A779F6" w:rsidP="00A3247B">
            <w:pPr>
              <w:spacing w:line="276" w:lineRule="auto"/>
            </w:pPr>
            <w:r w:rsidRPr="002978CD">
              <w:t xml:space="preserve">12.092.000,00 (montant appel à </w:t>
            </w:r>
            <w:proofErr w:type="spellStart"/>
            <w:r w:rsidRPr="002978CD">
              <w:t>marché</w:t>
            </w:r>
            <w:proofErr w:type="spellEnd"/>
            <w:r w:rsidRPr="002978CD">
              <w:t xml:space="preserve"> 2015) + 725.520,00€ (coût TVA 6%) + 464.832,12€ (assistance technique)</w:t>
            </w:r>
          </w:p>
        </w:tc>
      </w:tr>
      <w:tr w:rsidR="002978CD" w:rsidRPr="002978CD" w14:paraId="2FBC1124" w14:textId="77777777" w:rsidTr="002A3D1E">
        <w:tc>
          <w:tcPr>
            <w:tcW w:w="1384" w:type="dxa"/>
            <w:shd w:val="clear" w:color="auto" w:fill="D9D9D9" w:themeFill="background1" w:themeFillShade="D9"/>
            <w:vAlign w:val="center"/>
          </w:tcPr>
          <w:p w14:paraId="7FB6ADD3" w14:textId="77777777" w:rsidR="00A779F6" w:rsidRPr="002978CD" w:rsidRDefault="00A779F6" w:rsidP="00A3247B">
            <w:pPr>
              <w:spacing w:line="276" w:lineRule="auto"/>
              <w:jc w:val="center"/>
            </w:pPr>
            <w:r w:rsidRPr="002978CD">
              <w:t>(2)</w:t>
            </w:r>
          </w:p>
        </w:tc>
        <w:tc>
          <w:tcPr>
            <w:tcW w:w="2977" w:type="dxa"/>
          </w:tcPr>
          <w:p w14:paraId="1E3780EC" w14:textId="77777777" w:rsidR="00A779F6" w:rsidRPr="002978CD" w:rsidRDefault="00A779F6" w:rsidP="00A3247B">
            <w:pPr>
              <w:spacing w:line="276" w:lineRule="auto"/>
            </w:pPr>
            <w:r w:rsidRPr="002978CD">
              <w:rPr>
                <w:sz w:val="19"/>
                <w:szCs w:val="19"/>
              </w:rPr>
              <w:t>Montant total des dépenses publiques éligibles engagées par les bénéficiaires et effectuées au cours de l'exécution des opérations dont,</w:t>
            </w:r>
          </w:p>
        </w:tc>
        <w:tc>
          <w:tcPr>
            <w:tcW w:w="992" w:type="dxa"/>
            <w:vAlign w:val="center"/>
          </w:tcPr>
          <w:p w14:paraId="5259AE95" w14:textId="77777777" w:rsidR="00A779F6" w:rsidRPr="002978CD" w:rsidRDefault="00A779F6" w:rsidP="00A3247B">
            <w:pPr>
              <w:spacing w:line="276" w:lineRule="auto"/>
              <w:jc w:val="center"/>
            </w:pPr>
            <w:r w:rsidRPr="002978CD">
              <w:t>EUR</w:t>
            </w:r>
          </w:p>
        </w:tc>
        <w:tc>
          <w:tcPr>
            <w:tcW w:w="1757" w:type="dxa"/>
            <w:vAlign w:val="center"/>
          </w:tcPr>
          <w:p w14:paraId="558B6398" w14:textId="77777777" w:rsidR="00A779F6" w:rsidRPr="002978CD" w:rsidRDefault="00A779F6" w:rsidP="00A3247B">
            <w:pPr>
              <w:spacing w:line="276" w:lineRule="auto"/>
              <w:jc w:val="right"/>
            </w:pPr>
            <w:r w:rsidRPr="002978CD">
              <w:t>9.799.065,01</w:t>
            </w:r>
          </w:p>
        </w:tc>
        <w:tc>
          <w:tcPr>
            <w:tcW w:w="1757" w:type="dxa"/>
            <w:vAlign w:val="center"/>
          </w:tcPr>
          <w:p w14:paraId="5F789369" w14:textId="77777777" w:rsidR="00A779F6" w:rsidRPr="002978CD" w:rsidRDefault="00A779F6" w:rsidP="00A3247B">
            <w:pPr>
              <w:spacing w:line="276" w:lineRule="auto"/>
              <w:jc w:val="right"/>
            </w:pPr>
            <w:r w:rsidRPr="002978CD">
              <w:t>6.170.520,51</w:t>
            </w:r>
          </w:p>
        </w:tc>
      </w:tr>
      <w:tr w:rsidR="002978CD" w:rsidRPr="002978CD" w14:paraId="2675667B" w14:textId="77777777" w:rsidTr="002A3D1E">
        <w:tc>
          <w:tcPr>
            <w:tcW w:w="1384" w:type="dxa"/>
            <w:shd w:val="clear" w:color="auto" w:fill="D9D9D9" w:themeFill="background1" w:themeFillShade="D9"/>
            <w:vAlign w:val="center"/>
          </w:tcPr>
          <w:p w14:paraId="5CEA5E6E" w14:textId="77777777" w:rsidR="00A779F6" w:rsidRPr="002978CD" w:rsidRDefault="00A779F6" w:rsidP="00A3247B">
            <w:pPr>
              <w:spacing w:line="276" w:lineRule="auto"/>
              <w:jc w:val="center"/>
            </w:pPr>
            <w:r w:rsidRPr="002978CD">
              <w:t>(2a)</w:t>
            </w:r>
          </w:p>
        </w:tc>
        <w:tc>
          <w:tcPr>
            <w:tcW w:w="2977" w:type="dxa"/>
          </w:tcPr>
          <w:p w14:paraId="26357F53" w14:textId="77777777" w:rsidR="00A779F6" w:rsidRPr="002978CD" w:rsidRDefault="00A779F6" w:rsidP="00A3247B">
            <w:pPr>
              <w:spacing w:line="276" w:lineRule="auto"/>
            </w:pPr>
            <w:r w:rsidRPr="002978CD">
              <w:rPr>
                <w:sz w:val="19"/>
                <w:szCs w:val="19"/>
              </w:rPr>
              <w:t>Montant total des dépenses publiques éligibles engagées par les bénéficiaires et effectuées au cours de l'exécution des opérations de distribution de l'aide alimentaire</w:t>
            </w:r>
          </w:p>
        </w:tc>
        <w:tc>
          <w:tcPr>
            <w:tcW w:w="992" w:type="dxa"/>
            <w:vAlign w:val="center"/>
          </w:tcPr>
          <w:p w14:paraId="6D625310" w14:textId="77777777" w:rsidR="00A779F6" w:rsidRPr="002978CD" w:rsidRDefault="00A779F6" w:rsidP="00A3247B">
            <w:pPr>
              <w:spacing w:line="276" w:lineRule="auto"/>
              <w:jc w:val="center"/>
            </w:pPr>
            <w:r w:rsidRPr="002978CD">
              <w:t>EUR</w:t>
            </w:r>
          </w:p>
        </w:tc>
        <w:tc>
          <w:tcPr>
            <w:tcW w:w="1757" w:type="dxa"/>
            <w:vAlign w:val="center"/>
          </w:tcPr>
          <w:p w14:paraId="70198AB0" w14:textId="77777777" w:rsidR="00A779F6" w:rsidRPr="002978CD" w:rsidRDefault="00A779F6" w:rsidP="00A3247B">
            <w:pPr>
              <w:spacing w:line="276" w:lineRule="auto"/>
              <w:jc w:val="right"/>
            </w:pPr>
            <w:r w:rsidRPr="002978CD">
              <w:t>9.687.087,65</w:t>
            </w:r>
          </w:p>
        </w:tc>
        <w:tc>
          <w:tcPr>
            <w:tcW w:w="1757" w:type="dxa"/>
            <w:vAlign w:val="center"/>
          </w:tcPr>
          <w:p w14:paraId="1EEA8823" w14:textId="77777777" w:rsidR="00A779F6" w:rsidRPr="002978CD" w:rsidRDefault="00A779F6" w:rsidP="00A3247B">
            <w:pPr>
              <w:spacing w:line="276" w:lineRule="auto"/>
              <w:jc w:val="right"/>
            </w:pPr>
            <w:r w:rsidRPr="002978CD">
              <w:t>5.705.688,39</w:t>
            </w:r>
          </w:p>
        </w:tc>
      </w:tr>
      <w:tr w:rsidR="002978CD" w:rsidRPr="002978CD" w14:paraId="26893E9E" w14:textId="77777777" w:rsidTr="002A3D1E">
        <w:tc>
          <w:tcPr>
            <w:tcW w:w="1384" w:type="dxa"/>
            <w:shd w:val="clear" w:color="auto" w:fill="D9D9D9" w:themeFill="background1" w:themeFillShade="D9"/>
            <w:vAlign w:val="center"/>
          </w:tcPr>
          <w:p w14:paraId="00E94644" w14:textId="77777777" w:rsidR="00A779F6" w:rsidRPr="002978CD" w:rsidRDefault="00A779F6" w:rsidP="00A3247B">
            <w:pPr>
              <w:spacing w:line="276" w:lineRule="auto"/>
              <w:jc w:val="center"/>
            </w:pPr>
            <w:r w:rsidRPr="002978CD">
              <w:t>(2b)</w:t>
            </w:r>
          </w:p>
        </w:tc>
        <w:tc>
          <w:tcPr>
            <w:tcW w:w="2977" w:type="dxa"/>
          </w:tcPr>
          <w:p w14:paraId="1039606B" w14:textId="77777777" w:rsidR="00A779F6" w:rsidRPr="002978CD" w:rsidRDefault="00A779F6" w:rsidP="00A3247B">
            <w:pPr>
              <w:spacing w:line="276" w:lineRule="auto"/>
            </w:pPr>
            <w:r w:rsidRPr="002978CD">
              <w:rPr>
                <w:sz w:val="19"/>
                <w:szCs w:val="19"/>
              </w:rPr>
              <w:t>Montant total des dépenses publiques éligibles engagées par les bénéficiaires et effectuées au cours de l'exécution des opérations liées à la fourniture d'une assistance matérielle de base</w:t>
            </w:r>
          </w:p>
        </w:tc>
        <w:tc>
          <w:tcPr>
            <w:tcW w:w="992" w:type="dxa"/>
            <w:vAlign w:val="center"/>
          </w:tcPr>
          <w:p w14:paraId="0434A7D1" w14:textId="77777777" w:rsidR="00A779F6" w:rsidRPr="002978CD" w:rsidRDefault="00A779F6" w:rsidP="00A3247B">
            <w:pPr>
              <w:spacing w:line="276" w:lineRule="auto"/>
              <w:jc w:val="center"/>
            </w:pPr>
            <w:r w:rsidRPr="002978CD">
              <w:t>EUR</w:t>
            </w:r>
          </w:p>
        </w:tc>
        <w:tc>
          <w:tcPr>
            <w:tcW w:w="1757" w:type="dxa"/>
            <w:vAlign w:val="center"/>
          </w:tcPr>
          <w:p w14:paraId="7316ABB7" w14:textId="77777777" w:rsidR="00A779F6" w:rsidRPr="002978CD" w:rsidRDefault="00A779F6" w:rsidP="00A3247B">
            <w:pPr>
              <w:spacing w:line="276" w:lineRule="auto"/>
              <w:jc w:val="right"/>
            </w:pPr>
            <w:r w:rsidRPr="002978CD">
              <w:t>0</w:t>
            </w:r>
          </w:p>
        </w:tc>
        <w:tc>
          <w:tcPr>
            <w:tcW w:w="1757" w:type="dxa"/>
            <w:vAlign w:val="center"/>
          </w:tcPr>
          <w:p w14:paraId="47C6892C" w14:textId="77777777" w:rsidR="00A779F6" w:rsidRPr="002978CD" w:rsidRDefault="00A779F6" w:rsidP="00A3247B">
            <w:pPr>
              <w:spacing w:line="276" w:lineRule="auto"/>
              <w:jc w:val="right"/>
            </w:pPr>
            <w:r w:rsidRPr="002978CD">
              <w:t>0</w:t>
            </w:r>
          </w:p>
        </w:tc>
      </w:tr>
      <w:tr w:rsidR="002978CD" w:rsidRPr="002978CD" w14:paraId="0F1E331F" w14:textId="77777777" w:rsidTr="002A3D1E">
        <w:tc>
          <w:tcPr>
            <w:tcW w:w="1384" w:type="dxa"/>
            <w:shd w:val="clear" w:color="auto" w:fill="D9D9D9" w:themeFill="background1" w:themeFillShade="D9"/>
            <w:vAlign w:val="center"/>
          </w:tcPr>
          <w:p w14:paraId="7A3400DF" w14:textId="77777777" w:rsidR="00A779F6" w:rsidRPr="002978CD" w:rsidRDefault="00A779F6" w:rsidP="00A3247B">
            <w:pPr>
              <w:spacing w:line="276" w:lineRule="auto"/>
              <w:jc w:val="center"/>
            </w:pPr>
            <w:r w:rsidRPr="002978CD">
              <w:t>(3)</w:t>
            </w:r>
          </w:p>
        </w:tc>
        <w:tc>
          <w:tcPr>
            <w:tcW w:w="2977" w:type="dxa"/>
          </w:tcPr>
          <w:p w14:paraId="3812642C" w14:textId="77777777" w:rsidR="00A779F6" w:rsidRPr="002978CD" w:rsidRDefault="00A779F6" w:rsidP="00A3247B">
            <w:pPr>
              <w:spacing w:line="276" w:lineRule="auto"/>
            </w:pPr>
            <w:r w:rsidRPr="002978CD">
              <w:rPr>
                <w:sz w:val="19"/>
                <w:szCs w:val="19"/>
              </w:rPr>
              <w:t>Montant total des dépenses publiques éligibles déclarées à la Commission</w:t>
            </w:r>
          </w:p>
        </w:tc>
        <w:tc>
          <w:tcPr>
            <w:tcW w:w="992" w:type="dxa"/>
            <w:vAlign w:val="center"/>
          </w:tcPr>
          <w:p w14:paraId="3499BAE3" w14:textId="77777777" w:rsidR="00A779F6" w:rsidRPr="002978CD" w:rsidRDefault="00A779F6" w:rsidP="00A3247B">
            <w:pPr>
              <w:spacing w:line="276" w:lineRule="auto"/>
              <w:jc w:val="center"/>
            </w:pPr>
            <w:r w:rsidRPr="002978CD">
              <w:t>EUR</w:t>
            </w:r>
          </w:p>
        </w:tc>
        <w:tc>
          <w:tcPr>
            <w:tcW w:w="1757" w:type="dxa"/>
            <w:vAlign w:val="center"/>
          </w:tcPr>
          <w:p w14:paraId="08A35436" w14:textId="77777777" w:rsidR="00A779F6" w:rsidRPr="002978CD" w:rsidRDefault="00A779F6" w:rsidP="00A3247B">
            <w:pPr>
              <w:spacing w:line="276" w:lineRule="auto"/>
              <w:jc w:val="right"/>
            </w:pPr>
            <w:r w:rsidRPr="002978CD">
              <w:t>0</w:t>
            </w:r>
          </w:p>
        </w:tc>
        <w:tc>
          <w:tcPr>
            <w:tcW w:w="1757" w:type="dxa"/>
            <w:vAlign w:val="center"/>
          </w:tcPr>
          <w:p w14:paraId="7CE24280" w14:textId="77777777" w:rsidR="00A779F6" w:rsidRPr="002978CD" w:rsidRDefault="00A779F6" w:rsidP="00A3247B">
            <w:pPr>
              <w:spacing w:line="276" w:lineRule="auto"/>
              <w:jc w:val="right"/>
            </w:pPr>
            <w:r w:rsidRPr="002978CD">
              <w:t>0</w:t>
            </w:r>
          </w:p>
        </w:tc>
      </w:tr>
    </w:tbl>
    <w:p w14:paraId="149BE13D" w14:textId="77777777" w:rsidR="0039613D" w:rsidRPr="002978CD" w:rsidRDefault="0039613D" w:rsidP="00A3247B"/>
    <w:p w14:paraId="3B1CA4BF" w14:textId="77777777" w:rsidR="000E45F4" w:rsidRPr="002978CD" w:rsidRDefault="007F1AF8" w:rsidP="00A3247B">
      <w:pPr>
        <w:pStyle w:val="Kop4"/>
        <w:numPr>
          <w:ilvl w:val="2"/>
          <w:numId w:val="2"/>
        </w:numPr>
        <w:spacing w:line="276" w:lineRule="auto"/>
      </w:pPr>
      <w:r w:rsidRPr="002978CD">
        <w:t xml:space="preserve">Indicateurs de </w:t>
      </w:r>
      <w:r w:rsidR="007617E0" w:rsidRPr="002978CD">
        <w:t>réalisation</w:t>
      </w:r>
      <w:r w:rsidRPr="002978CD">
        <w:t xml:space="preserve"> relatifs à l'aide alimentaire distribuée</w:t>
      </w:r>
    </w:p>
    <w:tbl>
      <w:tblPr>
        <w:tblStyle w:val="Tabelraster"/>
        <w:tblW w:w="9294" w:type="dxa"/>
        <w:tblLayout w:type="fixed"/>
        <w:tblLook w:val="04A0" w:firstRow="1" w:lastRow="0" w:firstColumn="1" w:lastColumn="0" w:noHBand="0" w:noVBand="1"/>
      </w:tblPr>
      <w:tblGrid>
        <w:gridCol w:w="1384"/>
        <w:gridCol w:w="4536"/>
        <w:gridCol w:w="992"/>
        <w:gridCol w:w="1191"/>
        <w:gridCol w:w="1191"/>
      </w:tblGrid>
      <w:tr w:rsidR="002978CD" w:rsidRPr="002978CD" w14:paraId="7BD0E63E" w14:textId="77777777" w:rsidTr="002978CD">
        <w:tc>
          <w:tcPr>
            <w:tcW w:w="1384" w:type="dxa"/>
            <w:shd w:val="clear" w:color="auto" w:fill="A6A6A6" w:themeFill="background1" w:themeFillShade="A6"/>
            <w:vAlign w:val="center"/>
          </w:tcPr>
          <w:p w14:paraId="54E90715" w14:textId="77777777" w:rsidR="00A779F6" w:rsidRPr="002978CD" w:rsidRDefault="00A779F6" w:rsidP="00A3247B">
            <w:pPr>
              <w:spacing w:line="276" w:lineRule="auto"/>
              <w:jc w:val="center"/>
            </w:pPr>
            <w:r w:rsidRPr="002978CD">
              <w:t>Identifiant de l'indicateur</w:t>
            </w:r>
          </w:p>
        </w:tc>
        <w:tc>
          <w:tcPr>
            <w:tcW w:w="4536" w:type="dxa"/>
            <w:shd w:val="clear" w:color="auto" w:fill="A6A6A6" w:themeFill="background1" w:themeFillShade="A6"/>
            <w:vAlign w:val="center"/>
          </w:tcPr>
          <w:p w14:paraId="0AC1865A" w14:textId="77777777" w:rsidR="00A779F6" w:rsidRPr="002978CD" w:rsidRDefault="00A779F6" w:rsidP="00A3247B">
            <w:pPr>
              <w:spacing w:line="276" w:lineRule="auto"/>
              <w:jc w:val="center"/>
            </w:pPr>
            <w:r w:rsidRPr="002978CD">
              <w:t>Nom de l'indicateur</w:t>
            </w:r>
          </w:p>
        </w:tc>
        <w:tc>
          <w:tcPr>
            <w:tcW w:w="992" w:type="dxa"/>
            <w:shd w:val="clear" w:color="auto" w:fill="A6A6A6" w:themeFill="background1" w:themeFillShade="A6"/>
            <w:vAlign w:val="center"/>
          </w:tcPr>
          <w:p w14:paraId="3D4BD661" w14:textId="77777777" w:rsidR="00A779F6" w:rsidRPr="002978CD" w:rsidRDefault="00A779F6" w:rsidP="00A3247B">
            <w:pPr>
              <w:spacing w:line="276" w:lineRule="auto"/>
              <w:jc w:val="center"/>
            </w:pPr>
            <w:r w:rsidRPr="002978CD">
              <w:t>Unité</w:t>
            </w:r>
          </w:p>
          <w:p w14:paraId="216C1D1C" w14:textId="77777777" w:rsidR="00A779F6" w:rsidRPr="002978CD" w:rsidRDefault="00A779F6" w:rsidP="00A3247B">
            <w:pPr>
              <w:spacing w:line="276" w:lineRule="auto"/>
              <w:jc w:val="center"/>
            </w:pPr>
            <w:r w:rsidRPr="002978CD">
              <w:t>de mesure</w:t>
            </w:r>
          </w:p>
        </w:tc>
        <w:tc>
          <w:tcPr>
            <w:tcW w:w="1191" w:type="dxa"/>
            <w:shd w:val="clear" w:color="auto" w:fill="A6A6A6" w:themeFill="background1" w:themeFillShade="A6"/>
            <w:vAlign w:val="center"/>
          </w:tcPr>
          <w:p w14:paraId="4BA574CB" w14:textId="77777777" w:rsidR="00A779F6" w:rsidRPr="002978CD" w:rsidRDefault="00A779F6" w:rsidP="00A3247B">
            <w:pPr>
              <w:spacing w:line="276" w:lineRule="auto"/>
              <w:jc w:val="center"/>
            </w:pPr>
            <w:r w:rsidRPr="002978CD">
              <w:t>2014</w:t>
            </w:r>
          </w:p>
        </w:tc>
        <w:tc>
          <w:tcPr>
            <w:tcW w:w="1191" w:type="dxa"/>
            <w:shd w:val="clear" w:color="auto" w:fill="A6A6A6" w:themeFill="background1" w:themeFillShade="A6"/>
            <w:vAlign w:val="center"/>
          </w:tcPr>
          <w:p w14:paraId="257E5D60" w14:textId="77777777" w:rsidR="00A779F6" w:rsidRPr="002978CD" w:rsidRDefault="00A779F6" w:rsidP="00A3247B">
            <w:pPr>
              <w:spacing w:line="276" w:lineRule="auto"/>
              <w:jc w:val="center"/>
            </w:pPr>
            <w:r w:rsidRPr="002978CD">
              <w:t>2015</w:t>
            </w:r>
          </w:p>
        </w:tc>
      </w:tr>
      <w:tr w:rsidR="002978CD" w:rsidRPr="002978CD" w14:paraId="032D94DB" w14:textId="77777777" w:rsidTr="002978CD">
        <w:tc>
          <w:tcPr>
            <w:tcW w:w="1384" w:type="dxa"/>
            <w:shd w:val="clear" w:color="auto" w:fill="D9D9D9" w:themeFill="background1" w:themeFillShade="D9"/>
            <w:vAlign w:val="center"/>
          </w:tcPr>
          <w:p w14:paraId="181DC579" w14:textId="77777777" w:rsidR="00A779F6" w:rsidRPr="002978CD" w:rsidRDefault="00A779F6" w:rsidP="00A3247B">
            <w:pPr>
              <w:spacing w:line="276" w:lineRule="auto"/>
              <w:jc w:val="center"/>
            </w:pPr>
            <w:r w:rsidRPr="002978CD">
              <w:t>(4)</w:t>
            </w:r>
          </w:p>
        </w:tc>
        <w:tc>
          <w:tcPr>
            <w:tcW w:w="4536" w:type="dxa"/>
          </w:tcPr>
          <w:p w14:paraId="492D6AA1" w14:textId="77777777" w:rsidR="00A779F6" w:rsidRPr="002978CD" w:rsidRDefault="00A779F6" w:rsidP="00A3247B">
            <w:pPr>
              <w:spacing w:line="276" w:lineRule="auto"/>
            </w:pPr>
            <w:r w:rsidRPr="002978CD">
              <w:rPr>
                <w:sz w:val="19"/>
              </w:rPr>
              <w:t>Quantité de fruits et de légumes</w:t>
            </w:r>
          </w:p>
        </w:tc>
        <w:tc>
          <w:tcPr>
            <w:tcW w:w="992" w:type="dxa"/>
          </w:tcPr>
          <w:p w14:paraId="6E607AC0" w14:textId="77777777" w:rsidR="00A779F6" w:rsidRPr="002978CD" w:rsidRDefault="00A779F6" w:rsidP="00A3247B">
            <w:pPr>
              <w:spacing w:line="276" w:lineRule="auto"/>
            </w:pPr>
            <w:r w:rsidRPr="002978CD">
              <w:t>Tonne</w:t>
            </w:r>
          </w:p>
        </w:tc>
        <w:tc>
          <w:tcPr>
            <w:tcW w:w="1191" w:type="dxa"/>
            <w:vAlign w:val="center"/>
          </w:tcPr>
          <w:p w14:paraId="065216E8" w14:textId="77777777" w:rsidR="00A779F6" w:rsidRPr="002978CD" w:rsidRDefault="00A779F6" w:rsidP="00A3247B">
            <w:pPr>
              <w:spacing w:line="276" w:lineRule="auto"/>
              <w:jc w:val="right"/>
            </w:pPr>
            <w:r w:rsidRPr="002978CD">
              <w:t>516,24</w:t>
            </w:r>
          </w:p>
        </w:tc>
        <w:tc>
          <w:tcPr>
            <w:tcW w:w="1191" w:type="dxa"/>
            <w:vAlign w:val="center"/>
          </w:tcPr>
          <w:p w14:paraId="16457F33" w14:textId="0F07415A" w:rsidR="00A779F6" w:rsidRPr="002978CD" w:rsidRDefault="00BD3FC1" w:rsidP="00A3247B">
            <w:pPr>
              <w:spacing w:line="276" w:lineRule="auto"/>
              <w:jc w:val="right"/>
            </w:pPr>
            <w:r>
              <w:t>1.101,01</w:t>
            </w:r>
          </w:p>
        </w:tc>
      </w:tr>
      <w:tr w:rsidR="002978CD" w:rsidRPr="002978CD" w14:paraId="7C710D4B" w14:textId="77777777" w:rsidTr="002978CD">
        <w:tc>
          <w:tcPr>
            <w:tcW w:w="1384" w:type="dxa"/>
            <w:shd w:val="clear" w:color="auto" w:fill="D9D9D9" w:themeFill="background1" w:themeFillShade="D9"/>
            <w:vAlign w:val="center"/>
          </w:tcPr>
          <w:p w14:paraId="06B45A6C" w14:textId="77777777" w:rsidR="00A779F6" w:rsidRPr="002978CD" w:rsidRDefault="00A779F6" w:rsidP="00A3247B">
            <w:pPr>
              <w:spacing w:line="276" w:lineRule="auto"/>
              <w:jc w:val="center"/>
            </w:pPr>
            <w:r w:rsidRPr="002978CD">
              <w:t>(5)</w:t>
            </w:r>
          </w:p>
        </w:tc>
        <w:tc>
          <w:tcPr>
            <w:tcW w:w="4536" w:type="dxa"/>
          </w:tcPr>
          <w:p w14:paraId="4FFD91F1" w14:textId="77777777" w:rsidR="00A779F6" w:rsidRPr="002978CD" w:rsidRDefault="00A779F6" w:rsidP="00A3247B">
            <w:pPr>
              <w:spacing w:line="276" w:lineRule="auto"/>
            </w:pPr>
            <w:r w:rsidRPr="002978CD">
              <w:rPr>
                <w:sz w:val="19"/>
                <w:szCs w:val="19"/>
              </w:rPr>
              <w:t>Quantité de viandes, œufs, poissons et fruits de mer</w:t>
            </w:r>
          </w:p>
        </w:tc>
        <w:tc>
          <w:tcPr>
            <w:tcW w:w="992" w:type="dxa"/>
          </w:tcPr>
          <w:p w14:paraId="4DD49791" w14:textId="77777777" w:rsidR="00A779F6" w:rsidRPr="002978CD" w:rsidRDefault="00A779F6" w:rsidP="00A3247B">
            <w:pPr>
              <w:spacing w:line="276" w:lineRule="auto"/>
            </w:pPr>
            <w:r w:rsidRPr="002978CD">
              <w:t>Tonne</w:t>
            </w:r>
          </w:p>
        </w:tc>
        <w:tc>
          <w:tcPr>
            <w:tcW w:w="1191" w:type="dxa"/>
            <w:vAlign w:val="center"/>
          </w:tcPr>
          <w:p w14:paraId="6FC77C1A" w14:textId="77777777" w:rsidR="00A779F6" w:rsidRPr="002978CD" w:rsidRDefault="00A779F6" w:rsidP="00A3247B">
            <w:pPr>
              <w:spacing w:line="276" w:lineRule="auto"/>
              <w:jc w:val="right"/>
            </w:pPr>
            <w:r w:rsidRPr="002978CD">
              <w:t>582,28</w:t>
            </w:r>
          </w:p>
        </w:tc>
        <w:tc>
          <w:tcPr>
            <w:tcW w:w="1191" w:type="dxa"/>
            <w:vAlign w:val="center"/>
          </w:tcPr>
          <w:p w14:paraId="52F0D6E6" w14:textId="430466A7" w:rsidR="00A779F6" w:rsidRPr="002978CD" w:rsidRDefault="00BD3FC1" w:rsidP="00A3247B">
            <w:pPr>
              <w:spacing w:line="276" w:lineRule="auto"/>
              <w:jc w:val="right"/>
            </w:pPr>
            <w:r>
              <w:t>389,75</w:t>
            </w:r>
          </w:p>
        </w:tc>
      </w:tr>
      <w:tr w:rsidR="002978CD" w:rsidRPr="002978CD" w14:paraId="41D54386" w14:textId="77777777" w:rsidTr="002978CD">
        <w:tc>
          <w:tcPr>
            <w:tcW w:w="1384" w:type="dxa"/>
            <w:shd w:val="clear" w:color="auto" w:fill="D9D9D9" w:themeFill="background1" w:themeFillShade="D9"/>
            <w:vAlign w:val="center"/>
          </w:tcPr>
          <w:p w14:paraId="1817EAFD" w14:textId="77777777" w:rsidR="00A779F6" w:rsidRPr="002978CD" w:rsidRDefault="00A779F6" w:rsidP="00A3247B">
            <w:pPr>
              <w:spacing w:line="276" w:lineRule="auto"/>
              <w:jc w:val="center"/>
            </w:pPr>
            <w:r w:rsidRPr="002978CD">
              <w:t>(6)</w:t>
            </w:r>
          </w:p>
        </w:tc>
        <w:tc>
          <w:tcPr>
            <w:tcW w:w="4536" w:type="dxa"/>
          </w:tcPr>
          <w:p w14:paraId="689E9F62" w14:textId="77777777" w:rsidR="00A779F6" w:rsidRPr="002978CD" w:rsidRDefault="00A779F6" w:rsidP="00A3247B">
            <w:pPr>
              <w:spacing w:line="276" w:lineRule="auto"/>
            </w:pPr>
            <w:r w:rsidRPr="002978CD">
              <w:rPr>
                <w:sz w:val="19"/>
                <w:szCs w:val="19"/>
              </w:rPr>
              <w:t>Quantité de farine, pain, pommes de terre, riz et autres produits riches en amidon</w:t>
            </w:r>
          </w:p>
        </w:tc>
        <w:tc>
          <w:tcPr>
            <w:tcW w:w="992" w:type="dxa"/>
          </w:tcPr>
          <w:p w14:paraId="28556AA3" w14:textId="77777777" w:rsidR="00A779F6" w:rsidRPr="002978CD" w:rsidRDefault="00A779F6" w:rsidP="00A3247B">
            <w:pPr>
              <w:spacing w:line="276" w:lineRule="auto"/>
            </w:pPr>
            <w:r w:rsidRPr="002978CD">
              <w:t>Tonne</w:t>
            </w:r>
          </w:p>
        </w:tc>
        <w:tc>
          <w:tcPr>
            <w:tcW w:w="1191" w:type="dxa"/>
            <w:vAlign w:val="center"/>
          </w:tcPr>
          <w:p w14:paraId="6FE8C89A" w14:textId="77777777" w:rsidR="00A779F6" w:rsidRPr="002978CD" w:rsidRDefault="00A779F6" w:rsidP="00A3247B">
            <w:pPr>
              <w:spacing w:line="276" w:lineRule="auto"/>
              <w:jc w:val="right"/>
            </w:pPr>
            <w:r w:rsidRPr="002978CD">
              <w:t>775,66</w:t>
            </w:r>
          </w:p>
        </w:tc>
        <w:tc>
          <w:tcPr>
            <w:tcW w:w="1191" w:type="dxa"/>
            <w:vAlign w:val="center"/>
          </w:tcPr>
          <w:p w14:paraId="5064B088" w14:textId="1AE2EF69" w:rsidR="00A779F6" w:rsidRPr="002978CD" w:rsidRDefault="00BD3FC1" w:rsidP="00A3247B">
            <w:pPr>
              <w:spacing w:line="276" w:lineRule="auto"/>
              <w:jc w:val="right"/>
            </w:pPr>
            <w:r>
              <w:t>1.078,81</w:t>
            </w:r>
          </w:p>
        </w:tc>
      </w:tr>
      <w:tr w:rsidR="002978CD" w:rsidRPr="002978CD" w14:paraId="3EC88363" w14:textId="77777777" w:rsidTr="002978CD">
        <w:tc>
          <w:tcPr>
            <w:tcW w:w="1384" w:type="dxa"/>
            <w:shd w:val="clear" w:color="auto" w:fill="D9D9D9" w:themeFill="background1" w:themeFillShade="D9"/>
            <w:vAlign w:val="center"/>
          </w:tcPr>
          <w:p w14:paraId="2D8C37A9" w14:textId="77777777" w:rsidR="00A779F6" w:rsidRPr="002978CD" w:rsidRDefault="00A779F6" w:rsidP="00A3247B">
            <w:pPr>
              <w:spacing w:line="276" w:lineRule="auto"/>
              <w:jc w:val="center"/>
            </w:pPr>
            <w:r w:rsidRPr="002978CD">
              <w:t>(7)</w:t>
            </w:r>
          </w:p>
        </w:tc>
        <w:tc>
          <w:tcPr>
            <w:tcW w:w="4536" w:type="dxa"/>
          </w:tcPr>
          <w:p w14:paraId="774008E9" w14:textId="77777777" w:rsidR="00A779F6" w:rsidRPr="002978CD" w:rsidRDefault="00A779F6" w:rsidP="00A3247B">
            <w:pPr>
              <w:spacing w:line="276" w:lineRule="auto"/>
            </w:pPr>
            <w:r w:rsidRPr="002978CD">
              <w:rPr>
                <w:sz w:val="19"/>
              </w:rPr>
              <w:t>Quantité de sucre</w:t>
            </w:r>
          </w:p>
        </w:tc>
        <w:tc>
          <w:tcPr>
            <w:tcW w:w="992" w:type="dxa"/>
          </w:tcPr>
          <w:p w14:paraId="6EA2CD86" w14:textId="77777777" w:rsidR="00A779F6" w:rsidRPr="002978CD" w:rsidRDefault="00A779F6" w:rsidP="00A3247B">
            <w:pPr>
              <w:spacing w:line="276" w:lineRule="auto"/>
            </w:pPr>
            <w:r w:rsidRPr="002978CD">
              <w:t>Tonne</w:t>
            </w:r>
          </w:p>
        </w:tc>
        <w:tc>
          <w:tcPr>
            <w:tcW w:w="1191" w:type="dxa"/>
            <w:vAlign w:val="center"/>
          </w:tcPr>
          <w:p w14:paraId="76B389AF" w14:textId="77777777" w:rsidR="00A779F6" w:rsidRPr="002978CD" w:rsidRDefault="00A779F6" w:rsidP="00A3247B">
            <w:pPr>
              <w:spacing w:line="276" w:lineRule="auto"/>
              <w:jc w:val="right"/>
            </w:pPr>
            <w:r w:rsidRPr="002978CD">
              <w:t>0</w:t>
            </w:r>
          </w:p>
        </w:tc>
        <w:tc>
          <w:tcPr>
            <w:tcW w:w="1191" w:type="dxa"/>
            <w:vAlign w:val="center"/>
          </w:tcPr>
          <w:p w14:paraId="60B5F017" w14:textId="72596D41" w:rsidR="00A779F6" w:rsidRPr="002978CD" w:rsidRDefault="00BD3FC1" w:rsidP="00A3247B">
            <w:pPr>
              <w:spacing w:line="276" w:lineRule="auto"/>
              <w:jc w:val="right"/>
            </w:pPr>
            <w:r>
              <w:t>0</w:t>
            </w:r>
          </w:p>
        </w:tc>
      </w:tr>
      <w:tr w:rsidR="002978CD" w:rsidRPr="002978CD" w14:paraId="3811D7F5" w14:textId="77777777" w:rsidTr="002978CD">
        <w:tc>
          <w:tcPr>
            <w:tcW w:w="1384" w:type="dxa"/>
            <w:shd w:val="clear" w:color="auto" w:fill="D9D9D9" w:themeFill="background1" w:themeFillShade="D9"/>
            <w:vAlign w:val="center"/>
          </w:tcPr>
          <w:p w14:paraId="2D654F6C" w14:textId="77777777" w:rsidR="00A779F6" w:rsidRPr="002978CD" w:rsidRDefault="00A779F6" w:rsidP="00A3247B">
            <w:pPr>
              <w:spacing w:line="276" w:lineRule="auto"/>
              <w:jc w:val="center"/>
            </w:pPr>
            <w:r w:rsidRPr="002978CD">
              <w:t>(8)</w:t>
            </w:r>
          </w:p>
        </w:tc>
        <w:tc>
          <w:tcPr>
            <w:tcW w:w="4536" w:type="dxa"/>
          </w:tcPr>
          <w:p w14:paraId="22A4AFA3" w14:textId="77777777" w:rsidR="00A779F6" w:rsidRPr="002978CD" w:rsidRDefault="00A779F6" w:rsidP="00A3247B">
            <w:pPr>
              <w:spacing w:line="276" w:lineRule="auto"/>
            </w:pPr>
            <w:r w:rsidRPr="002978CD">
              <w:rPr>
                <w:sz w:val="19"/>
              </w:rPr>
              <w:t>Quantité de produits laitiers</w:t>
            </w:r>
          </w:p>
        </w:tc>
        <w:tc>
          <w:tcPr>
            <w:tcW w:w="992" w:type="dxa"/>
          </w:tcPr>
          <w:p w14:paraId="22F2CC0B" w14:textId="77777777" w:rsidR="00A779F6" w:rsidRPr="002978CD" w:rsidRDefault="00A779F6" w:rsidP="00A3247B">
            <w:pPr>
              <w:spacing w:line="276" w:lineRule="auto"/>
            </w:pPr>
            <w:r w:rsidRPr="002978CD">
              <w:t>Tonne</w:t>
            </w:r>
          </w:p>
        </w:tc>
        <w:tc>
          <w:tcPr>
            <w:tcW w:w="1191" w:type="dxa"/>
            <w:vAlign w:val="center"/>
          </w:tcPr>
          <w:p w14:paraId="578A94F1" w14:textId="77777777" w:rsidR="00A779F6" w:rsidRPr="002978CD" w:rsidRDefault="00A779F6" w:rsidP="00A3247B">
            <w:pPr>
              <w:spacing w:line="276" w:lineRule="auto"/>
              <w:jc w:val="right"/>
            </w:pPr>
            <w:r w:rsidRPr="002978CD">
              <w:t>2.153,95</w:t>
            </w:r>
          </w:p>
        </w:tc>
        <w:tc>
          <w:tcPr>
            <w:tcW w:w="1191" w:type="dxa"/>
            <w:vAlign w:val="center"/>
          </w:tcPr>
          <w:p w14:paraId="7A80BE4F" w14:textId="7FC85226" w:rsidR="00A779F6" w:rsidRPr="002978CD" w:rsidRDefault="00BD3FC1" w:rsidP="00A3247B">
            <w:pPr>
              <w:spacing w:line="276" w:lineRule="auto"/>
              <w:jc w:val="right"/>
            </w:pPr>
            <w:r>
              <w:t>3.177,44</w:t>
            </w:r>
          </w:p>
        </w:tc>
      </w:tr>
      <w:tr w:rsidR="002978CD" w:rsidRPr="002978CD" w14:paraId="7C636D67" w14:textId="77777777" w:rsidTr="002978CD">
        <w:tc>
          <w:tcPr>
            <w:tcW w:w="1384" w:type="dxa"/>
            <w:shd w:val="clear" w:color="auto" w:fill="D9D9D9" w:themeFill="background1" w:themeFillShade="D9"/>
            <w:vAlign w:val="center"/>
          </w:tcPr>
          <w:p w14:paraId="1F96A434" w14:textId="77777777" w:rsidR="00A779F6" w:rsidRPr="002978CD" w:rsidRDefault="00A779F6" w:rsidP="00A3247B">
            <w:pPr>
              <w:spacing w:line="276" w:lineRule="auto"/>
              <w:jc w:val="center"/>
            </w:pPr>
            <w:r w:rsidRPr="002978CD">
              <w:t>(9)</w:t>
            </w:r>
          </w:p>
        </w:tc>
        <w:tc>
          <w:tcPr>
            <w:tcW w:w="4536" w:type="dxa"/>
          </w:tcPr>
          <w:p w14:paraId="71261C54" w14:textId="77777777" w:rsidR="00A779F6" w:rsidRPr="002978CD" w:rsidRDefault="00A779F6" w:rsidP="00A3247B">
            <w:pPr>
              <w:spacing w:line="276" w:lineRule="auto"/>
              <w:rPr>
                <w:sz w:val="19"/>
                <w:szCs w:val="19"/>
              </w:rPr>
            </w:pPr>
            <w:r w:rsidRPr="002978CD">
              <w:rPr>
                <w:sz w:val="19"/>
              </w:rPr>
              <w:t>Quantité de graisses, d'huile</w:t>
            </w:r>
          </w:p>
        </w:tc>
        <w:tc>
          <w:tcPr>
            <w:tcW w:w="992" w:type="dxa"/>
          </w:tcPr>
          <w:p w14:paraId="5E19C09E" w14:textId="77777777" w:rsidR="00A779F6" w:rsidRPr="002978CD" w:rsidRDefault="00A779F6" w:rsidP="00A3247B">
            <w:pPr>
              <w:spacing w:line="276" w:lineRule="auto"/>
            </w:pPr>
            <w:r w:rsidRPr="002978CD">
              <w:t>Tonne</w:t>
            </w:r>
          </w:p>
        </w:tc>
        <w:tc>
          <w:tcPr>
            <w:tcW w:w="1191" w:type="dxa"/>
            <w:vAlign w:val="center"/>
          </w:tcPr>
          <w:p w14:paraId="1CFF6237" w14:textId="77777777" w:rsidR="00A779F6" w:rsidRPr="002978CD" w:rsidRDefault="00A779F6" w:rsidP="00A3247B">
            <w:pPr>
              <w:spacing w:line="276" w:lineRule="auto"/>
              <w:jc w:val="right"/>
            </w:pPr>
            <w:r w:rsidRPr="002978CD">
              <w:t>131,58</w:t>
            </w:r>
          </w:p>
        </w:tc>
        <w:tc>
          <w:tcPr>
            <w:tcW w:w="1191" w:type="dxa"/>
            <w:vAlign w:val="center"/>
          </w:tcPr>
          <w:p w14:paraId="0C679247" w14:textId="7BAB3692" w:rsidR="00A779F6" w:rsidRPr="002978CD" w:rsidRDefault="00BD3FC1" w:rsidP="00A3247B">
            <w:pPr>
              <w:spacing w:line="276" w:lineRule="auto"/>
              <w:jc w:val="right"/>
            </w:pPr>
            <w:r>
              <w:t>1.146,71</w:t>
            </w:r>
          </w:p>
        </w:tc>
      </w:tr>
      <w:tr w:rsidR="002978CD" w:rsidRPr="002978CD" w14:paraId="788A3101" w14:textId="77777777" w:rsidTr="002978CD">
        <w:tc>
          <w:tcPr>
            <w:tcW w:w="1384" w:type="dxa"/>
            <w:shd w:val="clear" w:color="auto" w:fill="D9D9D9" w:themeFill="background1" w:themeFillShade="D9"/>
            <w:vAlign w:val="center"/>
          </w:tcPr>
          <w:p w14:paraId="0D6910CA" w14:textId="77777777" w:rsidR="00A779F6" w:rsidRPr="002978CD" w:rsidRDefault="00A779F6" w:rsidP="00A3247B">
            <w:pPr>
              <w:spacing w:line="276" w:lineRule="auto"/>
              <w:jc w:val="center"/>
            </w:pPr>
            <w:r w:rsidRPr="002978CD">
              <w:lastRenderedPageBreak/>
              <w:t>(10)</w:t>
            </w:r>
          </w:p>
        </w:tc>
        <w:tc>
          <w:tcPr>
            <w:tcW w:w="4536" w:type="dxa"/>
          </w:tcPr>
          <w:p w14:paraId="12B5DF57" w14:textId="77777777" w:rsidR="00A779F6" w:rsidRPr="002978CD" w:rsidRDefault="00A779F6" w:rsidP="00A3247B">
            <w:pPr>
              <w:spacing w:line="276" w:lineRule="auto"/>
              <w:rPr>
                <w:sz w:val="19"/>
                <w:szCs w:val="19"/>
              </w:rPr>
            </w:pPr>
            <w:r w:rsidRPr="002978CD">
              <w:rPr>
                <w:sz w:val="19"/>
                <w:szCs w:val="19"/>
              </w:rPr>
              <w:t>Quantité de plats cuisinés, autres denrées alimentaires (qui ne relèvent pas des catégories susmentionnées)</w:t>
            </w:r>
          </w:p>
        </w:tc>
        <w:tc>
          <w:tcPr>
            <w:tcW w:w="992" w:type="dxa"/>
          </w:tcPr>
          <w:p w14:paraId="6645CACB" w14:textId="77777777" w:rsidR="00A779F6" w:rsidRPr="002978CD" w:rsidRDefault="00A779F6" w:rsidP="00A3247B">
            <w:pPr>
              <w:spacing w:line="276" w:lineRule="auto"/>
            </w:pPr>
            <w:r w:rsidRPr="002978CD">
              <w:t>Tonne</w:t>
            </w:r>
          </w:p>
        </w:tc>
        <w:tc>
          <w:tcPr>
            <w:tcW w:w="1191" w:type="dxa"/>
            <w:vAlign w:val="center"/>
          </w:tcPr>
          <w:p w14:paraId="1E81C4CF" w14:textId="77777777" w:rsidR="00A779F6" w:rsidRPr="002978CD" w:rsidRDefault="00A779F6" w:rsidP="00A3247B">
            <w:pPr>
              <w:spacing w:line="276" w:lineRule="auto"/>
              <w:jc w:val="right"/>
            </w:pPr>
            <w:r w:rsidRPr="002978CD">
              <w:t>449,23</w:t>
            </w:r>
          </w:p>
        </w:tc>
        <w:tc>
          <w:tcPr>
            <w:tcW w:w="1191" w:type="dxa"/>
            <w:vAlign w:val="center"/>
          </w:tcPr>
          <w:p w14:paraId="736804B9" w14:textId="2462C1A2" w:rsidR="00A779F6" w:rsidRPr="002978CD" w:rsidRDefault="00BD3FC1" w:rsidP="00A3247B">
            <w:pPr>
              <w:spacing w:line="276" w:lineRule="auto"/>
              <w:jc w:val="right"/>
            </w:pPr>
            <w:r>
              <w:t>791,73</w:t>
            </w:r>
          </w:p>
        </w:tc>
      </w:tr>
      <w:tr w:rsidR="002978CD" w:rsidRPr="002978CD" w14:paraId="5CAEE930" w14:textId="77777777" w:rsidTr="002978CD">
        <w:tc>
          <w:tcPr>
            <w:tcW w:w="1384" w:type="dxa"/>
            <w:shd w:val="clear" w:color="auto" w:fill="D9D9D9" w:themeFill="background1" w:themeFillShade="D9"/>
            <w:vAlign w:val="center"/>
          </w:tcPr>
          <w:p w14:paraId="6886E0AE" w14:textId="77777777" w:rsidR="00A779F6" w:rsidRPr="002978CD" w:rsidRDefault="00A779F6" w:rsidP="00A3247B">
            <w:pPr>
              <w:spacing w:line="276" w:lineRule="auto"/>
              <w:jc w:val="center"/>
            </w:pPr>
            <w:r w:rsidRPr="002978CD">
              <w:t>(11)</w:t>
            </w:r>
          </w:p>
        </w:tc>
        <w:tc>
          <w:tcPr>
            <w:tcW w:w="4536" w:type="dxa"/>
          </w:tcPr>
          <w:p w14:paraId="19667404" w14:textId="77777777" w:rsidR="00A779F6" w:rsidRPr="002978CD" w:rsidRDefault="00A779F6" w:rsidP="00A3247B">
            <w:pPr>
              <w:spacing w:line="276" w:lineRule="auto"/>
              <w:rPr>
                <w:sz w:val="19"/>
                <w:szCs w:val="19"/>
              </w:rPr>
            </w:pPr>
            <w:r w:rsidRPr="002978CD">
              <w:rPr>
                <w:sz w:val="19"/>
                <w:szCs w:val="19"/>
              </w:rPr>
              <w:t>Quantité totale de l'aide alimentaire distribuée</w:t>
            </w:r>
          </w:p>
        </w:tc>
        <w:tc>
          <w:tcPr>
            <w:tcW w:w="992" w:type="dxa"/>
          </w:tcPr>
          <w:p w14:paraId="0A7D7A26" w14:textId="77777777" w:rsidR="00A779F6" w:rsidRPr="002978CD" w:rsidRDefault="00A779F6" w:rsidP="00A3247B">
            <w:pPr>
              <w:spacing w:line="276" w:lineRule="auto"/>
            </w:pPr>
            <w:r w:rsidRPr="002978CD">
              <w:t>Tonne</w:t>
            </w:r>
          </w:p>
        </w:tc>
        <w:tc>
          <w:tcPr>
            <w:tcW w:w="1191" w:type="dxa"/>
            <w:vAlign w:val="center"/>
          </w:tcPr>
          <w:p w14:paraId="0AC3BC3B" w14:textId="77777777" w:rsidR="00A779F6" w:rsidRPr="002978CD" w:rsidRDefault="00A779F6" w:rsidP="00A3247B">
            <w:pPr>
              <w:spacing w:line="276" w:lineRule="auto"/>
              <w:jc w:val="right"/>
            </w:pPr>
            <w:r w:rsidRPr="002978CD">
              <w:t>4.608,95</w:t>
            </w:r>
          </w:p>
        </w:tc>
        <w:tc>
          <w:tcPr>
            <w:tcW w:w="1191" w:type="dxa"/>
            <w:vAlign w:val="center"/>
          </w:tcPr>
          <w:p w14:paraId="1218CE4C" w14:textId="6BC15E4E" w:rsidR="00A779F6" w:rsidRPr="002978CD" w:rsidRDefault="00BD3FC1" w:rsidP="00A3247B">
            <w:pPr>
              <w:spacing w:line="276" w:lineRule="auto"/>
              <w:jc w:val="right"/>
            </w:pPr>
            <w:r>
              <w:t>7.685,44</w:t>
            </w:r>
          </w:p>
        </w:tc>
      </w:tr>
      <w:tr w:rsidR="002978CD" w:rsidRPr="002978CD" w14:paraId="0DC1075E" w14:textId="77777777" w:rsidTr="002978CD">
        <w:tc>
          <w:tcPr>
            <w:tcW w:w="1384" w:type="dxa"/>
            <w:shd w:val="clear" w:color="auto" w:fill="D9D9D9" w:themeFill="background1" w:themeFillShade="D9"/>
            <w:vAlign w:val="center"/>
          </w:tcPr>
          <w:p w14:paraId="3D34BD64" w14:textId="77777777" w:rsidR="00A779F6" w:rsidRPr="002978CD" w:rsidRDefault="00A779F6" w:rsidP="00A3247B">
            <w:pPr>
              <w:spacing w:line="276" w:lineRule="auto"/>
              <w:jc w:val="center"/>
            </w:pPr>
            <w:r w:rsidRPr="002978CD">
              <w:t>(11a)</w:t>
            </w:r>
          </w:p>
        </w:tc>
        <w:tc>
          <w:tcPr>
            <w:tcW w:w="4536" w:type="dxa"/>
          </w:tcPr>
          <w:p w14:paraId="2B526ED6" w14:textId="77777777" w:rsidR="00A779F6" w:rsidRPr="002978CD" w:rsidRDefault="00A779F6" w:rsidP="00A3247B">
            <w:pPr>
              <w:spacing w:line="276" w:lineRule="auto"/>
              <w:rPr>
                <w:sz w:val="19"/>
                <w:szCs w:val="19"/>
              </w:rPr>
            </w:pPr>
            <w:r w:rsidRPr="002978CD">
              <w:rPr>
                <w:sz w:val="19"/>
                <w:szCs w:val="19"/>
              </w:rPr>
              <w:t>Pourcentage des denrées alimentaires pour lesquelles seuls le transport, la distribution et le stockage ont été payés par le PO</w:t>
            </w:r>
          </w:p>
        </w:tc>
        <w:tc>
          <w:tcPr>
            <w:tcW w:w="992" w:type="dxa"/>
          </w:tcPr>
          <w:p w14:paraId="1472C27D" w14:textId="77777777" w:rsidR="00A779F6" w:rsidRPr="002978CD" w:rsidRDefault="00A779F6" w:rsidP="00A3247B">
            <w:pPr>
              <w:spacing w:line="276" w:lineRule="auto"/>
            </w:pPr>
            <w:r w:rsidRPr="002978CD">
              <w:t>%</w:t>
            </w:r>
          </w:p>
        </w:tc>
        <w:tc>
          <w:tcPr>
            <w:tcW w:w="1191" w:type="dxa"/>
            <w:vAlign w:val="center"/>
          </w:tcPr>
          <w:p w14:paraId="119BF879" w14:textId="77777777" w:rsidR="00A779F6" w:rsidRPr="002978CD" w:rsidRDefault="00A779F6" w:rsidP="00A3247B">
            <w:pPr>
              <w:spacing w:line="276" w:lineRule="auto"/>
              <w:jc w:val="right"/>
            </w:pPr>
            <w:r w:rsidRPr="002978CD">
              <w:t>0</w:t>
            </w:r>
          </w:p>
        </w:tc>
        <w:tc>
          <w:tcPr>
            <w:tcW w:w="1191" w:type="dxa"/>
            <w:vAlign w:val="center"/>
          </w:tcPr>
          <w:p w14:paraId="2798033D" w14:textId="4A13ABCA" w:rsidR="00A779F6" w:rsidRPr="002978CD" w:rsidRDefault="00EE7243" w:rsidP="00A3247B">
            <w:pPr>
              <w:spacing w:line="276" w:lineRule="auto"/>
              <w:jc w:val="right"/>
            </w:pPr>
            <w:r>
              <w:t>0</w:t>
            </w:r>
          </w:p>
        </w:tc>
      </w:tr>
      <w:tr w:rsidR="002978CD" w:rsidRPr="002978CD" w14:paraId="298A4D11" w14:textId="77777777" w:rsidTr="002978CD">
        <w:tc>
          <w:tcPr>
            <w:tcW w:w="1384" w:type="dxa"/>
            <w:shd w:val="clear" w:color="auto" w:fill="D9D9D9" w:themeFill="background1" w:themeFillShade="D9"/>
            <w:vAlign w:val="center"/>
          </w:tcPr>
          <w:p w14:paraId="41444A36" w14:textId="77777777" w:rsidR="00A779F6" w:rsidRPr="002978CD" w:rsidRDefault="00A779F6" w:rsidP="00A3247B">
            <w:pPr>
              <w:spacing w:line="276" w:lineRule="auto"/>
              <w:jc w:val="center"/>
            </w:pPr>
            <w:r w:rsidRPr="002978CD">
              <w:t>(11b)</w:t>
            </w:r>
          </w:p>
        </w:tc>
        <w:tc>
          <w:tcPr>
            <w:tcW w:w="4536" w:type="dxa"/>
          </w:tcPr>
          <w:p w14:paraId="73DFC1C5" w14:textId="77777777" w:rsidR="00A779F6" w:rsidRPr="002978CD" w:rsidRDefault="00A779F6" w:rsidP="00A3247B">
            <w:pPr>
              <w:spacing w:line="276" w:lineRule="auto"/>
              <w:rPr>
                <w:sz w:val="19"/>
                <w:szCs w:val="19"/>
              </w:rPr>
            </w:pPr>
            <w:r w:rsidRPr="002978CD">
              <w:rPr>
                <w:sz w:val="19"/>
                <w:szCs w:val="19"/>
              </w:rPr>
              <w:t>Pourcentage des denrées alimentaires cofinancées par le FEAD, par rapport au volume total de nourriture distribué par les organisations partenaires</w:t>
            </w:r>
          </w:p>
        </w:tc>
        <w:tc>
          <w:tcPr>
            <w:tcW w:w="992" w:type="dxa"/>
          </w:tcPr>
          <w:p w14:paraId="6A199FB2" w14:textId="77777777" w:rsidR="00A779F6" w:rsidRPr="002978CD" w:rsidRDefault="00A779F6" w:rsidP="00A3247B">
            <w:pPr>
              <w:spacing w:line="276" w:lineRule="auto"/>
            </w:pPr>
            <w:r w:rsidRPr="002978CD">
              <w:t>%</w:t>
            </w:r>
          </w:p>
        </w:tc>
        <w:tc>
          <w:tcPr>
            <w:tcW w:w="1191" w:type="dxa"/>
            <w:vAlign w:val="center"/>
          </w:tcPr>
          <w:p w14:paraId="741056B0" w14:textId="77777777" w:rsidR="00A779F6" w:rsidRPr="002978CD" w:rsidRDefault="00A779F6" w:rsidP="00A3247B">
            <w:pPr>
              <w:spacing w:line="276" w:lineRule="auto"/>
              <w:jc w:val="right"/>
            </w:pPr>
            <w:r w:rsidRPr="002978CD">
              <w:t>50</w:t>
            </w:r>
          </w:p>
        </w:tc>
        <w:tc>
          <w:tcPr>
            <w:tcW w:w="1191" w:type="dxa"/>
            <w:vAlign w:val="center"/>
          </w:tcPr>
          <w:p w14:paraId="31DA94C6" w14:textId="7074C685" w:rsidR="00A779F6" w:rsidRPr="002978CD" w:rsidRDefault="002978CD" w:rsidP="00A3247B">
            <w:pPr>
              <w:spacing w:line="276" w:lineRule="auto"/>
              <w:jc w:val="right"/>
            </w:pPr>
            <w:r>
              <w:t>50</w:t>
            </w:r>
          </w:p>
        </w:tc>
      </w:tr>
      <w:tr w:rsidR="002978CD" w:rsidRPr="002978CD" w14:paraId="0D2E5349" w14:textId="77777777" w:rsidTr="000824C7">
        <w:tc>
          <w:tcPr>
            <w:tcW w:w="1384" w:type="dxa"/>
            <w:shd w:val="clear" w:color="auto" w:fill="D9D9D9" w:themeFill="background1" w:themeFillShade="D9"/>
            <w:vAlign w:val="center"/>
          </w:tcPr>
          <w:p w14:paraId="39BB568C" w14:textId="77777777" w:rsidR="00A779F6" w:rsidRPr="002978CD" w:rsidRDefault="00A779F6" w:rsidP="00A3247B">
            <w:pPr>
              <w:spacing w:line="276" w:lineRule="auto"/>
              <w:jc w:val="center"/>
            </w:pPr>
            <w:r w:rsidRPr="002978CD">
              <w:t>(12)</w:t>
            </w:r>
          </w:p>
        </w:tc>
        <w:tc>
          <w:tcPr>
            <w:tcW w:w="4536" w:type="dxa"/>
          </w:tcPr>
          <w:p w14:paraId="62F41CBD" w14:textId="77777777" w:rsidR="00A779F6" w:rsidRPr="002978CD" w:rsidRDefault="00A779F6" w:rsidP="00A3247B">
            <w:pPr>
              <w:spacing w:line="276" w:lineRule="auto"/>
              <w:rPr>
                <w:sz w:val="19"/>
                <w:szCs w:val="19"/>
              </w:rPr>
            </w:pPr>
            <w:r w:rsidRPr="002978CD">
              <w:rPr>
                <w:sz w:val="19"/>
                <w:szCs w:val="19"/>
              </w:rPr>
              <w:t>Nombre total de repas distribués et financés totalement ou partiellement par le PO</w:t>
            </w:r>
          </w:p>
        </w:tc>
        <w:tc>
          <w:tcPr>
            <w:tcW w:w="992" w:type="dxa"/>
          </w:tcPr>
          <w:p w14:paraId="49FF5D5F" w14:textId="77777777" w:rsidR="00A779F6" w:rsidRPr="002978CD" w:rsidRDefault="00A779F6" w:rsidP="00A3247B">
            <w:pPr>
              <w:spacing w:line="276" w:lineRule="auto"/>
            </w:pPr>
            <w:r w:rsidRPr="002978CD">
              <w:t>Chiffre</w:t>
            </w:r>
          </w:p>
        </w:tc>
        <w:tc>
          <w:tcPr>
            <w:tcW w:w="1191" w:type="dxa"/>
            <w:vAlign w:val="center"/>
          </w:tcPr>
          <w:p w14:paraId="64ADCFC4" w14:textId="77777777" w:rsidR="00A779F6" w:rsidRPr="002978CD" w:rsidRDefault="00A779F6" w:rsidP="00A3247B">
            <w:pPr>
              <w:spacing w:line="276" w:lineRule="auto"/>
              <w:jc w:val="right"/>
            </w:pPr>
            <w:r w:rsidRPr="002978CD">
              <w:t>1.570.522</w:t>
            </w:r>
          </w:p>
        </w:tc>
        <w:tc>
          <w:tcPr>
            <w:tcW w:w="1191" w:type="dxa"/>
            <w:shd w:val="clear" w:color="auto" w:fill="auto"/>
            <w:vAlign w:val="center"/>
          </w:tcPr>
          <w:p w14:paraId="7B086C43" w14:textId="6194EB2A" w:rsidR="00A779F6" w:rsidRPr="00283F2D" w:rsidRDefault="00414C8A" w:rsidP="00A3247B">
            <w:pPr>
              <w:spacing w:line="276" w:lineRule="auto"/>
              <w:jc w:val="right"/>
            </w:pPr>
            <w:r w:rsidRPr="000824C7">
              <w:t>514.203</w:t>
            </w:r>
          </w:p>
        </w:tc>
      </w:tr>
      <w:tr w:rsidR="002978CD" w:rsidRPr="002978CD" w14:paraId="6B5422DF" w14:textId="77777777" w:rsidTr="002978CD">
        <w:tc>
          <w:tcPr>
            <w:tcW w:w="1384" w:type="dxa"/>
            <w:shd w:val="clear" w:color="auto" w:fill="D9D9D9" w:themeFill="background1" w:themeFillShade="D9"/>
            <w:vAlign w:val="center"/>
          </w:tcPr>
          <w:p w14:paraId="453DBE42" w14:textId="77777777" w:rsidR="00A779F6" w:rsidRPr="002978CD" w:rsidRDefault="00A779F6" w:rsidP="00A3247B">
            <w:pPr>
              <w:spacing w:line="276" w:lineRule="auto"/>
              <w:jc w:val="center"/>
            </w:pPr>
            <w:r w:rsidRPr="002978CD">
              <w:t>(13)</w:t>
            </w:r>
          </w:p>
        </w:tc>
        <w:tc>
          <w:tcPr>
            <w:tcW w:w="4536" w:type="dxa"/>
          </w:tcPr>
          <w:p w14:paraId="6CB8C04B" w14:textId="77777777" w:rsidR="00A779F6" w:rsidRPr="002978CD" w:rsidRDefault="00A779F6" w:rsidP="00A3247B">
            <w:pPr>
              <w:spacing w:line="276" w:lineRule="auto"/>
              <w:rPr>
                <w:sz w:val="19"/>
                <w:szCs w:val="19"/>
              </w:rPr>
            </w:pPr>
            <w:r w:rsidRPr="002978CD">
              <w:rPr>
                <w:sz w:val="19"/>
                <w:szCs w:val="19"/>
              </w:rPr>
              <w:t>Nombre total de colis alimentaires distribués et financés totalement ou partiellement par le PO</w:t>
            </w:r>
          </w:p>
        </w:tc>
        <w:tc>
          <w:tcPr>
            <w:tcW w:w="992" w:type="dxa"/>
          </w:tcPr>
          <w:p w14:paraId="06B5E0AE" w14:textId="77777777" w:rsidR="00A779F6" w:rsidRPr="002978CD" w:rsidRDefault="00A779F6" w:rsidP="00A3247B">
            <w:pPr>
              <w:spacing w:line="276" w:lineRule="auto"/>
            </w:pPr>
            <w:r w:rsidRPr="002978CD">
              <w:t>Chiffre</w:t>
            </w:r>
          </w:p>
        </w:tc>
        <w:tc>
          <w:tcPr>
            <w:tcW w:w="1191" w:type="dxa"/>
            <w:vAlign w:val="center"/>
          </w:tcPr>
          <w:p w14:paraId="0A792830" w14:textId="77777777" w:rsidR="00A779F6" w:rsidRPr="002978CD" w:rsidRDefault="00A779F6" w:rsidP="00A3247B">
            <w:pPr>
              <w:spacing w:line="276" w:lineRule="auto"/>
              <w:jc w:val="right"/>
            </w:pPr>
            <w:r w:rsidRPr="002978CD">
              <w:t>1.377.488</w:t>
            </w:r>
          </w:p>
        </w:tc>
        <w:tc>
          <w:tcPr>
            <w:tcW w:w="1191" w:type="dxa"/>
            <w:vAlign w:val="center"/>
          </w:tcPr>
          <w:p w14:paraId="65077D05" w14:textId="290E9EB3" w:rsidR="00A779F6" w:rsidRPr="00283F2D" w:rsidRDefault="00414C8A" w:rsidP="00A3247B">
            <w:pPr>
              <w:spacing w:line="276" w:lineRule="auto"/>
              <w:jc w:val="right"/>
            </w:pPr>
            <w:r w:rsidRPr="00283F2D">
              <w:t>1.695.777</w:t>
            </w:r>
          </w:p>
        </w:tc>
      </w:tr>
    </w:tbl>
    <w:p w14:paraId="14D07ABE" w14:textId="77777777" w:rsidR="00283F2D" w:rsidRDefault="00283F2D" w:rsidP="00A3247B"/>
    <w:p w14:paraId="66AB8C64" w14:textId="77777777" w:rsidR="0020647A" w:rsidRDefault="0020647A" w:rsidP="00A3247B"/>
    <w:p w14:paraId="5E35D0A9" w14:textId="77777777" w:rsidR="0020647A" w:rsidRPr="002978CD" w:rsidRDefault="0020647A" w:rsidP="00A3247B"/>
    <w:p w14:paraId="1E5E87C5" w14:textId="77777777" w:rsidR="000E45F4" w:rsidRPr="002978CD" w:rsidRDefault="0039613D" w:rsidP="00A3247B">
      <w:pPr>
        <w:pStyle w:val="Kop4"/>
        <w:numPr>
          <w:ilvl w:val="2"/>
          <w:numId w:val="2"/>
        </w:numPr>
        <w:spacing w:line="276" w:lineRule="auto"/>
      </w:pPr>
      <w:r w:rsidRPr="002978CD">
        <w:t>Indicateurs de résultat relatifs à l'aide alimentaire distribuée</w:t>
      </w:r>
    </w:p>
    <w:tbl>
      <w:tblPr>
        <w:tblStyle w:val="Tabelraster"/>
        <w:tblW w:w="9294" w:type="dxa"/>
        <w:tblLayout w:type="fixed"/>
        <w:tblLook w:val="04A0" w:firstRow="1" w:lastRow="0" w:firstColumn="1" w:lastColumn="0" w:noHBand="0" w:noVBand="1"/>
      </w:tblPr>
      <w:tblGrid>
        <w:gridCol w:w="1101"/>
        <w:gridCol w:w="4819"/>
        <w:gridCol w:w="992"/>
        <w:gridCol w:w="1191"/>
        <w:gridCol w:w="1191"/>
      </w:tblGrid>
      <w:tr w:rsidR="002978CD" w:rsidRPr="002978CD" w14:paraId="00930D06" w14:textId="76A5CCC0" w:rsidTr="002978CD">
        <w:tc>
          <w:tcPr>
            <w:tcW w:w="1101" w:type="dxa"/>
            <w:shd w:val="clear" w:color="auto" w:fill="A6A6A6" w:themeFill="background1" w:themeFillShade="A6"/>
            <w:vAlign w:val="center"/>
          </w:tcPr>
          <w:p w14:paraId="2B8B4013" w14:textId="77777777" w:rsidR="002978CD" w:rsidRPr="002978CD" w:rsidRDefault="002978CD" w:rsidP="00A3247B">
            <w:pPr>
              <w:spacing w:line="276" w:lineRule="auto"/>
              <w:jc w:val="left"/>
            </w:pPr>
            <w:r w:rsidRPr="002978CD">
              <w:t>Identifiant de l'indicateur</w:t>
            </w:r>
          </w:p>
        </w:tc>
        <w:tc>
          <w:tcPr>
            <w:tcW w:w="4819" w:type="dxa"/>
            <w:shd w:val="clear" w:color="auto" w:fill="A6A6A6" w:themeFill="background1" w:themeFillShade="A6"/>
            <w:vAlign w:val="center"/>
          </w:tcPr>
          <w:p w14:paraId="1825D286" w14:textId="77777777" w:rsidR="002978CD" w:rsidRPr="002978CD" w:rsidRDefault="002978CD" w:rsidP="00A3247B">
            <w:pPr>
              <w:spacing w:line="276" w:lineRule="auto"/>
              <w:jc w:val="left"/>
            </w:pPr>
            <w:r w:rsidRPr="002978CD">
              <w:t>Nom de l'indicateur</w:t>
            </w:r>
          </w:p>
        </w:tc>
        <w:tc>
          <w:tcPr>
            <w:tcW w:w="992" w:type="dxa"/>
            <w:shd w:val="clear" w:color="auto" w:fill="A6A6A6" w:themeFill="background1" w:themeFillShade="A6"/>
            <w:vAlign w:val="center"/>
          </w:tcPr>
          <w:p w14:paraId="7E0A2C4D" w14:textId="77777777" w:rsidR="002978CD" w:rsidRPr="002978CD" w:rsidRDefault="002978CD" w:rsidP="00A3247B">
            <w:pPr>
              <w:spacing w:line="276" w:lineRule="auto"/>
              <w:jc w:val="left"/>
            </w:pPr>
            <w:r w:rsidRPr="002978CD">
              <w:t>Unité</w:t>
            </w:r>
          </w:p>
          <w:p w14:paraId="67528D11" w14:textId="77777777" w:rsidR="002978CD" w:rsidRPr="002978CD" w:rsidRDefault="002978CD" w:rsidP="00A3247B">
            <w:pPr>
              <w:spacing w:line="276" w:lineRule="auto"/>
              <w:jc w:val="left"/>
            </w:pPr>
            <w:r w:rsidRPr="002978CD">
              <w:t>de mesure</w:t>
            </w:r>
          </w:p>
        </w:tc>
        <w:tc>
          <w:tcPr>
            <w:tcW w:w="1191" w:type="dxa"/>
            <w:shd w:val="clear" w:color="auto" w:fill="A6A6A6" w:themeFill="background1" w:themeFillShade="A6"/>
            <w:vAlign w:val="center"/>
          </w:tcPr>
          <w:p w14:paraId="64FAB232" w14:textId="77777777" w:rsidR="002978CD" w:rsidRPr="002978CD" w:rsidRDefault="002978CD" w:rsidP="00A3247B">
            <w:pPr>
              <w:spacing w:line="276" w:lineRule="auto"/>
              <w:jc w:val="left"/>
            </w:pPr>
            <w:r w:rsidRPr="002978CD">
              <w:t>2014</w:t>
            </w:r>
          </w:p>
        </w:tc>
        <w:tc>
          <w:tcPr>
            <w:tcW w:w="1191" w:type="dxa"/>
            <w:shd w:val="clear" w:color="auto" w:fill="A6A6A6" w:themeFill="background1" w:themeFillShade="A6"/>
            <w:vAlign w:val="center"/>
          </w:tcPr>
          <w:p w14:paraId="51ACCE65" w14:textId="22B40D73" w:rsidR="002978CD" w:rsidRPr="002978CD" w:rsidRDefault="002978CD" w:rsidP="00A3247B">
            <w:pPr>
              <w:jc w:val="left"/>
            </w:pPr>
            <w:r>
              <w:t>2015</w:t>
            </w:r>
          </w:p>
        </w:tc>
      </w:tr>
      <w:tr w:rsidR="002978CD" w:rsidRPr="002978CD" w14:paraId="2A8C755C" w14:textId="6D76E137" w:rsidTr="002978CD">
        <w:tc>
          <w:tcPr>
            <w:tcW w:w="1101" w:type="dxa"/>
            <w:shd w:val="clear" w:color="auto" w:fill="D9D9D9" w:themeFill="background1" w:themeFillShade="D9"/>
            <w:vAlign w:val="center"/>
          </w:tcPr>
          <w:p w14:paraId="24673F07" w14:textId="3DD8013B" w:rsidR="002978CD" w:rsidRPr="002978CD" w:rsidRDefault="002978CD" w:rsidP="00A3247B">
            <w:pPr>
              <w:spacing w:line="276" w:lineRule="auto"/>
              <w:jc w:val="center"/>
            </w:pPr>
            <w:r w:rsidRPr="002978CD">
              <w:t>(14)</w:t>
            </w:r>
          </w:p>
        </w:tc>
        <w:tc>
          <w:tcPr>
            <w:tcW w:w="4819" w:type="dxa"/>
          </w:tcPr>
          <w:p w14:paraId="27E9AA97" w14:textId="77777777" w:rsidR="002978CD" w:rsidRPr="002978CD" w:rsidRDefault="002978CD" w:rsidP="00A3247B">
            <w:pPr>
              <w:spacing w:line="276" w:lineRule="auto"/>
            </w:pPr>
            <w:r w:rsidRPr="002978CD">
              <w:rPr>
                <w:sz w:val="19"/>
                <w:szCs w:val="19"/>
              </w:rPr>
              <w:t>Nombre total de personnes bénéficiant d'une aide alimentaire</w:t>
            </w:r>
          </w:p>
        </w:tc>
        <w:tc>
          <w:tcPr>
            <w:tcW w:w="992" w:type="dxa"/>
          </w:tcPr>
          <w:p w14:paraId="4A4226ED" w14:textId="77777777" w:rsidR="002978CD" w:rsidRPr="002978CD" w:rsidRDefault="002978CD" w:rsidP="00A3247B">
            <w:pPr>
              <w:spacing w:line="276" w:lineRule="auto"/>
            </w:pPr>
            <w:r w:rsidRPr="002978CD">
              <w:t>Chiffre</w:t>
            </w:r>
          </w:p>
        </w:tc>
        <w:tc>
          <w:tcPr>
            <w:tcW w:w="1191" w:type="dxa"/>
            <w:vAlign w:val="center"/>
          </w:tcPr>
          <w:p w14:paraId="66DC3FE7" w14:textId="77777777" w:rsidR="002978CD" w:rsidRPr="002978CD" w:rsidRDefault="002978CD" w:rsidP="00A3247B">
            <w:pPr>
              <w:spacing w:line="276" w:lineRule="auto"/>
              <w:jc w:val="right"/>
            </w:pPr>
            <w:r w:rsidRPr="002978CD">
              <w:t>225.549</w:t>
            </w:r>
          </w:p>
        </w:tc>
        <w:tc>
          <w:tcPr>
            <w:tcW w:w="1191" w:type="dxa"/>
            <w:vAlign w:val="center"/>
          </w:tcPr>
          <w:p w14:paraId="04AAE3BC" w14:textId="1720D8A4" w:rsidR="002978CD" w:rsidRPr="00283F2D" w:rsidRDefault="00414C8A" w:rsidP="00414C8A">
            <w:pPr>
              <w:spacing w:line="276" w:lineRule="auto"/>
              <w:jc w:val="right"/>
            </w:pPr>
            <w:r w:rsidRPr="00283F2D">
              <w:t>273.121</w:t>
            </w:r>
          </w:p>
        </w:tc>
      </w:tr>
      <w:tr w:rsidR="002978CD" w:rsidRPr="002978CD" w14:paraId="2B9D3A65" w14:textId="2AEF5460" w:rsidTr="002978CD">
        <w:tc>
          <w:tcPr>
            <w:tcW w:w="1101" w:type="dxa"/>
            <w:shd w:val="clear" w:color="auto" w:fill="D9D9D9" w:themeFill="background1" w:themeFillShade="D9"/>
            <w:vAlign w:val="center"/>
          </w:tcPr>
          <w:p w14:paraId="697F083C" w14:textId="77777777" w:rsidR="002978CD" w:rsidRPr="002978CD" w:rsidRDefault="002978CD" w:rsidP="00A3247B">
            <w:pPr>
              <w:spacing w:line="276" w:lineRule="auto"/>
              <w:jc w:val="center"/>
            </w:pPr>
            <w:r w:rsidRPr="002978CD">
              <w:t>(14a)</w:t>
            </w:r>
          </w:p>
        </w:tc>
        <w:tc>
          <w:tcPr>
            <w:tcW w:w="4819" w:type="dxa"/>
          </w:tcPr>
          <w:p w14:paraId="496BE061" w14:textId="77777777" w:rsidR="002978CD" w:rsidRPr="002978CD" w:rsidRDefault="002978CD" w:rsidP="00A3247B">
            <w:pPr>
              <w:spacing w:line="276" w:lineRule="auto"/>
            </w:pPr>
            <w:r w:rsidRPr="002978CD">
              <w:rPr>
                <w:sz w:val="19"/>
              </w:rPr>
              <w:t>Nombres d'enfants âgés de 15 ans ou moins</w:t>
            </w:r>
          </w:p>
        </w:tc>
        <w:tc>
          <w:tcPr>
            <w:tcW w:w="992" w:type="dxa"/>
          </w:tcPr>
          <w:p w14:paraId="4A8BC95F" w14:textId="77777777" w:rsidR="002978CD" w:rsidRPr="002978CD" w:rsidRDefault="002978CD" w:rsidP="00A3247B">
            <w:pPr>
              <w:spacing w:line="276" w:lineRule="auto"/>
            </w:pPr>
            <w:r w:rsidRPr="002978CD">
              <w:t>Chiffre</w:t>
            </w:r>
          </w:p>
        </w:tc>
        <w:tc>
          <w:tcPr>
            <w:tcW w:w="1191" w:type="dxa"/>
            <w:vAlign w:val="center"/>
          </w:tcPr>
          <w:p w14:paraId="6FB91D12" w14:textId="77777777" w:rsidR="002978CD" w:rsidRPr="002978CD" w:rsidRDefault="002978CD" w:rsidP="00A3247B">
            <w:pPr>
              <w:spacing w:line="276" w:lineRule="auto"/>
              <w:jc w:val="right"/>
            </w:pPr>
            <w:r w:rsidRPr="002978CD">
              <w:t>61.168</w:t>
            </w:r>
          </w:p>
        </w:tc>
        <w:tc>
          <w:tcPr>
            <w:tcW w:w="1191" w:type="dxa"/>
            <w:vAlign w:val="center"/>
          </w:tcPr>
          <w:p w14:paraId="3A84BFBE" w14:textId="3D4659C1" w:rsidR="002978CD" w:rsidRPr="00283F2D" w:rsidRDefault="00414C8A" w:rsidP="00414C8A">
            <w:pPr>
              <w:spacing w:line="276" w:lineRule="auto"/>
              <w:jc w:val="right"/>
            </w:pPr>
            <w:r w:rsidRPr="00283F2D">
              <w:t>70.143</w:t>
            </w:r>
          </w:p>
        </w:tc>
      </w:tr>
      <w:tr w:rsidR="002978CD" w:rsidRPr="002978CD" w14:paraId="7E5FEEF4" w14:textId="11BC9FD6" w:rsidTr="002978CD">
        <w:tc>
          <w:tcPr>
            <w:tcW w:w="1101" w:type="dxa"/>
            <w:shd w:val="clear" w:color="auto" w:fill="D9D9D9" w:themeFill="background1" w:themeFillShade="D9"/>
            <w:vAlign w:val="center"/>
          </w:tcPr>
          <w:p w14:paraId="49D5FC19" w14:textId="77777777" w:rsidR="002978CD" w:rsidRPr="002978CD" w:rsidRDefault="002978CD" w:rsidP="00A3247B">
            <w:pPr>
              <w:spacing w:line="276" w:lineRule="auto"/>
              <w:jc w:val="center"/>
            </w:pPr>
            <w:r w:rsidRPr="002978CD">
              <w:t>(14b)</w:t>
            </w:r>
          </w:p>
        </w:tc>
        <w:tc>
          <w:tcPr>
            <w:tcW w:w="4819" w:type="dxa"/>
          </w:tcPr>
          <w:p w14:paraId="313528E5" w14:textId="77777777" w:rsidR="002978CD" w:rsidRPr="002978CD" w:rsidRDefault="002978CD" w:rsidP="00A3247B">
            <w:pPr>
              <w:spacing w:line="276" w:lineRule="auto"/>
            </w:pPr>
            <w:r w:rsidRPr="002978CD">
              <w:rPr>
                <w:sz w:val="19"/>
              </w:rPr>
              <w:t>Nombre de personnes âgées de 65 ans ou plus</w:t>
            </w:r>
          </w:p>
        </w:tc>
        <w:tc>
          <w:tcPr>
            <w:tcW w:w="992" w:type="dxa"/>
          </w:tcPr>
          <w:p w14:paraId="5F6E9C8D" w14:textId="77777777" w:rsidR="002978CD" w:rsidRPr="002978CD" w:rsidRDefault="002978CD" w:rsidP="00A3247B">
            <w:pPr>
              <w:spacing w:line="276" w:lineRule="auto"/>
            </w:pPr>
            <w:r w:rsidRPr="002978CD">
              <w:t>Chiffre</w:t>
            </w:r>
          </w:p>
        </w:tc>
        <w:tc>
          <w:tcPr>
            <w:tcW w:w="1191" w:type="dxa"/>
            <w:vAlign w:val="center"/>
          </w:tcPr>
          <w:p w14:paraId="3178B261" w14:textId="77777777" w:rsidR="002978CD" w:rsidRPr="002978CD" w:rsidRDefault="002978CD" w:rsidP="00A3247B">
            <w:pPr>
              <w:spacing w:line="276" w:lineRule="auto"/>
              <w:jc w:val="right"/>
            </w:pPr>
            <w:r w:rsidRPr="002978CD">
              <w:t>14.892</w:t>
            </w:r>
          </w:p>
        </w:tc>
        <w:tc>
          <w:tcPr>
            <w:tcW w:w="1191" w:type="dxa"/>
            <w:vAlign w:val="center"/>
          </w:tcPr>
          <w:p w14:paraId="0C4C96FB" w14:textId="4EEE05F9" w:rsidR="002978CD" w:rsidRPr="00283F2D" w:rsidRDefault="00414C8A" w:rsidP="00414C8A">
            <w:pPr>
              <w:spacing w:line="276" w:lineRule="auto"/>
              <w:jc w:val="right"/>
            </w:pPr>
            <w:r w:rsidRPr="00283F2D">
              <w:t>19.241</w:t>
            </w:r>
          </w:p>
        </w:tc>
      </w:tr>
      <w:tr w:rsidR="002978CD" w:rsidRPr="002978CD" w14:paraId="2CEB6FE0" w14:textId="7148E489" w:rsidTr="002978CD">
        <w:tc>
          <w:tcPr>
            <w:tcW w:w="1101" w:type="dxa"/>
            <w:shd w:val="clear" w:color="auto" w:fill="D9D9D9" w:themeFill="background1" w:themeFillShade="D9"/>
            <w:vAlign w:val="center"/>
          </w:tcPr>
          <w:p w14:paraId="415EFDED" w14:textId="77777777" w:rsidR="002978CD" w:rsidRPr="002978CD" w:rsidRDefault="002978CD" w:rsidP="00A3247B">
            <w:pPr>
              <w:spacing w:line="276" w:lineRule="auto"/>
              <w:jc w:val="center"/>
            </w:pPr>
            <w:r w:rsidRPr="002978CD">
              <w:t>(14c)</w:t>
            </w:r>
          </w:p>
        </w:tc>
        <w:tc>
          <w:tcPr>
            <w:tcW w:w="4819" w:type="dxa"/>
          </w:tcPr>
          <w:p w14:paraId="74404D87" w14:textId="77777777" w:rsidR="002978CD" w:rsidRPr="002978CD" w:rsidRDefault="002978CD" w:rsidP="00A3247B">
            <w:pPr>
              <w:spacing w:line="276" w:lineRule="auto"/>
            </w:pPr>
            <w:r w:rsidRPr="002978CD">
              <w:rPr>
                <w:sz w:val="19"/>
              </w:rPr>
              <w:t>Nombre de femmes</w:t>
            </w:r>
          </w:p>
        </w:tc>
        <w:tc>
          <w:tcPr>
            <w:tcW w:w="992" w:type="dxa"/>
          </w:tcPr>
          <w:p w14:paraId="61EB2B7A" w14:textId="77777777" w:rsidR="002978CD" w:rsidRPr="002978CD" w:rsidRDefault="002978CD" w:rsidP="00A3247B">
            <w:pPr>
              <w:spacing w:line="276" w:lineRule="auto"/>
            </w:pPr>
            <w:r w:rsidRPr="002978CD">
              <w:t>Chiffre</w:t>
            </w:r>
          </w:p>
        </w:tc>
        <w:tc>
          <w:tcPr>
            <w:tcW w:w="1191" w:type="dxa"/>
            <w:vAlign w:val="center"/>
          </w:tcPr>
          <w:p w14:paraId="15EFD5D8" w14:textId="77777777" w:rsidR="002978CD" w:rsidRPr="002978CD" w:rsidRDefault="002978CD" w:rsidP="00A3247B">
            <w:pPr>
              <w:spacing w:line="276" w:lineRule="auto"/>
              <w:jc w:val="right"/>
            </w:pPr>
            <w:r w:rsidRPr="002978CD">
              <w:t>69.589</w:t>
            </w:r>
          </w:p>
        </w:tc>
        <w:tc>
          <w:tcPr>
            <w:tcW w:w="1191" w:type="dxa"/>
            <w:vAlign w:val="center"/>
          </w:tcPr>
          <w:p w14:paraId="1474554E" w14:textId="1C67F887" w:rsidR="002978CD" w:rsidRPr="00283F2D" w:rsidRDefault="00414C8A" w:rsidP="00414C8A">
            <w:pPr>
              <w:spacing w:line="276" w:lineRule="auto"/>
              <w:jc w:val="right"/>
            </w:pPr>
            <w:r w:rsidRPr="00283F2D">
              <w:t>89.980</w:t>
            </w:r>
          </w:p>
        </w:tc>
      </w:tr>
      <w:tr w:rsidR="002978CD" w:rsidRPr="002978CD" w14:paraId="55DA5FE1" w14:textId="4DF95CCA" w:rsidTr="002978CD">
        <w:tc>
          <w:tcPr>
            <w:tcW w:w="1101" w:type="dxa"/>
            <w:shd w:val="clear" w:color="auto" w:fill="D9D9D9" w:themeFill="background1" w:themeFillShade="D9"/>
            <w:vAlign w:val="center"/>
          </w:tcPr>
          <w:p w14:paraId="5F2FA4E3" w14:textId="77777777" w:rsidR="002978CD" w:rsidRPr="002978CD" w:rsidRDefault="002978CD" w:rsidP="00A3247B">
            <w:pPr>
              <w:spacing w:line="276" w:lineRule="auto"/>
              <w:jc w:val="center"/>
            </w:pPr>
            <w:r w:rsidRPr="002978CD">
              <w:t>(14d)</w:t>
            </w:r>
          </w:p>
        </w:tc>
        <w:tc>
          <w:tcPr>
            <w:tcW w:w="4819" w:type="dxa"/>
          </w:tcPr>
          <w:p w14:paraId="41D5815D" w14:textId="77777777" w:rsidR="002978CD" w:rsidRPr="002978CD" w:rsidRDefault="002978CD" w:rsidP="00A3247B">
            <w:pPr>
              <w:spacing w:line="276" w:lineRule="auto"/>
            </w:pPr>
            <w:r w:rsidRPr="002978CD">
              <w:rPr>
                <w:sz w:val="19"/>
                <w:szCs w:val="19"/>
              </w:rPr>
              <w:t xml:space="preserve">Nombre de migrants, participants d'origine étrangère, personnes appartenant à des minorités (y compris des communautés marginalisées telles que les </w:t>
            </w:r>
            <w:proofErr w:type="spellStart"/>
            <w:r w:rsidRPr="002978CD">
              <w:rPr>
                <w:sz w:val="19"/>
                <w:szCs w:val="19"/>
              </w:rPr>
              <w:t>Roms</w:t>
            </w:r>
            <w:proofErr w:type="spellEnd"/>
            <w:r w:rsidRPr="002978CD">
              <w:rPr>
                <w:sz w:val="19"/>
                <w:szCs w:val="19"/>
              </w:rPr>
              <w:t>)</w:t>
            </w:r>
          </w:p>
        </w:tc>
        <w:tc>
          <w:tcPr>
            <w:tcW w:w="992" w:type="dxa"/>
          </w:tcPr>
          <w:p w14:paraId="36D0B204" w14:textId="77777777" w:rsidR="002978CD" w:rsidRPr="002978CD" w:rsidRDefault="002978CD" w:rsidP="00A3247B">
            <w:pPr>
              <w:spacing w:line="276" w:lineRule="auto"/>
            </w:pPr>
            <w:r w:rsidRPr="002978CD">
              <w:t>Chiffre</w:t>
            </w:r>
          </w:p>
        </w:tc>
        <w:tc>
          <w:tcPr>
            <w:tcW w:w="1191" w:type="dxa"/>
            <w:vAlign w:val="center"/>
          </w:tcPr>
          <w:p w14:paraId="7F4A0623" w14:textId="77777777" w:rsidR="002978CD" w:rsidRPr="002978CD" w:rsidRDefault="002978CD" w:rsidP="00A3247B">
            <w:pPr>
              <w:spacing w:line="276" w:lineRule="auto"/>
              <w:jc w:val="right"/>
            </w:pPr>
            <w:r w:rsidRPr="002978CD">
              <w:t>87.018</w:t>
            </w:r>
          </w:p>
        </w:tc>
        <w:tc>
          <w:tcPr>
            <w:tcW w:w="1191" w:type="dxa"/>
            <w:vAlign w:val="center"/>
          </w:tcPr>
          <w:p w14:paraId="726987D9" w14:textId="5BB60911" w:rsidR="002978CD" w:rsidRPr="00283F2D" w:rsidRDefault="00414C8A" w:rsidP="00414C8A">
            <w:pPr>
              <w:spacing w:line="276" w:lineRule="auto"/>
              <w:jc w:val="right"/>
            </w:pPr>
            <w:r w:rsidRPr="00283F2D">
              <w:t>99.111</w:t>
            </w:r>
          </w:p>
        </w:tc>
      </w:tr>
      <w:tr w:rsidR="002978CD" w:rsidRPr="002978CD" w14:paraId="4468BC36" w14:textId="558D8133" w:rsidTr="002978CD">
        <w:tc>
          <w:tcPr>
            <w:tcW w:w="1101" w:type="dxa"/>
            <w:shd w:val="clear" w:color="auto" w:fill="D9D9D9" w:themeFill="background1" w:themeFillShade="D9"/>
            <w:vAlign w:val="center"/>
          </w:tcPr>
          <w:p w14:paraId="359D1B9F" w14:textId="77777777" w:rsidR="002978CD" w:rsidRPr="002978CD" w:rsidRDefault="002978CD" w:rsidP="00A3247B">
            <w:pPr>
              <w:spacing w:line="276" w:lineRule="auto"/>
              <w:jc w:val="center"/>
            </w:pPr>
            <w:r w:rsidRPr="002978CD">
              <w:t>(14e)</w:t>
            </w:r>
          </w:p>
        </w:tc>
        <w:tc>
          <w:tcPr>
            <w:tcW w:w="4819" w:type="dxa"/>
          </w:tcPr>
          <w:p w14:paraId="67397747" w14:textId="77777777" w:rsidR="002978CD" w:rsidRPr="002978CD" w:rsidRDefault="002978CD" w:rsidP="00A3247B">
            <w:pPr>
              <w:spacing w:line="276" w:lineRule="auto"/>
              <w:rPr>
                <w:sz w:val="19"/>
                <w:szCs w:val="19"/>
              </w:rPr>
            </w:pPr>
            <w:r w:rsidRPr="002978CD">
              <w:rPr>
                <w:sz w:val="19"/>
              </w:rPr>
              <w:t>Nombre de personnes handicapées</w:t>
            </w:r>
          </w:p>
        </w:tc>
        <w:tc>
          <w:tcPr>
            <w:tcW w:w="992" w:type="dxa"/>
          </w:tcPr>
          <w:p w14:paraId="22A1DACD" w14:textId="77777777" w:rsidR="002978CD" w:rsidRPr="002978CD" w:rsidRDefault="002978CD" w:rsidP="00A3247B">
            <w:pPr>
              <w:spacing w:line="276" w:lineRule="auto"/>
            </w:pPr>
            <w:r w:rsidRPr="002978CD">
              <w:t>Chiffre</w:t>
            </w:r>
          </w:p>
        </w:tc>
        <w:tc>
          <w:tcPr>
            <w:tcW w:w="1191" w:type="dxa"/>
            <w:vAlign w:val="center"/>
          </w:tcPr>
          <w:p w14:paraId="3653B58D" w14:textId="77777777" w:rsidR="002978CD" w:rsidRPr="002978CD" w:rsidRDefault="002978CD" w:rsidP="00A3247B">
            <w:pPr>
              <w:spacing w:line="276" w:lineRule="auto"/>
              <w:jc w:val="right"/>
            </w:pPr>
            <w:r w:rsidRPr="002978CD">
              <w:t>5.013</w:t>
            </w:r>
          </w:p>
        </w:tc>
        <w:tc>
          <w:tcPr>
            <w:tcW w:w="1191" w:type="dxa"/>
            <w:vAlign w:val="center"/>
          </w:tcPr>
          <w:p w14:paraId="30A254A0" w14:textId="7186A997" w:rsidR="002978CD" w:rsidRPr="00283F2D" w:rsidRDefault="00414C8A" w:rsidP="00414C8A">
            <w:pPr>
              <w:spacing w:line="276" w:lineRule="auto"/>
              <w:jc w:val="right"/>
            </w:pPr>
            <w:r w:rsidRPr="00283F2D">
              <w:t>5.858</w:t>
            </w:r>
          </w:p>
        </w:tc>
      </w:tr>
      <w:tr w:rsidR="002978CD" w:rsidRPr="002978CD" w14:paraId="11D221D9" w14:textId="5E954275" w:rsidTr="002978CD">
        <w:tc>
          <w:tcPr>
            <w:tcW w:w="1101" w:type="dxa"/>
            <w:shd w:val="clear" w:color="auto" w:fill="D9D9D9" w:themeFill="background1" w:themeFillShade="D9"/>
            <w:vAlign w:val="center"/>
          </w:tcPr>
          <w:p w14:paraId="0109433B" w14:textId="77777777" w:rsidR="002978CD" w:rsidRPr="002978CD" w:rsidRDefault="002978CD" w:rsidP="00A3247B">
            <w:pPr>
              <w:spacing w:line="276" w:lineRule="auto"/>
              <w:jc w:val="center"/>
            </w:pPr>
            <w:r w:rsidRPr="002978CD">
              <w:t>(14f)</w:t>
            </w:r>
          </w:p>
        </w:tc>
        <w:tc>
          <w:tcPr>
            <w:tcW w:w="4819" w:type="dxa"/>
          </w:tcPr>
          <w:p w14:paraId="5B64D937" w14:textId="77777777" w:rsidR="002978CD" w:rsidRPr="002978CD" w:rsidRDefault="002978CD" w:rsidP="00A3247B">
            <w:pPr>
              <w:spacing w:line="276" w:lineRule="auto"/>
              <w:rPr>
                <w:sz w:val="19"/>
                <w:szCs w:val="19"/>
              </w:rPr>
            </w:pPr>
            <w:r w:rsidRPr="002978CD">
              <w:rPr>
                <w:sz w:val="19"/>
              </w:rPr>
              <w:t>Nombre de sans-abri</w:t>
            </w:r>
          </w:p>
        </w:tc>
        <w:tc>
          <w:tcPr>
            <w:tcW w:w="992" w:type="dxa"/>
          </w:tcPr>
          <w:p w14:paraId="46EE0852" w14:textId="77777777" w:rsidR="002978CD" w:rsidRPr="002978CD" w:rsidRDefault="002978CD" w:rsidP="00A3247B">
            <w:pPr>
              <w:spacing w:line="276" w:lineRule="auto"/>
            </w:pPr>
            <w:r w:rsidRPr="002978CD">
              <w:t>Chiffre</w:t>
            </w:r>
          </w:p>
        </w:tc>
        <w:tc>
          <w:tcPr>
            <w:tcW w:w="1191" w:type="dxa"/>
            <w:vAlign w:val="center"/>
          </w:tcPr>
          <w:p w14:paraId="34C201F7" w14:textId="77777777" w:rsidR="002978CD" w:rsidRPr="002978CD" w:rsidRDefault="002978CD" w:rsidP="00A3247B">
            <w:pPr>
              <w:spacing w:line="276" w:lineRule="auto"/>
              <w:jc w:val="right"/>
            </w:pPr>
            <w:r w:rsidRPr="002978CD">
              <w:t>21.349</w:t>
            </w:r>
          </w:p>
        </w:tc>
        <w:tc>
          <w:tcPr>
            <w:tcW w:w="1191" w:type="dxa"/>
            <w:vAlign w:val="center"/>
          </w:tcPr>
          <w:p w14:paraId="1F237585" w14:textId="5624EC95" w:rsidR="002978CD" w:rsidRPr="00283F2D" w:rsidRDefault="00414C8A" w:rsidP="00414C8A">
            <w:pPr>
              <w:spacing w:line="276" w:lineRule="auto"/>
              <w:jc w:val="right"/>
            </w:pPr>
            <w:r w:rsidRPr="00283F2D">
              <w:t>11.021</w:t>
            </w:r>
          </w:p>
        </w:tc>
      </w:tr>
    </w:tbl>
    <w:p w14:paraId="45692F63" w14:textId="77777777" w:rsidR="0039613D" w:rsidRPr="00407488" w:rsidRDefault="0039613D" w:rsidP="00A3247B"/>
    <w:p w14:paraId="6F4BD396" w14:textId="77777777" w:rsidR="000E45F4" w:rsidRPr="00407488" w:rsidRDefault="0039613D" w:rsidP="00A3247B">
      <w:pPr>
        <w:pStyle w:val="Kop4"/>
        <w:numPr>
          <w:ilvl w:val="2"/>
          <w:numId w:val="2"/>
        </w:numPr>
        <w:spacing w:after="240" w:line="276" w:lineRule="auto"/>
      </w:pPr>
      <w:r w:rsidRPr="00407488">
        <w:t>Indicateurs de sortie relatifs à l'aide matérielle de base fournie</w:t>
      </w:r>
    </w:p>
    <w:p w14:paraId="4B010D8A" w14:textId="77777777" w:rsidR="000E45F4" w:rsidRPr="00407488" w:rsidRDefault="000E45F4" w:rsidP="00A3247B">
      <w:r w:rsidRPr="00407488">
        <w:t xml:space="preserve">Pas applicable. </w:t>
      </w:r>
    </w:p>
    <w:p w14:paraId="02713E47" w14:textId="77777777" w:rsidR="000E45F4" w:rsidRPr="00407488" w:rsidRDefault="0039613D" w:rsidP="00A3247B">
      <w:pPr>
        <w:pStyle w:val="Kop4"/>
        <w:numPr>
          <w:ilvl w:val="2"/>
          <w:numId w:val="2"/>
        </w:numPr>
        <w:spacing w:after="240" w:line="276" w:lineRule="auto"/>
      </w:pPr>
      <w:r w:rsidRPr="00407488">
        <w:t>Indicateurs de résultat relatifs à l'aide matérielle de base fournie</w:t>
      </w:r>
    </w:p>
    <w:p w14:paraId="4D6EE6C9" w14:textId="7B82E42B" w:rsidR="000E45F4" w:rsidRDefault="000E45F4" w:rsidP="00A3247B">
      <w:r w:rsidRPr="00407488">
        <w:t xml:space="preserve">Pas </w:t>
      </w:r>
      <w:r w:rsidR="00BE4C7A">
        <w:t>d’application</w:t>
      </w:r>
      <w:r w:rsidRPr="00407488">
        <w:t>.</w:t>
      </w:r>
    </w:p>
    <w:p w14:paraId="3B078D92" w14:textId="77777777" w:rsidR="008E71BB" w:rsidRDefault="008E71BB" w:rsidP="00A3247B"/>
    <w:p w14:paraId="1EA80AD3" w14:textId="77777777" w:rsidR="008E71BB" w:rsidRPr="00407488" w:rsidRDefault="008E71BB" w:rsidP="00A3247B"/>
    <w:p w14:paraId="32988151" w14:textId="77777777" w:rsidR="000E45F4" w:rsidRPr="00407488" w:rsidRDefault="000E45F4" w:rsidP="00A3247B">
      <w:pPr>
        <w:pStyle w:val="Kop1"/>
        <w:numPr>
          <w:ilvl w:val="0"/>
          <w:numId w:val="5"/>
        </w:numPr>
      </w:pPr>
      <w:bookmarkStart w:id="28" w:name="_Toc422390659"/>
      <w:bookmarkStart w:id="29" w:name="_Toc454974437"/>
      <w:r w:rsidRPr="00407488">
        <w:lastRenderedPageBreak/>
        <w:t>Rapports présentés en 2017, 2022 et rapport final d'exécution</w:t>
      </w:r>
      <w:bookmarkEnd w:id="28"/>
      <w:bookmarkEnd w:id="29"/>
    </w:p>
    <w:p w14:paraId="1FA5D82B" w14:textId="77777777" w:rsidR="000E45F4" w:rsidRPr="00407488" w:rsidRDefault="000E45F4" w:rsidP="00A3247B">
      <w:pPr>
        <w:pStyle w:val="Kop2"/>
        <w:numPr>
          <w:ilvl w:val="0"/>
          <w:numId w:val="2"/>
        </w:numPr>
        <w:spacing w:after="240" w:line="276" w:lineRule="auto"/>
      </w:pPr>
      <w:bookmarkStart w:id="30" w:name="_Toc422390660"/>
      <w:bookmarkStart w:id="31" w:name="_Toc454974438"/>
      <w:r w:rsidRPr="00407488">
        <w:t>Contribution à la réalisation des objectifs spécifiques et globaux du FEAD</w:t>
      </w:r>
      <w:bookmarkEnd w:id="30"/>
      <w:bookmarkEnd w:id="31"/>
    </w:p>
    <w:p w14:paraId="3862B7FF" w14:textId="77777777" w:rsidR="00BC3EE5" w:rsidRPr="00407488" w:rsidRDefault="00BC3EE5" w:rsidP="00A3247B">
      <w:r w:rsidRPr="00407488">
        <w:t xml:space="preserve">Pas applicable. </w:t>
      </w:r>
    </w:p>
    <w:p w14:paraId="3E398B54" w14:textId="77777777" w:rsidR="000E45F4" w:rsidRPr="00407488" w:rsidRDefault="000E45F4" w:rsidP="00A3247B">
      <w:pPr>
        <w:pStyle w:val="Kop3"/>
        <w:numPr>
          <w:ilvl w:val="1"/>
          <w:numId w:val="2"/>
        </w:numPr>
        <w:spacing w:after="240" w:line="276" w:lineRule="auto"/>
      </w:pPr>
      <w:bookmarkStart w:id="32" w:name="_Toc422390661"/>
      <w:bookmarkStart w:id="33" w:name="_Toc454974439"/>
      <w:r w:rsidRPr="00407488">
        <w:t>Information et évaluation de la contribution à la réalisation des objectifs spécifiques et globaux du FEAD, tels que spécifiés dans l'article 3 du règlement (UE) nº 223/2014</w:t>
      </w:r>
      <w:bookmarkEnd w:id="32"/>
      <w:bookmarkEnd w:id="33"/>
    </w:p>
    <w:p w14:paraId="40A2D940" w14:textId="77777777" w:rsidR="00BC3EE5" w:rsidRPr="00407488" w:rsidRDefault="00BC3EE5" w:rsidP="00A3247B">
      <w:r w:rsidRPr="00407488">
        <w:t xml:space="preserve">Pas applicable. </w:t>
      </w:r>
    </w:p>
    <w:p w14:paraId="42754DE2" w14:textId="77777777" w:rsidR="000E45F4" w:rsidRPr="00407488" w:rsidRDefault="00E74292" w:rsidP="00A3247B">
      <w:pPr>
        <w:pStyle w:val="Kop1"/>
        <w:numPr>
          <w:ilvl w:val="0"/>
          <w:numId w:val="5"/>
        </w:numPr>
        <w:spacing w:after="240"/>
      </w:pPr>
      <w:bookmarkStart w:id="34" w:name="_Toc422390662"/>
      <w:bookmarkStart w:id="35" w:name="_Toc454974440"/>
      <w:r w:rsidRPr="00407488">
        <w:t>Annexes</w:t>
      </w:r>
      <w:bookmarkEnd w:id="34"/>
      <w:bookmarkEnd w:id="35"/>
    </w:p>
    <w:p w14:paraId="2939A494" w14:textId="77777777" w:rsidR="0087680D" w:rsidRPr="00407488" w:rsidRDefault="0087680D" w:rsidP="00A3247B">
      <w:r w:rsidRPr="00407488">
        <w:t>Annexe I</w:t>
      </w:r>
      <w:r w:rsidRPr="00407488">
        <w:tab/>
        <w:t>Indicateurs de résultat</w:t>
      </w:r>
    </w:p>
    <w:p w14:paraId="236B9490" w14:textId="77777777" w:rsidR="0087680D" w:rsidRPr="00407488" w:rsidRDefault="0087680D" w:rsidP="00A3247B">
      <w:r w:rsidRPr="00407488">
        <w:t>Annexe II</w:t>
      </w:r>
      <w:r w:rsidRPr="00407488">
        <w:tab/>
        <w:t xml:space="preserve">Indicateurs </w:t>
      </w:r>
      <w:r w:rsidR="007617E0">
        <w:t>de réalisation</w:t>
      </w:r>
    </w:p>
    <w:p w14:paraId="712F2722" w14:textId="77777777" w:rsidR="004B5BBC" w:rsidRPr="00407488" w:rsidRDefault="004B5BBC" w:rsidP="00A3247B">
      <w:pPr>
        <w:pStyle w:val="Kop1"/>
        <w:numPr>
          <w:ilvl w:val="0"/>
          <w:numId w:val="5"/>
        </w:numPr>
      </w:pPr>
      <w:bookmarkStart w:id="36" w:name="_Toc422390663"/>
      <w:bookmarkStart w:id="37" w:name="_Toc454974441"/>
      <w:r w:rsidRPr="00407488">
        <w:t>Liste des abréviations utilisées</w:t>
      </w:r>
      <w:bookmarkEnd w:id="36"/>
      <w:bookmarkEnd w:id="37"/>
    </w:p>
    <w:p w14:paraId="38FD46DA" w14:textId="77777777" w:rsidR="004B5BBC" w:rsidRPr="00407488" w:rsidRDefault="004B5BBC" w:rsidP="00A3247B"/>
    <w:p w14:paraId="6793EAA4" w14:textId="77777777" w:rsidR="00A779F6" w:rsidRDefault="00A779F6" w:rsidP="00A3247B">
      <w:pPr>
        <w:ind w:left="1410" w:hanging="1410"/>
      </w:pPr>
      <w:r>
        <w:t>AA</w:t>
      </w:r>
      <w:r>
        <w:tab/>
        <w:t>Autorité d’audit</w:t>
      </w:r>
    </w:p>
    <w:p w14:paraId="309D806D" w14:textId="77777777" w:rsidR="0087680D" w:rsidRDefault="0087680D" w:rsidP="00A3247B">
      <w:pPr>
        <w:ind w:left="1410" w:hanging="1410"/>
      </w:pPr>
      <w:r w:rsidRPr="00407488">
        <w:t>AG</w:t>
      </w:r>
      <w:r w:rsidRPr="00407488">
        <w:tab/>
        <w:t>Autorité de gestion</w:t>
      </w:r>
    </w:p>
    <w:p w14:paraId="2554B030" w14:textId="77777777" w:rsidR="00A779F6" w:rsidRPr="00407488" w:rsidRDefault="00A779F6" w:rsidP="00A3247B">
      <w:pPr>
        <w:ind w:left="1410" w:hanging="1410"/>
      </w:pPr>
      <w:r>
        <w:t>AC</w:t>
      </w:r>
      <w:r>
        <w:tab/>
        <w:t>Autorité de certification</w:t>
      </w:r>
    </w:p>
    <w:p w14:paraId="3CF7EC11" w14:textId="77777777" w:rsidR="0087680D" w:rsidRPr="00407488" w:rsidRDefault="0087680D" w:rsidP="00A3247B">
      <w:r w:rsidRPr="00407488">
        <w:t>BIRB</w:t>
      </w:r>
      <w:r w:rsidRPr="00407488">
        <w:tab/>
      </w:r>
      <w:r w:rsidRPr="00407488">
        <w:tab/>
        <w:t>Bureau d'Intervention et de Restitution Belge</w:t>
      </w:r>
    </w:p>
    <w:p w14:paraId="0E281EB9" w14:textId="77777777" w:rsidR="0087680D" w:rsidRPr="00407488" w:rsidRDefault="00737C26" w:rsidP="00A3247B">
      <w:r>
        <w:t>AFSCA</w:t>
      </w:r>
      <w:r>
        <w:tab/>
      </w:r>
      <w:r w:rsidR="0087680D" w:rsidRPr="00407488">
        <w:t>Agence fédérale pour la sécurité de la chaîne alimentaire</w:t>
      </w:r>
    </w:p>
    <w:p w14:paraId="342F4AD1" w14:textId="77777777" w:rsidR="0087680D" w:rsidRPr="00407488" w:rsidRDefault="0087680D" w:rsidP="00A3247B">
      <w:r w:rsidRPr="00407488">
        <w:t>FDSS</w:t>
      </w:r>
      <w:r w:rsidRPr="00407488">
        <w:tab/>
      </w:r>
      <w:r w:rsidRPr="00407488">
        <w:tab/>
        <w:t>la Fédération des Services Sociaux</w:t>
      </w:r>
    </w:p>
    <w:p w14:paraId="155602D4" w14:textId="77777777" w:rsidR="0087680D" w:rsidRPr="0090351D" w:rsidRDefault="00737C26" w:rsidP="00A3247B">
      <w:pPr>
        <w:ind w:left="1410" w:hanging="1410"/>
        <w:rPr>
          <w:lang w:val="en-US"/>
        </w:rPr>
      </w:pPr>
      <w:r>
        <w:rPr>
          <w:lang w:val="en-US"/>
        </w:rPr>
        <w:t>FEAD</w:t>
      </w:r>
      <w:r>
        <w:rPr>
          <w:lang w:val="en-US"/>
        </w:rPr>
        <w:tab/>
      </w:r>
      <w:r w:rsidR="0087680D" w:rsidRPr="0090351D">
        <w:rPr>
          <w:lang w:val="en-US"/>
        </w:rPr>
        <w:t xml:space="preserve">Fund of European Aid to the Most Deprived – </w:t>
      </w:r>
      <w:proofErr w:type="spellStart"/>
      <w:r w:rsidR="0087680D" w:rsidRPr="0090351D">
        <w:rPr>
          <w:lang w:val="en-US"/>
        </w:rPr>
        <w:t>Fonds</w:t>
      </w:r>
      <w:proofErr w:type="spellEnd"/>
      <w:r w:rsidR="0087680D" w:rsidRPr="0090351D">
        <w:rPr>
          <w:lang w:val="en-US"/>
        </w:rPr>
        <w:t xml:space="preserve"> </w:t>
      </w:r>
      <w:proofErr w:type="spellStart"/>
      <w:r w:rsidR="0087680D" w:rsidRPr="0090351D">
        <w:rPr>
          <w:lang w:val="en-US"/>
        </w:rPr>
        <w:t>européen</w:t>
      </w:r>
      <w:proofErr w:type="spellEnd"/>
      <w:r w:rsidR="0087680D" w:rsidRPr="0090351D">
        <w:rPr>
          <w:lang w:val="en-US"/>
        </w:rPr>
        <w:t xml:space="preserve"> </w:t>
      </w:r>
      <w:proofErr w:type="spellStart"/>
      <w:r w:rsidR="0087680D" w:rsidRPr="0090351D">
        <w:rPr>
          <w:lang w:val="en-US"/>
        </w:rPr>
        <w:t>d'aide</w:t>
      </w:r>
      <w:proofErr w:type="spellEnd"/>
      <w:r w:rsidR="0087680D" w:rsidRPr="0090351D">
        <w:rPr>
          <w:lang w:val="en-US"/>
        </w:rPr>
        <w:t xml:space="preserve"> aux plus </w:t>
      </w:r>
      <w:proofErr w:type="spellStart"/>
      <w:r w:rsidR="0087680D" w:rsidRPr="0090351D">
        <w:rPr>
          <w:lang w:val="en-US"/>
        </w:rPr>
        <w:t>démunis</w:t>
      </w:r>
      <w:proofErr w:type="spellEnd"/>
    </w:p>
    <w:p w14:paraId="1FB73CC2" w14:textId="77777777" w:rsidR="0087680D" w:rsidRPr="00407488" w:rsidRDefault="00737C26" w:rsidP="00A3247B">
      <w:pPr>
        <w:ind w:left="1410" w:hanging="1410"/>
      </w:pPr>
      <w:r>
        <w:t>PO</w:t>
      </w:r>
      <w:r>
        <w:tab/>
      </w:r>
      <w:r w:rsidR="0087680D" w:rsidRPr="00407488">
        <w:t>Programme opérationnel</w:t>
      </w:r>
    </w:p>
    <w:p w14:paraId="53A2ABBA" w14:textId="77777777" w:rsidR="0087680D" w:rsidRDefault="0087680D" w:rsidP="00A3247B">
      <w:r w:rsidRPr="00407488">
        <w:t>SPP IS</w:t>
      </w:r>
      <w:r w:rsidRPr="00407488">
        <w:tab/>
      </w:r>
      <w:r w:rsidR="00737C26">
        <w:tab/>
      </w:r>
      <w:r w:rsidRPr="00407488">
        <w:t>SPP Intégration sociale</w:t>
      </w:r>
    </w:p>
    <w:p w14:paraId="22A2E2D4" w14:textId="18596841" w:rsidR="00A779F6" w:rsidRPr="00407488" w:rsidRDefault="00A779F6" w:rsidP="00A3247B">
      <w:r>
        <w:t>CE</w:t>
      </w:r>
      <w:r>
        <w:tab/>
      </w:r>
      <w:r>
        <w:tab/>
        <w:t>Commission européen</w:t>
      </w:r>
    </w:p>
    <w:sectPr w:rsidR="00A779F6" w:rsidRPr="00407488">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8DFF26" w14:textId="77777777" w:rsidR="004569A1" w:rsidRDefault="004569A1" w:rsidP="00AB0894">
      <w:pPr>
        <w:spacing w:after="0" w:line="240" w:lineRule="auto"/>
      </w:pPr>
      <w:r>
        <w:separator/>
      </w:r>
    </w:p>
  </w:endnote>
  <w:endnote w:type="continuationSeparator" w:id="0">
    <w:p w14:paraId="0724FA0F" w14:textId="77777777" w:rsidR="004569A1" w:rsidRDefault="004569A1" w:rsidP="00AB08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7603580"/>
      <w:docPartObj>
        <w:docPartGallery w:val="Page Numbers (Bottom of Page)"/>
        <w:docPartUnique/>
      </w:docPartObj>
    </w:sdtPr>
    <w:sdtEndPr/>
    <w:sdtContent>
      <w:sdt>
        <w:sdtPr>
          <w:id w:val="860082579"/>
          <w:docPartObj>
            <w:docPartGallery w:val="Page Numbers (Top of Page)"/>
            <w:docPartUnique/>
          </w:docPartObj>
        </w:sdtPr>
        <w:sdtEndPr/>
        <w:sdtContent>
          <w:p w14:paraId="17D0D681" w14:textId="77777777" w:rsidR="004569A1" w:rsidRDefault="004569A1">
            <w:pPr>
              <w:pStyle w:val="Voettekst"/>
              <w:jc w:val="right"/>
            </w:pPr>
            <w:r>
              <w:t xml:space="preserve">Page </w:t>
            </w:r>
            <w:r>
              <w:rPr>
                <w:b/>
                <w:bCs/>
                <w:szCs w:val="24"/>
              </w:rPr>
              <w:fldChar w:fldCharType="begin"/>
            </w:r>
            <w:r>
              <w:rPr>
                <w:b/>
                <w:bCs/>
              </w:rPr>
              <w:instrText>PAGE</w:instrText>
            </w:r>
            <w:r>
              <w:rPr>
                <w:b/>
                <w:bCs/>
                <w:szCs w:val="24"/>
              </w:rPr>
              <w:fldChar w:fldCharType="separate"/>
            </w:r>
            <w:r w:rsidR="00EF11A6">
              <w:rPr>
                <w:b/>
                <w:bCs/>
                <w:noProof/>
              </w:rPr>
              <w:t>33</w:t>
            </w:r>
            <w:r>
              <w:rPr>
                <w:b/>
                <w:bCs/>
                <w:szCs w:val="24"/>
              </w:rPr>
              <w:fldChar w:fldCharType="end"/>
            </w:r>
            <w:r>
              <w:t xml:space="preserve"> de </w:t>
            </w:r>
            <w:r>
              <w:rPr>
                <w:b/>
                <w:bCs/>
                <w:szCs w:val="24"/>
              </w:rPr>
              <w:fldChar w:fldCharType="begin"/>
            </w:r>
            <w:r>
              <w:rPr>
                <w:b/>
                <w:bCs/>
              </w:rPr>
              <w:instrText>NUMPAGES</w:instrText>
            </w:r>
            <w:r>
              <w:rPr>
                <w:b/>
                <w:bCs/>
                <w:szCs w:val="24"/>
              </w:rPr>
              <w:fldChar w:fldCharType="separate"/>
            </w:r>
            <w:r w:rsidR="00EF11A6">
              <w:rPr>
                <w:b/>
                <w:bCs/>
                <w:noProof/>
              </w:rPr>
              <w:t>33</w:t>
            </w:r>
            <w:r>
              <w:rPr>
                <w:b/>
                <w:bCs/>
                <w:szCs w:val="24"/>
              </w:rPr>
              <w:fldChar w:fldCharType="end"/>
            </w:r>
          </w:p>
        </w:sdtContent>
      </w:sdt>
    </w:sdtContent>
  </w:sdt>
  <w:p w14:paraId="41C1C5AA" w14:textId="77777777" w:rsidR="004569A1" w:rsidRDefault="004569A1">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48017F" w14:textId="77777777" w:rsidR="004569A1" w:rsidRDefault="004569A1" w:rsidP="00AB0894">
      <w:pPr>
        <w:spacing w:after="0" w:line="240" w:lineRule="auto"/>
      </w:pPr>
      <w:r>
        <w:separator/>
      </w:r>
    </w:p>
  </w:footnote>
  <w:footnote w:type="continuationSeparator" w:id="0">
    <w:p w14:paraId="7DB8D072" w14:textId="77777777" w:rsidR="004569A1" w:rsidRDefault="004569A1" w:rsidP="00AB08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516809D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pt;height:5pt" o:bullet="t">
        <v:imagedata r:id="rId1" o:title="bullet_colleft"/>
      </v:shape>
    </w:pict>
  </w:numPicBullet>
  <w:numPicBullet w:numPicBulletId="1">
    <w:pict>
      <v:shape id="_x0000_i1027" type="#_x0000_t75" style="width:8pt;height:11pt" o:bullet="t">
        <v:imagedata r:id="rId2" o:title="btn_fleche_verte_videList_bas"/>
      </v:shape>
    </w:pict>
  </w:numPicBullet>
  <w:numPicBullet w:numPicBulletId="2">
    <w:pict>
      <v:shape id="_x0000_i1028" type="#_x0000_t75" style="width:3in;height:3in" o:bullet="t"/>
    </w:pict>
  </w:numPicBullet>
  <w:numPicBullet w:numPicBulletId="3">
    <w:pict>
      <v:shape id="_x0000_i1029" type="#_x0000_t75" style="width:3in;height:3in" o:bullet="t"/>
    </w:pict>
  </w:numPicBullet>
  <w:abstractNum w:abstractNumId="0" w15:restartNumberingAfterBreak="0">
    <w:nsid w:val="06A355E3"/>
    <w:multiLevelType w:val="hybridMultilevel"/>
    <w:tmpl w:val="A8D0AB9A"/>
    <w:lvl w:ilvl="0" w:tplc="DEE6A62E">
      <w:start w:val="2"/>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AFE6B6B"/>
    <w:multiLevelType w:val="hybridMultilevel"/>
    <w:tmpl w:val="24842FE4"/>
    <w:lvl w:ilvl="0" w:tplc="0A3274D8">
      <w:start w:val="2"/>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 w15:restartNumberingAfterBreak="0">
    <w:nsid w:val="111B6510"/>
    <w:multiLevelType w:val="hybridMultilevel"/>
    <w:tmpl w:val="8B26A074"/>
    <w:lvl w:ilvl="0" w:tplc="867CDA18">
      <w:start w:val="1"/>
      <w:numFmt w:val="lowerRoman"/>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14E962D3"/>
    <w:multiLevelType w:val="hybridMultilevel"/>
    <w:tmpl w:val="892E31A6"/>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4" w15:restartNumberingAfterBreak="0">
    <w:nsid w:val="1D102E1B"/>
    <w:multiLevelType w:val="hybridMultilevel"/>
    <w:tmpl w:val="CDDC21E6"/>
    <w:lvl w:ilvl="0" w:tplc="B712B874">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5" w15:restartNumberingAfterBreak="0">
    <w:nsid w:val="1E851DAB"/>
    <w:multiLevelType w:val="hybridMultilevel"/>
    <w:tmpl w:val="A6B63A02"/>
    <w:lvl w:ilvl="0" w:tplc="080C0013">
      <w:start w:val="1"/>
      <w:numFmt w:val="upperRoman"/>
      <w:lvlText w:val="%1."/>
      <w:lvlJc w:val="righ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219920B1"/>
    <w:multiLevelType w:val="multilevel"/>
    <w:tmpl w:val="9C68E65A"/>
    <w:lvl w:ilvl="0">
      <w:start w:val="1"/>
      <w:numFmt w:val="bullet"/>
      <w:lvlText w:val=""/>
      <w:lvlPicBulletId w:val="2"/>
      <w:lvlJc w:val="left"/>
      <w:pPr>
        <w:tabs>
          <w:tab w:val="num" w:pos="720"/>
        </w:tabs>
        <w:ind w:left="720" w:hanging="360"/>
      </w:pPr>
      <w:rPr>
        <w:rFonts w:ascii="Wingdings" w:hAnsi="Wingdings" w:hint="default"/>
        <w:sz w:val="20"/>
      </w:rPr>
    </w:lvl>
    <w:lvl w:ilvl="1" w:tentative="1">
      <w:start w:val="1"/>
      <w:numFmt w:val="bullet"/>
      <w:lvlText w:val=""/>
      <w:lvlPicBulletId w:val="3"/>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19014D"/>
    <w:multiLevelType w:val="multilevel"/>
    <w:tmpl w:val="79A4F3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2B0E6382"/>
    <w:multiLevelType w:val="hybridMultilevel"/>
    <w:tmpl w:val="B5E6C27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2BBB6A95"/>
    <w:multiLevelType w:val="hybridMultilevel"/>
    <w:tmpl w:val="32925A6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CD63E55"/>
    <w:multiLevelType w:val="hybridMultilevel"/>
    <w:tmpl w:val="08B0ADB4"/>
    <w:lvl w:ilvl="0" w:tplc="3CEA427C">
      <w:start w:val="1"/>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1" w15:restartNumberingAfterBreak="0">
    <w:nsid w:val="2F99435F"/>
    <w:multiLevelType w:val="hybridMultilevel"/>
    <w:tmpl w:val="CC2C4EEC"/>
    <w:lvl w:ilvl="0" w:tplc="08130001">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35664C9F"/>
    <w:multiLevelType w:val="multilevel"/>
    <w:tmpl w:val="79A4F3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35D03070"/>
    <w:multiLevelType w:val="multilevel"/>
    <w:tmpl w:val="79A4F3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3B043B56"/>
    <w:multiLevelType w:val="hybridMultilevel"/>
    <w:tmpl w:val="A95E08D2"/>
    <w:lvl w:ilvl="0" w:tplc="4F68C69A">
      <w:numFmt w:val="bullet"/>
      <w:lvlText w:val="-"/>
      <w:lvlJc w:val="left"/>
      <w:pPr>
        <w:ind w:left="720" w:hanging="360"/>
      </w:pPr>
      <w:rPr>
        <w:rFonts w:ascii="Verdana" w:eastAsia="Times New Roman" w:hAnsi="Verdana" w:cs="Times New Roman" w:hint="default"/>
        <w:b/>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404E3E58"/>
    <w:multiLevelType w:val="hybridMultilevel"/>
    <w:tmpl w:val="21CE2DE0"/>
    <w:lvl w:ilvl="0" w:tplc="1988BC66">
      <w:start w:val="4"/>
      <w:numFmt w:val="bullet"/>
      <w:lvlText w:val="-"/>
      <w:lvlJc w:val="left"/>
      <w:pPr>
        <w:ind w:left="720" w:hanging="360"/>
      </w:pPr>
      <w:rPr>
        <w:rFonts w:ascii="Gill Sans MT" w:eastAsiaTheme="majorEastAsia" w:hAnsi="Gill Sans MT" w:cstheme="maj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40DB42F8"/>
    <w:multiLevelType w:val="hybridMultilevel"/>
    <w:tmpl w:val="1A1AD4F4"/>
    <w:lvl w:ilvl="0" w:tplc="8730D334">
      <w:numFmt w:val="bullet"/>
      <w:lvlText w:val="-"/>
      <w:lvlJc w:val="left"/>
      <w:pPr>
        <w:ind w:left="720" w:hanging="360"/>
      </w:pPr>
      <w:rPr>
        <w:rFonts w:ascii="Gill Sans MT" w:eastAsiaTheme="minorHAnsi" w:hAnsi="Gill Sans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E41B54"/>
    <w:multiLevelType w:val="hybridMultilevel"/>
    <w:tmpl w:val="433E0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7353A0"/>
    <w:multiLevelType w:val="hybridMultilevel"/>
    <w:tmpl w:val="CAA6DF84"/>
    <w:lvl w:ilvl="0" w:tplc="E1668E70">
      <w:start w:val="2"/>
      <w:numFmt w:val="bullet"/>
      <w:lvlText w:val=""/>
      <w:lvlJc w:val="left"/>
      <w:pPr>
        <w:ind w:left="720" w:hanging="360"/>
      </w:pPr>
      <w:rPr>
        <w:rFonts w:ascii="Wingdings" w:eastAsia="Calibri"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4AC943E4"/>
    <w:multiLevelType w:val="hybridMultilevel"/>
    <w:tmpl w:val="68062BB4"/>
    <w:lvl w:ilvl="0" w:tplc="3D7E6224">
      <w:start w:val="2"/>
      <w:numFmt w:val="bullet"/>
      <w:lvlText w:val="-"/>
      <w:lvlJc w:val="left"/>
      <w:pPr>
        <w:ind w:left="720" w:hanging="360"/>
      </w:pPr>
      <w:rPr>
        <w:rFonts w:ascii="Gill Sans MT" w:eastAsiaTheme="majorEastAsia" w:hAnsi="Gill Sans MT" w:cstheme="maj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4BF530E1"/>
    <w:multiLevelType w:val="hybridMultilevel"/>
    <w:tmpl w:val="33826DD4"/>
    <w:lvl w:ilvl="0" w:tplc="0C02FC7E">
      <w:start w:val="4"/>
      <w:numFmt w:val="bullet"/>
      <w:lvlText w:val="-"/>
      <w:lvlJc w:val="left"/>
      <w:pPr>
        <w:ind w:left="720" w:hanging="360"/>
      </w:pPr>
      <w:rPr>
        <w:rFonts w:ascii="Gill Sans MT" w:eastAsiaTheme="majorEastAsia" w:hAnsi="Gill Sans MT" w:cstheme="maj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52276B04"/>
    <w:multiLevelType w:val="hybridMultilevel"/>
    <w:tmpl w:val="96303F1E"/>
    <w:lvl w:ilvl="0" w:tplc="40184F98">
      <w:start w:val="1"/>
      <w:numFmt w:val="bullet"/>
      <w:lvlText w:val=""/>
      <w:lvlJc w:val="left"/>
      <w:pPr>
        <w:tabs>
          <w:tab w:val="num" w:pos="720"/>
        </w:tabs>
        <w:ind w:left="720" w:hanging="360"/>
      </w:pPr>
      <w:rPr>
        <w:rFonts w:ascii="Wingdings" w:hAnsi="Wingdings" w:hint="default"/>
      </w:rPr>
    </w:lvl>
    <w:lvl w:ilvl="1" w:tplc="0512FB2A">
      <w:start w:val="1"/>
      <w:numFmt w:val="bullet"/>
      <w:lvlText w:val=""/>
      <w:lvlJc w:val="left"/>
      <w:pPr>
        <w:tabs>
          <w:tab w:val="num" w:pos="1440"/>
        </w:tabs>
        <w:ind w:left="1440" w:hanging="360"/>
      </w:pPr>
      <w:rPr>
        <w:rFonts w:ascii="Wingdings" w:hAnsi="Wingdings" w:hint="default"/>
      </w:rPr>
    </w:lvl>
    <w:lvl w:ilvl="2" w:tplc="A8E4E5C0">
      <w:start w:val="1"/>
      <w:numFmt w:val="bullet"/>
      <w:lvlText w:val="-"/>
      <w:lvlJc w:val="left"/>
      <w:pPr>
        <w:tabs>
          <w:tab w:val="num" w:pos="2160"/>
        </w:tabs>
        <w:ind w:left="2160" w:hanging="360"/>
      </w:pPr>
      <w:rPr>
        <w:rFonts w:ascii="Times New Roman" w:eastAsia="Calibri" w:hAnsi="Times New Roman" w:cs="Times New Roman" w:hint="default"/>
      </w:rPr>
    </w:lvl>
    <w:lvl w:ilvl="3" w:tplc="15B8A206" w:tentative="1">
      <w:start w:val="1"/>
      <w:numFmt w:val="bullet"/>
      <w:lvlText w:val=""/>
      <w:lvlJc w:val="left"/>
      <w:pPr>
        <w:tabs>
          <w:tab w:val="num" w:pos="2880"/>
        </w:tabs>
        <w:ind w:left="2880" w:hanging="360"/>
      </w:pPr>
      <w:rPr>
        <w:rFonts w:ascii="Wingdings" w:hAnsi="Wingdings" w:hint="default"/>
      </w:rPr>
    </w:lvl>
    <w:lvl w:ilvl="4" w:tplc="63F08078" w:tentative="1">
      <w:start w:val="1"/>
      <w:numFmt w:val="bullet"/>
      <w:lvlText w:val=""/>
      <w:lvlJc w:val="left"/>
      <w:pPr>
        <w:tabs>
          <w:tab w:val="num" w:pos="3600"/>
        </w:tabs>
        <w:ind w:left="3600" w:hanging="360"/>
      </w:pPr>
      <w:rPr>
        <w:rFonts w:ascii="Wingdings" w:hAnsi="Wingdings" w:hint="default"/>
      </w:rPr>
    </w:lvl>
    <w:lvl w:ilvl="5" w:tplc="18CC954A" w:tentative="1">
      <w:start w:val="1"/>
      <w:numFmt w:val="bullet"/>
      <w:lvlText w:val=""/>
      <w:lvlJc w:val="left"/>
      <w:pPr>
        <w:tabs>
          <w:tab w:val="num" w:pos="4320"/>
        </w:tabs>
        <w:ind w:left="4320" w:hanging="360"/>
      </w:pPr>
      <w:rPr>
        <w:rFonts w:ascii="Wingdings" w:hAnsi="Wingdings" w:hint="default"/>
      </w:rPr>
    </w:lvl>
    <w:lvl w:ilvl="6" w:tplc="AB9E61B4" w:tentative="1">
      <w:start w:val="1"/>
      <w:numFmt w:val="bullet"/>
      <w:lvlText w:val=""/>
      <w:lvlJc w:val="left"/>
      <w:pPr>
        <w:tabs>
          <w:tab w:val="num" w:pos="5040"/>
        </w:tabs>
        <w:ind w:left="5040" w:hanging="360"/>
      </w:pPr>
      <w:rPr>
        <w:rFonts w:ascii="Wingdings" w:hAnsi="Wingdings" w:hint="default"/>
      </w:rPr>
    </w:lvl>
    <w:lvl w:ilvl="7" w:tplc="907A3406" w:tentative="1">
      <w:start w:val="1"/>
      <w:numFmt w:val="bullet"/>
      <w:lvlText w:val=""/>
      <w:lvlJc w:val="left"/>
      <w:pPr>
        <w:tabs>
          <w:tab w:val="num" w:pos="5760"/>
        </w:tabs>
        <w:ind w:left="5760" w:hanging="360"/>
      </w:pPr>
      <w:rPr>
        <w:rFonts w:ascii="Wingdings" w:hAnsi="Wingdings" w:hint="default"/>
      </w:rPr>
    </w:lvl>
    <w:lvl w:ilvl="8" w:tplc="28022984"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6B63DDF"/>
    <w:multiLevelType w:val="hybridMultilevel"/>
    <w:tmpl w:val="619C3B78"/>
    <w:lvl w:ilvl="0" w:tplc="07D6FF58">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3" w15:restartNumberingAfterBreak="0">
    <w:nsid w:val="5A9F614D"/>
    <w:multiLevelType w:val="multilevel"/>
    <w:tmpl w:val="79A4F3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5B033EC3"/>
    <w:multiLevelType w:val="multilevel"/>
    <w:tmpl w:val="DA06C9DA"/>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PicBulletId w:val="1"/>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FB85DAB"/>
    <w:multiLevelType w:val="multilevel"/>
    <w:tmpl w:val="81A8AB92"/>
    <w:lvl w:ilvl="0">
      <w:start w:val="2"/>
      <w:numFmt w:val="decimal"/>
      <w:lvlText w:val="%1."/>
      <w:lvlJc w:val="left"/>
      <w:pPr>
        <w:ind w:left="780" w:hanging="780"/>
      </w:pPr>
      <w:rPr>
        <w:rFonts w:hint="default"/>
      </w:rPr>
    </w:lvl>
    <w:lvl w:ilvl="1">
      <w:start w:val="1"/>
      <w:numFmt w:val="decimal"/>
      <w:lvlText w:val="%1.%2."/>
      <w:lvlJc w:val="left"/>
      <w:pPr>
        <w:ind w:left="900" w:hanging="780"/>
      </w:pPr>
      <w:rPr>
        <w:rFonts w:hint="default"/>
      </w:rPr>
    </w:lvl>
    <w:lvl w:ilvl="2">
      <w:start w:val="8"/>
      <w:numFmt w:val="decimal"/>
      <w:lvlText w:val="%1.%2.%3."/>
      <w:lvlJc w:val="left"/>
      <w:pPr>
        <w:ind w:left="1020" w:hanging="78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26" w15:restartNumberingAfterBreak="0">
    <w:nsid w:val="65FD6E2A"/>
    <w:multiLevelType w:val="hybridMultilevel"/>
    <w:tmpl w:val="2BAE10E2"/>
    <w:lvl w:ilvl="0" w:tplc="09E85FAE">
      <w:start w:val="1"/>
      <w:numFmt w:val="bullet"/>
      <w:lvlText w:val="•"/>
      <w:lvlJc w:val="left"/>
      <w:pPr>
        <w:tabs>
          <w:tab w:val="num" w:pos="720"/>
        </w:tabs>
        <w:ind w:left="720" w:hanging="360"/>
      </w:pPr>
      <w:rPr>
        <w:rFonts w:ascii="Arial" w:hAnsi="Arial" w:hint="default"/>
      </w:rPr>
    </w:lvl>
    <w:lvl w:ilvl="1" w:tplc="FAF08952" w:tentative="1">
      <w:start w:val="1"/>
      <w:numFmt w:val="bullet"/>
      <w:lvlText w:val="•"/>
      <w:lvlJc w:val="left"/>
      <w:pPr>
        <w:tabs>
          <w:tab w:val="num" w:pos="1440"/>
        </w:tabs>
        <w:ind w:left="1440" w:hanging="360"/>
      </w:pPr>
      <w:rPr>
        <w:rFonts w:ascii="Arial" w:hAnsi="Arial" w:hint="default"/>
      </w:rPr>
    </w:lvl>
    <w:lvl w:ilvl="2" w:tplc="895E7F86" w:tentative="1">
      <w:start w:val="1"/>
      <w:numFmt w:val="bullet"/>
      <w:lvlText w:val="•"/>
      <w:lvlJc w:val="left"/>
      <w:pPr>
        <w:tabs>
          <w:tab w:val="num" w:pos="2160"/>
        </w:tabs>
        <w:ind w:left="2160" w:hanging="360"/>
      </w:pPr>
      <w:rPr>
        <w:rFonts w:ascii="Arial" w:hAnsi="Arial" w:hint="default"/>
      </w:rPr>
    </w:lvl>
    <w:lvl w:ilvl="3" w:tplc="96B0456C" w:tentative="1">
      <w:start w:val="1"/>
      <w:numFmt w:val="bullet"/>
      <w:lvlText w:val="•"/>
      <w:lvlJc w:val="left"/>
      <w:pPr>
        <w:tabs>
          <w:tab w:val="num" w:pos="2880"/>
        </w:tabs>
        <w:ind w:left="2880" w:hanging="360"/>
      </w:pPr>
      <w:rPr>
        <w:rFonts w:ascii="Arial" w:hAnsi="Arial" w:hint="default"/>
      </w:rPr>
    </w:lvl>
    <w:lvl w:ilvl="4" w:tplc="AB4C2E16" w:tentative="1">
      <w:start w:val="1"/>
      <w:numFmt w:val="bullet"/>
      <w:lvlText w:val="•"/>
      <w:lvlJc w:val="left"/>
      <w:pPr>
        <w:tabs>
          <w:tab w:val="num" w:pos="3600"/>
        </w:tabs>
        <w:ind w:left="3600" w:hanging="360"/>
      </w:pPr>
      <w:rPr>
        <w:rFonts w:ascii="Arial" w:hAnsi="Arial" w:hint="default"/>
      </w:rPr>
    </w:lvl>
    <w:lvl w:ilvl="5" w:tplc="6DCEF4F6" w:tentative="1">
      <w:start w:val="1"/>
      <w:numFmt w:val="bullet"/>
      <w:lvlText w:val="•"/>
      <w:lvlJc w:val="left"/>
      <w:pPr>
        <w:tabs>
          <w:tab w:val="num" w:pos="4320"/>
        </w:tabs>
        <w:ind w:left="4320" w:hanging="360"/>
      </w:pPr>
      <w:rPr>
        <w:rFonts w:ascii="Arial" w:hAnsi="Arial" w:hint="default"/>
      </w:rPr>
    </w:lvl>
    <w:lvl w:ilvl="6" w:tplc="41585870" w:tentative="1">
      <w:start w:val="1"/>
      <w:numFmt w:val="bullet"/>
      <w:lvlText w:val="•"/>
      <w:lvlJc w:val="left"/>
      <w:pPr>
        <w:tabs>
          <w:tab w:val="num" w:pos="5040"/>
        </w:tabs>
        <w:ind w:left="5040" w:hanging="360"/>
      </w:pPr>
      <w:rPr>
        <w:rFonts w:ascii="Arial" w:hAnsi="Arial" w:hint="default"/>
      </w:rPr>
    </w:lvl>
    <w:lvl w:ilvl="7" w:tplc="4970D48C" w:tentative="1">
      <w:start w:val="1"/>
      <w:numFmt w:val="bullet"/>
      <w:lvlText w:val="•"/>
      <w:lvlJc w:val="left"/>
      <w:pPr>
        <w:tabs>
          <w:tab w:val="num" w:pos="5760"/>
        </w:tabs>
        <w:ind w:left="5760" w:hanging="360"/>
      </w:pPr>
      <w:rPr>
        <w:rFonts w:ascii="Arial" w:hAnsi="Arial" w:hint="default"/>
      </w:rPr>
    </w:lvl>
    <w:lvl w:ilvl="8" w:tplc="9DCE4F16"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91E6960"/>
    <w:multiLevelType w:val="hybridMultilevel"/>
    <w:tmpl w:val="00A61CC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15:restartNumberingAfterBreak="0">
    <w:nsid w:val="6B461B95"/>
    <w:multiLevelType w:val="hybridMultilevel"/>
    <w:tmpl w:val="204EA6EE"/>
    <w:lvl w:ilvl="0" w:tplc="57F0F2A4">
      <w:numFmt w:val="bullet"/>
      <w:lvlText w:val="-"/>
      <w:lvlJc w:val="left"/>
      <w:pPr>
        <w:ind w:left="720" w:hanging="360"/>
      </w:pPr>
      <w:rPr>
        <w:rFonts w:ascii="Gill Sans MT" w:eastAsiaTheme="minorHAnsi" w:hAnsi="Gill Sans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92300C"/>
    <w:multiLevelType w:val="multilevel"/>
    <w:tmpl w:val="79A4F3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770A0173"/>
    <w:multiLevelType w:val="multilevel"/>
    <w:tmpl w:val="79A4F3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78227FB1"/>
    <w:multiLevelType w:val="hybridMultilevel"/>
    <w:tmpl w:val="F6EC4EB0"/>
    <w:lvl w:ilvl="0" w:tplc="080C0013">
      <w:start w:val="1"/>
      <w:numFmt w:val="upperRoman"/>
      <w:lvlText w:val="%1."/>
      <w:lvlJc w:val="righ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2" w15:restartNumberingAfterBreak="0">
    <w:nsid w:val="794C1B94"/>
    <w:multiLevelType w:val="hybridMultilevel"/>
    <w:tmpl w:val="EA0C73FA"/>
    <w:lvl w:ilvl="0" w:tplc="3BBE67EA">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3" w15:restartNumberingAfterBreak="0">
    <w:nsid w:val="79586ED4"/>
    <w:multiLevelType w:val="multilevel"/>
    <w:tmpl w:val="79A4F3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15:restartNumberingAfterBreak="0">
    <w:nsid w:val="797E25D3"/>
    <w:multiLevelType w:val="hybridMultilevel"/>
    <w:tmpl w:val="B150D8BC"/>
    <w:lvl w:ilvl="0" w:tplc="BC941F1A">
      <w:start w:val="1"/>
      <w:numFmt w:val="bullet"/>
      <w:lvlText w:val="-"/>
      <w:lvlJc w:val="left"/>
      <w:pPr>
        <w:ind w:left="720" w:hanging="360"/>
      </w:pPr>
      <w:rPr>
        <w:rFonts w:ascii="Arial" w:eastAsia="Calibri"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5" w15:restartNumberingAfterBreak="0">
    <w:nsid w:val="7CBE4816"/>
    <w:multiLevelType w:val="hybridMultilevel"/>
    <w:tmpl w:val="7CBE4816"/>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36" w15:restartNumberingAfterBreak="0">
    <w:nsid w:val="7CBE4818"/>
    <w:multiLevelType w:val="multilevel"/>
    <w:tmpl w:val="7CBE4818"/>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7CBE481D"/>
    <w:multiLevelType w:val="hybridMultilevel"/>
    <w:tmpl w:val="7CBE481D"/>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38" w15:restartNumberingAfterBreak="0">
    <w:nsid w:val="7F0835C9"/>
    <w:multiLevelType w:val="hybridMultilevel"/>
    <w:tmpl w:val="9078C08C"/>
    <w:lvl w:ilvl="0" w:tplc="194CB9D8">
      <w:start w:val="4"/>
      <w:numFmt w:val="bullet"/>
      <w:lvlText w:val="-"/>
      <w:lvlJc w:val="left"/>
      <w:pPr>
        <w:ind w:left="720" w:hanging="360"/>
      </w:pPr>
      <w:rPr>
        <w:rFonts w:ascii="Gill Sans MT" w:eastAsiaTheme="majorEastAsia" w:hAnsi="Gill Sans MT" w:cstheme="maj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7"/>
  </w:num>
  <w:num w:numId="2">
    <w:abstractNumId w:val="33"/>
  </w:num>
  <w:num w:numId="3">
    <w:abstractNumId w:val="8"/>
  </w:num>
  <w:num w:numId="4">
    <w:abstractNumId w:val="5"/>
  </w:num>
  <w:num w:numId="5">
    <w:abstractNumId w:val="31"/>
  </w:num>
  <w:num w:numId="6">
    <w:abstractNumId w:val="12"/>
  </w:num>
  <w:num w:numId="7">
    <w:abstractNumId w:val="19"/>
  </w:num>
  <w:num w:numId="8">
    <w:abstractNumId w:val="32"/>
  </w:num>
  <w:num w:numId="9">
    <w:abstractNumId w:val="20"/>
  </w:num>
  <w:num w:numId="10">
    <w:abstractNumId w:val="15"/>
  </w:num>
  <w:num w:numId="11">
    <w:abstractNumId w:val="38"/>
  </w:num>
  <w:num w:numId="12">
    <w:abstractNumId w:val="30"/>
  </w:num>
  <w:num w:numId="13">
    <w:abstractNumId w:val="35"/>
  </w:num>
  <w:num w:numId="14">
    <w:abstractNumId w:val="37"/>
  </w:num>
  <w:num w:numId="15">
    <w:abstractNumId w:val="21"/>
  </w:num>
  <w:num w:numId="16">
    <w:abstractNumId w:val="17"/>
  </w:num>
  <w:num w:numId="17">
    <w:abstractNumId w:val="29"/>
  </w:num>
  <w:num w:numId="18">
    <w:abstractNumId w:val="34"/>
  </w:num>
  <w:num w:numId="19">
    <w:abstractNumId w:val="23"/>
  </w:num>
  <w:num w:numId="20">
    <w:abstractNumId w:val="7"/>
  </w:num>
  <w:num w:numId="21">
    <w:abstractNumId w:val="10"/>
  </w:num>
  <w:num w:numId="22">
    <w:abstractNumId w:val="36"/>
  </w:num>
  <w:num w:numId="23">
    <w:abstractNumId w:val="13"/>
  </w:num>
  <w:num w:numId="24">
    <w:abstractNumId w:val="25"/>
  </w:num>
  <w:num w:numId="25">
    <w:abstractNumId w:val="0"/>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28"/>
  </w:num>
  <w:num w:numId="29">
    <w:abstractNumId w:val="26"/>
  </w:num>
  <w:num w:numId="30">
    <w:abstractNumId w:val="4"/>
  </w:num>
  <w:num w:numId="31">
    <w:abstractNumId w:val="14"/>
  </w:num>
  <w:num w:numId="32">
    <w:abstractNumId w:val="1"/>
  </w:num>
  <w:num w:numId="33">
    <w:abstractNumId w:val="9"/>
  </w:num>
  <w:num w:numId="34">
    <w:abstractNumId w:val="11"/>
  </w:num>
  <w:num w:numId="35">
    <w:abstractNumId w:val="24"/>
  </w:num>
  <w:num w:numId="36">
    <w:abstractNumId w:val="6"/>
  </w:num>
  <w:num w:numId="37">
    <w:abstractNumId w:val="22"/>
  </w:num>
  <w:num w:numId="38">
    <w:abstractNumId w:val="18"/>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2BA"/>
    <w:rsid w:val="00000FBA"/>
    <w:rsid w:val="0000230F"/>
    <w:rsid w:val="000074C1"/>
    <w:rsid w:val="00010989"/>
    <w:rsid w:val="00010DF4"/>
    <w:rsid w:val="00011BB7"/>
    <w:rsid w:val="00011F50"/>
    <w:rsid w:val="0001201B"/>
    <w:rsid w:val="00016A7D"/>
    <w:rsid w:val="0002013B"/>
    <w:rsid w:val="000225C3"/>
    <w:rsid w:val="00036765"/>
    <w:rsid w:val="00040C60"/>
    <w:rsid w:val="00045E9A"/>
    <w:rsid w:val="0006072E"/>
    <w:rsid w:val="000652BA"/>
    <w:rsid w:val="0008043B"/>
    <w:rsid w:val="000815C0"/>
    <w:rsid w:val="0008171E"/>
    <w:rsid w:val="000824C7"/>
    <w:rsid w:val="00082AA6"/>
    <w:rsid w:val="0008489A"/>
    <w:rsid w:val="00085A9E"/>
    <w:rsid w:val="0008704F"/>
    <w:rsid w:val="000A07C5"/>
    <w:rsid w:val="000A5DE6"/>
    <w:rsid w:val="000A6196"/>
    <w:rsid w:val="000B6AD3"/>
    <w:rsid w:val="000C0339"/>
    <w:rsid w:val="000C1ABB"/>
    <w:rsid w:val="000C2A90"/>
    <w:rsid w:val="000C6EC3"/>
    <w:rsid w:val="000C7B32"/>
    <w:rsid w:val="000D0373"/>
    <w:rsid w:val="000D120C"/>
    <w:rsid w:val="000D52C2"/>
    <w:rsid w:val="000D7348"/>
    <w:rsid w:val="000E45F4"/>
    <w:rsid w:val="000F3A31"/>
    <w:rsid w:val="001010B4"/>
    <w:rsid w:val="00102C21"/>
    <w:rsid w:val="00103C14"/>
    <w:rsid w:val="00111D85"/>
    <w:rsid w:val="001179FE"/>
    <w:rsid w:val="00127603"/>
    <w:rsid w:val="00135F56"/>
    <w:rsid w:val="00146C66"/>
    <w:rsid w:val="00147130"/>
    <w:rsid w:val="00155376"/>
    <w:rsid w:val="001557B6"/>
    <w:rsid w:val="00155B0E"/>
    <w:rsid w:val="00160A0A"/>
    <w:rsid w:val="001644AC"/>
    <w:rsid w:val="00173817"/>
    <w:rsid w:val="00185E56"/>
    <w:rsid w:val="00187396"/>
    <w:rsid w:val="0019564F"/>
    <w:rsid w:val="001A2664"/>
    <w:rsid w:val="001A3CDA"/>
    <w:rsid w:val="001B15BA"/>
    <w:rsid w:val="001B2D59"/>
    <w:rsid w:val="001C381D"/>
    <w:rsid w:val="001C5154"/>
    <w:rsid w:val="001D1BBD"/>
    <w:rsid w:val="001D3F58"/>
    <w:rsid w:val="001D54D8"/>
    <w:rsid w:val="001D72F3"/>
    <w:rsid w:val="001E1BDF"/>
    <w:rsid w:val="001E740E"/>
    <w:rsid w:val="001E7FB5"/>
    <w:rsid w:val="001F0A71"/>
    <w:rsid w:val="001F0AC5"/>
    <w:rsid w:val="001F4523"/>
    <w:rsid w:val="001F7F3B"/>
    <w:rsid w:val="002063B3"/>
    <w:rsid w:val="0020647A"/>
    <w:rsid w:val="00206C4B"/>
    <w:rsid w:val="002161BA"/>
    <w:rsid w:val="002212FB"/>
    <w:rsid w:val="002233C7"/>
    <w:rsid w:val="00224623"/>
    <w:rsid w:val="00226F14"/>
    <w:rsid w:val="00230013"/>
    <w:rsid w:val="00230D2C"/>
    <w:rsid w:val="0023312A"/>
    <w:rsid w:val="00236272"/>
    <w:rsid w:val="00243E4A"/>
    <w:rsid w:val="00276C65"/>
    <w:rsid w:val="00283F2D"/>
    <w:rsid w:val="00284B51"/>
    <w:rsid w:val="0028522B"/>
    <w:rsid w:val="0028628E"/>
    <w:rsid w:val="00287B8C"/>
    <w:rsid w:val="0029297D"/>
    <w:rsid w:val="0029495A"/>
    <w:rsid w:val="002978CD"/>
    <w:rsid w:val="00297AA5"/>
    <w:rsid w:val="002A17DF"/>
    <w:rsid w:val="002A3D1E"/>
    <w:rsid w:val="002B1A2B"/>
    <w:rsid w:val="002C2D90"/>
    <w:rsid w:val="002C316D"/>
    <w:rsid w:val="002C31D6"/>
    <w:rsid w:val="002C38D8"/>
    <w:rsid w:val="002C71DF"/>
    <w:rsid w:val="002D381E"/>
    <w:rsid w:val="002D63EE"/>
    <w:rsid w:val="002D6DF6"/>
    <w:rsid w:val="002F22F3"/>
    <w:rsid w:val="002F2F7E"/>
    <w:rsid w:val="002F3C06"/>
    <w:rsid w:val="002F60CE"/>
    <w:rsid w:val="00302054"/>
    <w:rsid w:val="00302F1B"/>
    <w:rsid w:val="003032C3"/>
    <w:rsid w:val="0030740F"/>
    <w:rsid w:val="00316C21"/>
    <w:rsid w:val="00320F94"/>
    <w:rsid w:val="00321CB6"/>
    <w:rsid w:val="00331F62"/>
    <w:rsid w:val="0034050F"/>
    <w:rsid w:val="00346743"/>
    <w:rsid w:val="00351BE1"/>
    <w:rsid w:val="00354A55"/>
    <w:rsid w:val="0035716A"/>
    <w:rsid w:val="0035767E"/>
    <w:rsid w:val="00364185"/>
    <w:rsid w:val="00372B88"/>
    <w:rsid w:val="00381100"/>
    <w:rsid w:val="00385BC1"/>
    <w:rsid w:val="00386557"/>
    <w:rsid w:val="00386DBC"/>
    <w:rsid w:val="00392D08"/>
    <w:rsid w:val="00393FEA"/>
    <w:rsid w:val="0039613D"/>
    <w:rsid w:val="00396D77"/>
    <w:rsid w:val="003A1162"/>
    <w:rsid w:val="003A363C"/>
    <w:rsid w:val="003B28E9"/>
    <w:rsid w:val="003C07BA"/>
    <w:rsid w:val="003C5103"/>
    <w:rsid w:val="003C6219"/>
    <w:rsid w:val="003C7776"/>
    <w:rsid w:val="003D3557"/>
    <w:rsid w:val="003E26BD"/>
    <w:rsid w:val="003E3335"/>
    <w:rsid w:val="003E6836"/>
    <w:rsid w:val="003E78A9"/>
    <w:rsid w:val="003F0435"/>
    <w:rsid w:val="003F2D3D"/>
    <w:rsid w:val="004054EB"/>
    <w:rsid w:val="00406A15"/>
    <w:rsid w:val="00407488"/>
    <w:rsid w:val="0041495D"/>
    <w:rsid w:val="00414C8A"/>
    <w:rsid w:val="004160FD"/>
    <w:rsid w:val="00427D70"/>
    <w:rsid w:val="00435789"/>
    <w:rsid w:val="00446C69"/>
    <w:rsid w:val="00455C7C"/>
    <w:rsid w:val="004569A1"/>
    <w:rsid w:val="00461E88"/>
    <w:rsid w:val="004624B4"/>
    <w:rsid w:val="004627C7"/>
    <w:rsid w:val="00475EA2"/>
    <w:rsid w:val="0048177B"/>
    <w:rsid w:val="00482D77"/>
    <w:rsid w:val="00483071"/>
    <w:rsid w:val="004855F7"/>
    <w:rsid w:val="00492A5A"/>
    <w:rsid w:val="004A6747"/>
    <w:rsid w:val="004B5BBC"/>
    <w:rsid w:val="004C351A"/>
    <w:rsid w:val="004D2B05"/>
    <w:rsid w:val="004D6A7B"/>
    <w:rsid w:val="004D7530"/>
    <w:rsid w:val="004E1C90"/>
    <w:rsid w:val="004E20B0"/>
    <w:rsid w:val="004E663C"/>
    <w:rsid w:val="004F40A7"/>
    <w:rsid w:val="004F72FC"/>
    <w:rsid w:val="0050028D"/>
    <w:rsid w:val="00503F5C"/>
    <w:rsid w:val="0051045B"/>
    <w:rsid w:val="00513F56"/>
    <w:rsid w:val="005141DD"/>
    <w:rsid w:val="00522569"/>
    <w:rsid w:val="00522A73"/>
    <w:rsid w:val="00524BD2"/>
    <w:rsid w:val="005324CB"/>
    <w:rsid w:val="00532856"/>
    <w:rsid w:val="005337FD"/>
    <w:rsid w:val="00554567"/>
    <w:rsid w:val="0055537D"/>
    <w:rsid w:val="00560BD3"/>
    <w:rsid w:val="00561339"/>
    <w:rsid w:val="005614FE"/>
    <w:rsid w:val="005638C7"/>
    <w:rsid w:val="00564750"/>
    <w:rsid w:val="00566AAF"/>
    <w:rsid w:val="00567C9B"/>
    <w:rsid w:val="00574B9C"/>
    <w:rsid w:val="00576A01"/>
    <w:rsid w:val="00576DB6"/>
    <w:rsid w:val="005915A1"/>
    <w:rsid w:val="00592B96"/>
    <w:rsid w:val="00593F33"/>
    <w:rsid w:val="00595064"/>
    <w:rsid w:val="005977F9"/>
    <w:rsid w:val="005A417B"/>
    <w:rsid w:val="005B15B8"/>
    <w:rsid w:val="005B1999"/>
    <w:rsid w:val="005B31F6"/>
    <w:rsid w:val="005B6C30"/>
    <w:rsid w:val="005C0E05"/>
    <w:rsid w:val="005C35C9"/>
    <w:rsid w:val="005C5C42"/>
    <w:rsid w:val="005D1595"/>
    <w:rsid w:val="005D4117"/>
    <w:rsid w:val="005D5DAE"/>
    <w:rsid w:val="005F14C0"/>
    <w:rsid w:val="005F2CF1"/>
    <w:rsid w:val="005F36F4"/>
    <w:rsid w:val="00616B54"/>
    <w:rsid w:val="00616D3C"/>
    <w:rsid w:val="00623D3F"/>
    <w:rsid w:val="0062494A"/>
    <w:rsid w:val="0062793F"/>
    <w:rsid w:val="00630C42"/>
    <w:rsid w:val="00632B45"/>
    <w:rsid w:val="00633005"/>
    <w:rsid w:val="00633EF3"/>
    <w:rsid w:val="006354EB"/>
    <w:rsid w:val="006361DC"/>
    <w:rsid w:val="00636EBF"/>
    <w:rsid w:val="006422A5"/>
    <w:rsid w:val="0064695E"/>
    <w:rsid w:val="00646AE9"/>
    <w:rsid w:val="006479A4"/>
    <w:rsid w:val="00650952"/>
    <w:rsid w:val="006603A6"/>
    <w:rsid w:val="00661AFE"/>
    <w:rsid w:val="006805DD"/>
    <w:rsid w:val="00690E4A"/>
    <w:rsid w:val="00694943"/>
    <w:rsid w:val="006A0EAC"/>
    <w:rsid w:val="006B2C43"/>
    <w:rsid w:val="006B2FE6"/>
    <w:rsid w:val="006B4B37"/>
    <w:rsid w:val="006B5A3B"/>
    <w:rsid w:val="006B61CE"/>
    <w:rsid w:val="006B6327"/>
    <w:rsid w:val="006B682B"/>
    <w:rsid w:val="006C0EDF"/>
    <w:rsid w:val="006C11C1"/>
    <w:rsid w:val="006C2F8D"/>
    <w:rsid w:val="006D6CA6"/>
    <w:rsid w:val="006E3922"/>
    <w:rsid w:val="006E3E4D"/>
    <w:rsid w:val="007002C1"/>
    <w:rsid w:val="00714272"/>
    <w:rsid w:val="00736B01"/>
    <w:rsid w:val="007370A5"/>
    <w:rsid w:val="00737C26"/>
    <w:rsid w:val="00740627"/>
    <w:rsid w:val="00741E09"/>
    <w:rsid w:val="0074478D"/>
    <w:rsid w:val="00757736"/>
    <w:rsid w:val="007617E0"/>
    <w:rsid w:val="007622AE"/>
    <w:rsid w:val="007744DD"/>
    <w:rsid w:val="007769CD"/>
    <w:rsid w:val="00780F87"/>
    <w:rsid w:val="0078335A"/>
    <w:rsid w:val="0078460E"/>
    <w:rsid w:val="00785A30"/>
    <w:rsid w:val="00787110"/>
    <w:rsid w:val="00791424"/>
    <w:rsid w:val="00794462"/>
    <w:rsid w:val="007947E9"/>
    <w:rsid w:val="007A1555"/>
    <w:rsid w:val="007A7D63"/>
    <w:rsid w:val="007B3568"/>
    <w:rsid w:val="007B6B33"/>
    <w:rsid w:val="007B76DD"/>
    <w:rsid w:val="007C7FEA"/>
    <w:rsid w:val="007D4615"/>
    <w:rsid w:val="007D60E8"/>
    <w:rsid w:val="007D7185"/>
    <w:rsid w:val="007E0BEF"/>
    <w:rsid w:val="007E2754"/>
    <w:rsid w:val="007E35AD"/>
    <w:rsid w:val="007E5B58"/>
    <w:rsid w:val="007E5D36"/>
    <w:rsid w:val="007F1AF8"/>
    <w:rsid w:val="007F467B"/>
    <w:rsid w:val="008013D6"/>
    <w:rsid w:val="008130F4"/>
    <w:rsid w:val="00815999"/>
    <w:rsid w:val="00815D72"/>
    <w:rsid w:val="008160D9"/>
    <w:rsid w:val="0082144B"/>
    <w:rsid w:val="00826523"/>
    <w:rsid w:val="0083178B"/>
    <w:rsid w:val="00840193"/>
    <w:rsid w:val="00840FBC"/>
    <w:rsid w:val="0084113E"/>
    <w:rsid w:val="00841D38"/>
    <w:rsid w:val="008423EA"/>
    <w:rsid w:val="00842479"/>
    <w:rsid w:val="00852B51"/>
    <w:rsid w:val="00852F60"/>
    <w:rsid w:val="008608B3"/>
    <w:rsid w:val="008617D4"/>
    <w:rsid w:val="0086384F"/>
    <w:rsid w:val="0087110D"/>
    <w:rsid w:val="00876728"/>
    <w:rsid w:val="0087680D"/>
    <w:rsid w:val="00881947"/>
    <w:rsid w:val="00887063"/>
    <w:rsid w:val="00891238"/>
    <w:rsid w:val="00891837"/>
    <w:rsid w:val="00892B52"/>
    <w:rsid w:val="00893AE2"/>
    <w:rsid w:val="0089569D"/>
    <w:rsid w:val="008970D4"/>
    <w:rsid w:val="008A1871"/>
    <w:rsid w:val="008A1946"/>
    <w:rsid w:val="008A70C3"/>
    <w:rsid w:val="008A7278"/>
    <w:rsid w:val="008A7EBD"/>
    <w:rsid w:val="008B4171"/>
    <w:rsid w:val="008B53AE"/>
    <w:rsid w:val="008C1D40"/>
    <w:rsid w:val="008C754C"/>
    <w:rsid w:val="008D2329"/>
    <w:rsid w:val="008D2480"/>
    <w:rsid w:val="008E2A81"/>
    <w:rsid w:val="008E2C51"/>
    <w:rsid w:val="008E71BB"/>
    <w:rsid w:val="008F13A0"/>
    <w:rsid w:val="008F3890"/>
    <w:rsid w:val="008F746B"/>
    <w:rsid w:val="0090351D"/>
    <w:rsid w:val="00905D07"/>
    <w:rsid w:val="00907BF6"/>
    <w:rsid w:val="00910C35"/>
    <w:rsid w:val="0091184E"/>
    <w:rsid w:val="00915B3C"/>
    <w:rsid w:val="00916237"/>
    <w:rsid w:val="00916F5D"/>
    <w:rsid w:val="0092222A"/>
    <w:rsid w:val="009277DE"/>
    <w:rsid w:val="00933052"/>
    <w:rsid w:val="00943280"/>
    <w:rsid w:val="009546DC"/>
    <w:rsid w:val="0096058B"/>
    <w:rsid w:val="0096137A"/>
    <w:rsid w:val="00961456"/>
    <w:rsid w:val="00965591"/>
    <w:rsid w:val="00965CF7"/>
    <w:rsid w:val="00970979"/>
    <w:rsid w:val="0097108C"/>
    <w:rsid w:val="00973304"/>
    <w:rsid w:val="00975A43"/>
    <w:rsid w:val="00975B99"/>
    <w:rsid w:val="00987A28"/>
    <w:rsid w:val="0099344D"/>
    <w:rsid w:val="009941D5"/>
    <w:rsid w:val="009A1F6A"/>
    <w:rsid w:val="009A34EC"/>
    <w:rsid w:val="009A5E2F"/>
    <w:rsid w:val="009A7C70"/>
    <w:rsid w:val="009B0078"/>
    <w:rsid w:val="009B34D1"/>
    <w:rsid w:val="009B3A39"/>
    <w:rsid w:val="009B4B7A"/>
    <w:rsid w:val="009B53B4"/>
    <w:rsid w:val="009B5789"/>
    <w:rsid w:val="009C72E2"/>
    <w:rsid w:val="009C7416"/>
    <w:rsid w:val="009D1438"/>
    <w:rsid w:val="009E3302"/>
    <w:rsid w:val="009E6F51"/>
    <w:rsid w:val="009F3236"/>
    <w:rsid w:val="009F4F6F"/>
    <w:rsid w:val="00A01394"/>
    <w:rsid w:val="00A07F46"/>
    <w:rsid w:val="00A146F7"/>
    <w:rsid w:val="00A14886"/>
    <w:rsid w:val="00A2001F"/>
    <w:rsid w:val="00A26376"/>
    <w:rsid w:val="00A278C1"/>
    <w:rsid w:val="00A3247B"/>
    <w:rsid w:val="00A408F5"/>
    <w:rsid w:val="00A450BC"/>
    <w:rsid w:val="00A45C85"/>
    <w:rsid w:val="00A53905"/>
    <w:rsid w:val="00A54BF8"/>
    <w:rsid w:val="00A563CF"/>
    <w:rsid w:val="00A5763F"/>
    <w:rsid w:val="00A60713"/>
    <w:rsid w:val="00A61425"/>
    <w:rsid w:val="00A74A96"/>
    <w:rsid w:val="00A779F6"/>
    <w:rsid w:val="00A80FB9"/>
    <w:rsid w:val="00AA085C"/>
    <w:rsid w:val="00AA3ACE"/>
    <w:rsid w:val="00AA765C"/>
    <w:rsid w:val="00AB0894"/>
    <w:rsid w:val="00AB1B46"/>
    <w:rsid w:val="00AE5F00"/>
    <w:rsid w:val="00AE62FF"/>
    <w:rsid w:val="00AF60A1"/>
    <w:rsid w:val="00B04220"/>
    <w:rsid w:val="00B150A3"/>
    <w:rsid w:val="00B23DD8"/>
    <w:rsid w:val="00B2698A"/>
    <w:rsid w:val="00B305A2"/>
    <w:rsid w:val="00B400BF"/>
    <w:rsid w:val="00B43A07"/>
    <w:rsid w:val="00B46C36"/>
    <w:rsid w:val="00B47674"/>
    <w:rsid w:val="00B561C0"/>
    <w:rsid w:val="00B6431A"/>
    <w:rsid w:val="00B6567E"/>
    <w:rsid w:val="00B67657"/>
    <w:rsid w:val="00B76F2C"/>
    <w:rsid w:val="00B917A1"/>
    <w:rsid w:val="00B92CC1"/>
    <w:rsid w:val="00B949A1"/>
    <w:rsid w:val="00B95113"/>
    <w:rsid w:val="00B95618"/>
    <w:rsid w:val="00BA0432"/>
    <w:rsid w:val="00BA5FB3"/>
    <w:rsid w:val="00BA6403"/>
    <w:rsid w:val="00BB24F8"/>
    <w:rsid w:val="00BB3D93"/>
    <w:rsid w:val="00BB5B1A"/>
    <w:rsid w:val="00BB6C89"/>
    <w:rsid w:val="00BC0251"/>
    <w:rsid w:val="00BC3EE5"/>
    <w:rsid w:val="00BD3FC1"/>
    <w:rsid w:val="00BD4194"/>
    <w:rsid w:val="00BE1788"/>
    <w:rsid w:val="00BE429F"/>
    <w:rsid w:val="00BE4C7A"/>
    <w:rsid w:val="00C20D7E"/>
    <w:rsid w:val="00C24955"/>
    <w:rsid w:val="00C27177"/>
    <w:rsid w:val="00C2749C"/>
    <w:rsid w:val="00C40D5C"/>
    <w:rsid w:val="00C43521"/>
    <w:rsid w:val="00C47882"/>
    <w:rsid w:val="00C51A9D"/>
    <w:rsid w:val="00C51DDD"/>
    <w:rsid w:val="00C53DDD"/>
    <w:rsid w:val="00C54F68"/>
    <w:rsid w:val="00C61313"/>
    <w:rsid w:val="00C70541"/>
    <w:rsid w:val="00C75A01"/>
    <w:rsid w:val="00C808D0"/>
    <w:rsid w:val="00C87271"/>
    <w:rsid w:val="00C954FE"/>
    <w:rsid w:val="00C9568C"/>
    <w:rsid w:val="00C9759C"/>
    <w:rsid w:val="00C975FB"/>
    <w:rsid w:val="00CA36AE"/>
    <w:rsid w:val="00CB581B"/>
    <w:rsid w:val="00CB603F"/>
    <w:rsid w:val="00CB7EC7"/>
    <w:rsid w:val="00CC0F35"/>
    <w:rsid w:val="00CD35BE"/>
    <w:rsid w:val="00CD61BA"/>
    <w:rsid w:val="00CE1DEE"/>
    <w:rsid w:val="00CF5994"/>
    <w:rsid w:val="00D077C2"/>
    <w:rsid w:val="00D13D3A"/>
    <w:rsid w:val="00D17848"/>
    <w:rsid w:val="00D21DAB"/>
    <w:rsid w:val="00D241E4"/>
    <w:rsid w:val="00D24EB0"/>
    <w:rsid w:val="00D25245"/>
    <w:rsid w:val="00D27A1B"/>
    <w:rsid w:val="00D34CFE"/>
    <w:rsid w:val="00D37763"/>
    <w:rsid w:val="00D416DE"/>
    <w:rsid w:val="00D45025"/>
    <w:rsid w:val="00D60186"/>
    <w:rsid w:val="00D74793"/>
    <w:rsid w:val="00D75440"/>
    <w:rsid w:val="00D8172B"/>
    <w:rsid w:val="00D840D8"/>
    <w:rsid w:val="00D90CAE"/>
    <w:rsid w:val="00D94823"/>
    <w:rsid w:val="00DA0446"/>
    <w:rsid w:val="00DA0D93"/>
    <w:rsid w:val="00DA0E9E"/>
    <w:rsid w:val="00DB117B"/>
    <w:rsid w:val="00DB5EBA"/>
    <w:rsid w:val="00DB644A"/>
    <w:rsid w:val="00DB7249"/>
    <w:rsid w:val="00DC29CA"/>
    <w:rsid w:val="00DD134E"/>
    <w:rsid w:val="00DD23CE"/>
    <w:rsid w:val="00DD5DC2"/>
    <w:rsid w:val="00DD69E0"/>
    <w:rsid w:val="00E11EE1"/>
    <w:rsid w:val="00E1323F"/>
    <w:rsid w:val="00E309A2"/>
    <w:rsid w:val="00E3792E"/>
    <w:rsid w:val="00E4087D"/>
    <w:rsid w:val="00E43659"/>
    <w:rsid w:val="00E6683B"/>
    <w:rsid w:val="00E70C31"/>
    <w:rsid w:val="00E74292"/>
    <w:rsid w:val="00E77E7A"/>
    <w:rsid w:val="00E82B11"/>
    <w:rsid w:val="00E95116"/>
    <w:rsid w:val="00E95767"/>
    <w:rsid w:val="00E9749A"/>
    <w:rsid w:val="00E97BB0"/>
    <w:rsid w:val="00EB0BB4"/>
    <w:rsid w:val="00EB404F"/>
    <w:rsid w:val="00EC0AED"/>
    <w:rsid w:val="00EC2C2F"/>
    <w:rsid w:val="00EC6EBD"/>
    <w:rsid w:val="00EE181F"/>
    <w:rsid w:val="00EE387B"/>
    <w:rsid w:val="00EE7243"/>
    <w:rsid w:val="00EF11A6"/>
    <w:rsid w:val="00F01AB4"/>
    <w:rsid w:val="00F050FB"/>
    <w:rsid w:val="00F05680"/>
    <w:rsid w:val="00F07827"/>
    <w:rsid w:val="00F07D9C"/>
    <w:rsid w:val="00F176FF"/>
    <w:rsid w:val="00F17F81"/>
    <w:rsid w:val="00F246CF"/>
    <w:rsid w:val="00F32D5F"/>
    <w:rsid w:val="00F41D69"/>
    <w:rsid w:val="00F5163F"/>
    <w:rsid w:val="00F55844"/>
    <w:rsid w:val="00F737E8"/>
    <w:rsid w:val="00F74E96"/>
    <w:rsid w:val="00F76216"/>
    <w:rsid w:val="00F7796B"/>
    <w:rsid w:val="00FB011F"/>
    <w:rsid w:val="00FB0AE2"/>
    <w:rsid w:val="00FB44F8"/>
    <w:rsid w:val="00FB4902"/>
    <w:rsid w:val="00FC22E4"/>
    <w:rsid w:val="00FD61DF"/>
    <w:rsid w:val="00FE0BFC"/>
    <w:rsid w:val="00FF41B3"/>
    <w:rsid w:val="00FF619F"/>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290CAA68"/>
  <w15:docId w15:val="{6314EB46-A0CE-44A6-9144-89F9CF659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fr-FR" w:eastAsia="fr-FR" w:bidi="fr-F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B0894"/>
    <w:pPr>
      <w:jc w:val="both"/>
    </w:pPr>
    <w:rPr>
      <w:rFonts w:ascii="Gill Sans MT" w:hAnsi="Gill Sans MT"/>
      <w:sz w:val="24"/>
    </w:rPr>
  </w:style>
  <w:style w:type="paragraph" w:styleId="Kop1">
    <w:name w:val="heading 1"/>
    <w:basedOn w:val="Standaard"/>
    <w:next w:val="Standaard"/>
    <w:link w:val="Kop1Char"/>
    <w:uiPriority w:val="9"/>
    <w:qFormat/>
    <w:rsid w:val="005614FE"/>
    <w:pPr>
      <w:spacing w:before="480" w:after="0"/>
      <w:contextualSpacing/>
      <w:outlineLvl w:val="0"/>
    </w:pPr>
    <w:rPr>
      <w:smallCaps/>
      <w:spacing w:val="5"/>
      <w:sz w:val="36"/>
      <w:szCs w:val="36"/>
    </w:rPr>
  </w:style>
  <w:style w:type="paragraph" w:styleId="Kop2">
    <w:name w:val="heading 2"/>
    <w:basedOn w:val="Standaard"/>
    <w:next w:val="Standaard"/>
    <w:link w:val="Kop2Char"/>
    <w:uiPriority w:val="9"/>
    <w:unhideWhenUsed/>
    <w:qFormat/>
    <w:rsid w:val="005614FE"/>
    <w:pPr>
      <w:spacing w:before="200" w:after="0" w:line="271" w:lineRule="auto"/>
      <w:outlineLvl w:val="1"/>
    </w:pPr>
    <w:rPr>
      <w:smallCaps/>
      <w:sz w:val="28"/>
      <w:szCs w:val="28"/>
    </w:rPr>
  </w:style>
  <w:style w:type="paragraph" w:styleId="Kop3">
    <w:name w:val="heading 3"/>
    <w:basedOn w:val="Standaard"/>
    <w:next w:val="Standaard"/>
    <w:link w:val="Kop3Char"/>
    <w:uiPriority w:val="9"/>
    <w:unhideWhenUsed/>
    <w:qFormat/>
    <w:rsid w:val="005614FE"/>
    <w:pPr>
      <w:spacing w:before="200" w:after="0" w:line="271" w:lineRule="auto"/>
      <w:outlineLvl w:val="2"/>
    </w:pPr>
    <w:rPr>
      <w:i/>
      <w:iCs/>
      <w:smallCaps/>
      <w:spacing w:val="5"/>
      <w:sz w:val="26"/>
      <w:szCs w:val="26"/>
    </w:rPr>
  </w:style>
  <w:style w:type="paragraph" w:styleId="Kop4">
    <w:name w:val="heading 4"/>
    <w:basedOn w:val="Standaard"/>
    <w:next w:val="Standaard"/>
    <w:link w:val="Kop4Char"/>
    <w:uiPriority w:val="9"/>
    <w:unhideWhenUsed/>
    <w:qFormat/>
    <w:rsid w:val="005614FE"/>
    <w:pPr>
      <w:spacing w:after="0" w:line="271" w:lineRule="auto"/>
      <w:outlineLvl w:val="3"/>
    </w:pPr>
    <w:rPr>
      <w:b/>
      <w:bCs/>
      <w:spacing w:val="5"/>
      <w:szCs w:val="24"/>
    </w:rPr>
  </w:style>
  <w:style w:type="paragraph" w:styleId="Kop5">
    <w:name w:val="heading 5"/>
    <w:basedOn w:val="Standaard"/>
    <w:next w:val="Standaard"/>
    <w:link w:val="Kop5Char"/>
    <w:uiPriority w:val="9"/>
    <w:unhideWhenUsed/>
    <w:qFormat/>
    <w:rsid w:val="005614FE"/>
    <w:pPr>
      <w:spacing w:after="0" w:line="271" w:lineRule="auto"/>
      <w:outlineLvl w:val="4"/>
    </w:pPr>
    <w:rPr>
      <w:i/>
      <w:iCs/>
      <w:szCs w:val="24"/>
    </w:rPr>
  </w:style>
  <w:style w:type="paragraph" w:styleId="Kop6">
    <w:name w:val="heading 6"/>
    <w:basedOn w:val="Standaard"/>
    <w:next w:val="Standaard"/>
    <w:link w:val="Kop6Char"/>
    <w:uiPriority w:val="9"/>
    <w:semiHidden/>
    <w:unhideWhenUsed/>
    <w:qFormat/>
    <w:rsid w:val="005614FE"/>
    <w:pPr>
      <w:shd w:val="clear" w:color="auto" w:fill="FFFFFF" w:themeFill="background1"/>
      <w:spacing w:after="0" w:line="271" w:lineRule="auto"/>
      <w:outlineLvl w:val="5"/>
    </w:pPr>
    <w:rPr>
      <w:b/>
      <w:bCs/>
      <w:color w:val="595959" w:themeColor="text1" w:themeTint="A6"/>
      <w:spacing w:val="5"/>
    </w:rPr>
  </w:style>
  <w:style w:type="paragraph" w:styleId="Kop7">
    <w:name w:val="heading 7"/>
    <w:basedOn w:val="Standaard"/>
    <w:next w:val="Standaard"/>
    <w:link w:val="Kop7Char"/>
    <w:uiPriority w:val="9"/>
    <w:semiHidden/>
    <w:unhideWhenUsed/>
    <w:qFormat/>
    <w:rsid w:val="005614FE"/>
    <w:pPr>
      <w:spacing w:after="0"/>
      <w:outlineLvl w:val="6"/>
    </w:pPr>
    <w:rPr>
      <w:b/>
      <w:bCs/>
      <w:i/>
      <w:iCs/>
      <w:color w:val="5A5A5A" w:themeColor="text1" w:themeTint="A5"/>
      <w:sz w:val="20"/>
      <w:szCs w:val="20"/>
    </w:rPr>
  </w:style>
  <w:style w:type="paragraph" w:styleId="Kop8">
    <w:name w:val="heading 8"/>
    <w:basedOn w:val="Standaard"/>
    <w:next w:val="Standaard"/>
    <w:link w:val="Kop8Char"/>
    <w:uiPriority w:val="9"/>
    <w:semiHidden/>
    <w:unhideWhenUsed/>
    <w:qFormat/>
    <w:rsid w:val="005614FE"/>
    <w:pPr>
      <w:spacing w:after="0"/>
      <w:outlineLvl w:val="7"/>
    </w:pPr>
    <w:rPr>
      <w:b/>
      <w:bCs/>
      <w:color w:val="7F7F7F" w:themeColor="text1" w:themeTint="80"/>
      <w:sz w:val="20"/>
      <w:szCs w:val="20"/>
    </w:rPr>
  </w:style>
  <w:style w:type="paragraph" w:styleId="Kop9">
    <w:name w:val="heading 9"/>
    <w:basedOn w:val="Standaard"/>
    <w:next w:val="Standaard"/>
    <w:link w:val="Kop9Char"/>
    <w:uiPriority w:val="9"/>
    <w:semiHidden/>
    <w:unhideWhenUsed/>
    <w:qFormat/>
    <w:rsid w:val="005614FE"/>
    <w:pPr>
      <w:spacing w:after="0" w:line="271" w:lineRule="auto"/>
      <w:outlineLvl w:val="8"/>
    </w:pPr>
    <w:rPr>
      <w:b/>
      <w:bCs/>
      <w:i/>
      <w:iCs/>
      <w:color w:val="7F7F7F" w:themeColor="text1" w:themeTint="8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46C6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46C69"/>
    <w:rPr>
      <w:rFonts w:ascii="Tahoma" w:hAnsi="Tahoma" w:cs="Tahoma"/>
      <w:sz w:val="16"/>
      <w:szCs w:val="16"/>
    </w:rPr>
  </w:style>
  <w:style w:type="paragraph" w:styleId="Duidelijkcitaat">
    <w:name w:val="Intense Quote"/>
    <w:basedOn w:val="Standaard"/>
    <w:next w:val="Standaard"/>
    <w:link w:val="DuidelijkcitaatChar"/>
    <w:uiPriority w:val="30"/>
    <w:qFormat/>
    <w:rsid w:val="005614FE"/>
    <w:pPr>
      <w:pBdr>
        <w:top w:val="single" w:sz="4" w:space="10" w:color="auto"/>
        <w:bottom w:val="single" w:sz="4" w:space="10" w:color="auto"/>
      </w:pBdr>
      <w:spacing w:before="240" w:after="240" w:line="300" w:lineRule="auto"/>
      <w:ind w:left="1152" w:right="1152"/>
    </w:pPr>
    <w:rPr>
      <w:i/>
      <w:iCs/>
    </w:rPr>
  </w:style>
  <w:style w:type="character" w:customStyle="1" w:styleId="DuidelijkcitaatChar">
    <w:name w:val="Duidelijk citaat Char"/>
    <w:basedOn w:val="Standaardalinea-lettertype"/>
    <w:link w:val="Duidelijkcitaat"/>
    <w:uiPriority w:val="30"/>
    <w:rsid w:val="005614FE"/>
    <w:rPr>
      <w:i/>
      <w:iCs/>
    </w:rPr>
  </w:style>
  <w:style w:type="character" w:customStyle="1" w:styleId="Kop1Char">
    <w:name w:val="Kop 1 Char"/>
    <w:basedOn w:val="Standaardalinea-lettertype"/>
    <w:link w:val="Kop1"/>
    <w:uiPriority w:val="9"/>
    <w:rsid w:val="005614FE"/>
    <w:rPr>
      <w:smallCaps/>
      <w:spacing w:val="5"/>
      <w:sz w:val="36"/>
      <w:szCs w:val="36"/>
    </w:rPr>
  </w:style>
  <w:style w:type="character" w:customStyle="1" w:styleId="Kop2Char">
    <w:name w:val="Kop 2 Char"/>
    <w:basedOn w:val="Standaardalinea-lettertype"/>
    <w:link w:val="Kop2"/>
    <w:uiPriority w:val="9"/>
    <w:rsid w:val="005614FE"/>
    <w:rPr>
      <w:smallCaps/>
      <w:sz w:val="28"/>
      <w:szCs w:val="28"/>
    </w:rPr>
  </w:style>
  <w:style w:type="character" w:customStyle="1" w:styleId="Kop3Char">
    <w:name w:val="Kop 3 Char"/>
    <w:basedOn w:val="Standaardalinea-lettertype"/>
    <w:link w:val="Kop3"/>
    <w:uiPriority w:val="9"/>
    <w:rsid w:val="005614FE"/>
    <w:rPr>
      <w:i/>
      <w:iCs/>
      <w:smallCaps/>
      <w:spacing w:val="5"/>
      <w:sz w:val="26"/>
      <w:szCs w:val="26"/>
    </w:rPr>
  </w:style>
  <w:style w:type="character" w:customStyle="1" w:styleId="Kop4Char">
    <w:name w:val="Kop 4 Char"/>
    <w:basedOn w:val="Standaardalinea-lettertype"/>
    <w:link w:val="Kop4"/>
    <w:uiPriority w:val="9"/>
    <w:rsid w:val="005614FE"/>
    <w:rPr>
      <w:b/>
      <w:bCs/>
      <w:spacing w:val="5"/>
      <w:sz w:val="24"/>
      <w:szCs w:val="24"/>
    </w:rPr>
  </w:style>
  <w:style w:type="character" w:customStyle="1" w:styleId="Kop5Char">
    <w:name w:val="Kop 5 Char"/>
    <w:basedOn w:val="Standaardalinea-lettertype"/>
    <w:link w:val="Kop5"/>
    <w:uiPriority w:val="9"/>
    <w:rsid w:val="005614FE"/>
    <w:rPr>
      <w:i/>
      <w:iCs/>
      <w:sz w:val="24"/>
      <w:szCs w:val="24"/>
    </w:rPr>
  </w:style>
  <w:style w:type="character" w:customStyle="1" w:styleId="Kop6Char">
    <w:name w:val="Kop 6 Char"/>
    <w:basedOn w:val="Standaardalinea-lettertype"/>
    <w:link w:val="Kop6"/>
    <w:uiPriority w:val="9"/>
    <w:semiHidden/>
    <w:rsid w:val="005614FE"/>
    <w:rPr>
      <w:b/>
      <w:bCs/>
      <w:color w:val="595959" w:themeColor="text1" w:themeTint="A6"/>
      <w:spacing w:val="5"/>
      <w:shd w:val="clear" w:color="auto" w:fill="FFFFFF" w:themeFill="background1"/>
    </w:rPr>
  </w:style>
  <w:style w:type="character" w:customStyle="1" w:styleId="Kop7Char">
    <w:name w:val="Kop 7 Char"/>
    <w:basedOn w:val="Standaardalinea-lettertype"/>
    <w:link w:val="Kop7"/>
    <w:uiPriority w:val="9"/>
    <w:semiHidden/>
    <w:rsid w:val="005614FE"/>
    <w:rPr>
      <w:b/>
      <w:bCs/>
      <w:i/>
      <w:iCs/>
      <w:color w:val="5A5A5A" w:themeColor="text1" w:themeTint="A5"/>
      <w:sz w:val="20"/>
      <w:szCs w:val="20"/>
    </w:rPr>
  </w:style>
  <w:style w:type="character" w:customStyle="1" w:styleId="Kop8Char">
    <w:name w:val="Kop 8 Char"/>
    <w:basedOn w:val="Standaardalinea-lettertype"/>
    <w:link w:val="Kop8"/>
    <w:uiPriority w:val="9"/>
    <w:semiHidden/>
    <w:rsid w:val="005614FE"/>
    <w:rPr>
      <w:b/>
      <w:bCs/>
      <w:color w:val="7F7F7F" w:themeColor="text1" w:themeTint="80"/>
      <w:sz w:val="20"/>
      <w:szCs w:val="20"/>
    </w:rPr>
  </w:style>
  <w:style w:type="character" w:customStyle="1" w:styleId="Kop9Char">
    <w:name w:val="Kop 9 Char"/>
    <w:basedOn w:val="Standaardalinea-lettertype"/>
    <w:link w:val="Kop9"/>
    <w:uiPriority w:val="9"/>
    <w:semiHidden/>
    <w:rsid w:val="005614FE"/>
    <w:rPr>
      <w:b/>
      <w:bCs/>
      <w:i/>
      <w:iCs/>
      <w:color w:val="7F7F7F" w:themeColor="text1" w:themeTint="80"/>
      <w:sz w:val="18"/>
      <w:szCs w:val="18"/>
    </w:rPr>
  </w:style>
  <w:style w:type="paragraph" w:styleId="Titel">
    <w:name w:val="Title"/>
    <w:basedOn w:val="Standaard"/>
    <w:next w:val="Standaard"/>
    <w:link w:val="TitelChar"/>
    <w:uiPriority w:val="10"/>
    <w:qFormat/>
    <w:rsid w:val="005614FE"/>
    <w:pPr>
      <w:spacing w:after="300" w:line="240" w:lineRule="auto"/>
      <w:contextualSpacing/>
    </w:pPr>
    <w:rPr>
      <w:smallCaps/>
      <w:sz w:val="52"/>
      <w:szCs w:val="52"/>
    </w:rPr>
  </w:style>
  <w:style w:type="character" w:customStyle="1" w:styleId="TitelChar">
    <w:name w:val="Titel Char"/>
    <w:basedOn w:val="Standaardalinea-lettertype"/>
    <w:link w:val="Titel"/>
    <w:uiPriority w:val="10"/>
    <w:rsid w:val="005614FE"/>
    <w:rPr>
      <w:smallCaps/>
      <w:sz w:val="52"/>
      <w:szCs w:val="52"/>
    </w:rPr>
  </w:style>
  <w:style w:type="paragraph" w:styleId="Ondertitel">
    <w:name w:val="Subtitle"/>
    <w:basedOn w:val="Standaard"/>
    <w:next w:val="Standaard"/>
    <w:link w:val="OndertitelChar"/>
    <w:uiPriority w:val="11"/>
    <w:qFormat/>
    <w:rsid w:val="005614FE"/>
    <w:rPr>
      <w:i/>
      <w:iCs/>
      <w:smallCaps/>
      <w:spacing w:val="10"/>
      <w:sz w:val="28"/>
      <w:szCs w:val="28"/>
    </w:rPr>
  </w:style>
  <w:style w:type="character" w:customStyle="1" w:styleId="OndertitelChar">
    <w:name w:val="Ondertitel Char"/>
    <w:basedOn w:val="Standaardalinea-lettertype"/>
    <w:link w:val="Ondertitel"/>
    <w:uiPriority w:val="11"/>
    <w:rsid w:val="005614FE"/>
    <w:rPr>
      <w:i/>
      <w:iCs/>
      <w:smallCaps/>
      <w:spacing w:val="10"/>
      <w:sz w:val="28"/>
      <w:szCs w:val="28"/>
    </w:rPr>
  </w:style>
  <w:style w:type="character" w:styleId="Zwaar">
    <w:name w:val="Strong"/>
    <w:uiPriority w:val="22"/>
    <w:qFormat/>
    <w:rsid w:val="005614FE"/>
    <w:rPr>
      <w:b/>
      <w:bCs/>
    </w:rPr>
  </w:style>
  <w:style w:type="character" w:styleId="Nadruk">
    <w:name w:val="Emphasis"/>
    <w:uiPriority w:val="20"/>
    <w:qFormat/>
    <w:rsid w:val="005614FE"/>
    <w:rPr>
      <w:b/>
      <w:bCs/>
      <w:i/>
      <w:iCs/>
      <w:spacing w:val="10"/>
    </w:rPr>
  </w:style>
  <w:style w:type="paragraph" w:styleId="Geenafstand">
    <w:name w:val="No Spacing"/>
    <w:basedOn w:val="Standaard"/>
    <w:uiPriority w:val="1"/>
    <w:qFormat/>
    <w:rsid w:val="005614FE"/>
    <w:pPr>
      <w:spacing w:after="0" w:line="240" w:lineRule="auto"/>
    </w:pPr>
  </w:style>
  <w:style w:type="paragraph" w:styleId="Lijstalinea">
    <w:name w:val="List Paragraph"/>
    <w:basedOn w:val="Standaard"/>
    <w:uiPriority w:val="34"/>
    <w:qFormat/>
    <w:rsid w:val="005614FE"/>
    <w:pPr>
      <w:ind w:left="720"/>
      <w:contextualSpacing/>
    </w:pPr>
  </w:style>
  <w:style w:type="paragraph" w:styleId="Citaat">
    <w:name w:val="Quote"/>
    <w:basedOn w:val="Standaard"/>
    <w:next w:val="Standaard"/>
    <w:link w:val="CitaatChar"/>
    <w:uiPriority w:val="29"/>
    <w:qFormat/>
    <w:rsid w:val="005614FE"/>
    <w:rPr>
      <w:i/>
      <w:iCs/>
    </w:rPr>
  </w:style>
  <w:style w:type="character" w:customStyle="1" w:styleId="CitaatChar">
    <w:name w:val="Citaat Char"/>
    <w:basedOn w:val="Standaardalinea-lettertype"/>
    <w:link w:val="Citaat"/>
    <w:uiPriority w:val="29"/>
    <w:rsid w:val="005614FE"/>
    <w:rPr>
      <w:i/>
      <w:iCs/>
    </w:rPr>
  </w:style>
  <w:style w:type="character" w:styleId="Subtielebenadrukking">
    <w:name w:val="Subtle Emphasis"/>
    <w:uiPriority w:val="19"/>
    <w:qFormat/>
    <w:rsid w:val="005614FE"/>
    <w:rPr>
      <w:i/>
      <w:iCs/>
    </w:rPr>
  </w:style>
  <w:style w:type="character" w:styleId="Intensievebenadrukking">
    <w:name w:val="Intense Emphasis"/>
    <w:uiPriority w:val="21"/>
    <w:qFormat/>
    <w:rsid w:val="005614FE"/>
    <w:rPr>
      <w:b/>
      <w:bCs/>
      <w:i/>
      <w:iCs/>
    </w:rPr>
  </w:style>
  <w:style w:type="character" w:styleId="Subtieleverwijzing">
    <w:name w:val="Subtle Reference"/>
    <w:basedOn w:val="Standaardalinea-lettertype"/>
    <w:uiPriority w:val="31"/>
    <w:qFormat/>
    <w:rsid w:val="005614FE"/>
    <w:rPr>
      <w:smallCaps/>
    </w:rPr>
  </w:style>
  <w:style w:type="character" w:styleId="Intensieveverwijzing">
    <w:name w:val="Intense Reference"/>
    <w:uiPriority w:val="32"/>
    <w:qFormat/>
    <w:rsid w:val="005614FE"/>
    <w:rPr>
      <w:b/>
      <w:bCs/>
      <w:smallCaps/>
    </w:rPr>
  </w:style>
  <w:style w:type="character" w:styleId="Titelvanboek">
    <w:name w:val="Book Title"/>
    <w:basedOn w:val="Standaardalinea-lettertype"/>
    <w:uiPriority w:val="33"/>
    <w:qFormat/>
    <w:rsid w:val="005614FE"/>
    <w:rPr>
      <w:i/>
      <w:iCs/>
      <w:smallCaps/>
      <w:spacing w:val="5"/>
    </w:rPr>
  </w:style>
  <w:style w:type="paragraph" w:styleId="Kopvaninhoudsopgave">
    <w:name w:val="TOC Heading"/>
    <w:basedOn w:val="Kop1"/>
    <w:next w:val="Standaard"/>
    <w:uiPriority w:val="39"/>
    <w:semiHidden/>
    <w:unhideWhenUsed/>
    <w:qFormat/>
    <w:rsid w:val="005614FE"/>
    <w:pPr>
      <w:outlineLvl w:val="9"/>
    </w:pPr>
  </w:style>
  <w:style w:type="table" w:styleId="Tabelraster">
    <w:name w:val="Table Grid"/>
    <w:basedOn w:val="Standaardtabel"/>
    <w:uiPriority w:val="59"/>
    <w:rsid w:val="005614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AB089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B0894"/>
  </w:style>
  <w:style w:type="paragraph" w:styleId="Voettekst">
    <w:name w:val="footer"/>
    <w:basedOn w:val="Standaard"/>
    <w:link w:val="VoettekstChar"/>
    <w:uiPriority w:val="99"/>
    <w:unhideWhenUsed/>
    <w:rsid w:val="00AB089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B0894"/>
  </w:style>
  <w:style w:type="paragraph" w:customStyle="1" w:styleId="CM1">
    <w:name w:val="CM1"/>
    <w:basedOn w:val="Standaard"/>
    <w:next w:val="Standaard"/>
    <w:uiPriority w:val="99"/>
    <w:rsid w:val="00E82B11"/>
    <w:pPr>
      <w:autoSpaceDE w:val="0"/>
      <w:autoSpaceDN w:val="0"/>
      <w:adjustRightInd w:val="0"/>
      <w:spacing w:after="0" w:line="240" w:lineRule="auto"/>
      <w:jc w:val="left"/>
    </w:pPr>
    <w:rPr>
      <w:rFonts w:ascii="EUAlbertina" w:hAnsi="EUAlbertina"/>
      <w:szCs w:val="24"/>
    </w:rPr>
  </w:style>
  <w:style w:type="paragraph" w:customStyle="1" w:styleId="CM3">
    <w:name w:val="CM3"/>
    <w:basedOn w:val="Standaard"/>
    <w:next w:val="Standaard"/>
    <w:uiPriority w:val="99"/>
    <w:rsid w:val="00E82B11"/>
    <w:pPr>
      <w:autoSpaceDE w:val="0"/>
      <w:autoSpaceDN w:val="0"/>
      <w:adjustRightInd w:val="0"/>
      <w:spacing w:after="0" w:line="240" w:lineRule="auto"/>
      <w:jc w:val="left"/>
    </w:pPr>
    <w:rPr>
      <w:rFonts w:ascii="EUAlbertina" w:hAnsi="EUAlbertina"/>
      <w:szCs w:val="24"/>
    </w:rPr>
  </w:style>
  <w:style w:type="character" w:styleId="Hyperlink">
    <w:name w:val="Hyperlink"/>
    <w:basedOn w:val="Standaardalinea-lettertype"/>
    <w:uiPriority w:val="99"/>
    <w:unhideWhenUsed/>
    <w:rsid w:val="00576DB6"/>
    <w:rPr>
      <w:color w:val="0000FF" w:themeColor="hyperlink"/>
      <w:u w:val="single"/>
    </w:rPr>
  </w:style>
  <w:style w:type="paragraph" w:customStyle="1" w:styleId="Default">
    <w:name w:val="Default"/>
    <w:rsid w:val="00297AA5"/>
    <w:pPr>
      <w:autoSpaceDE w:val="0"/>
      <w:autoSpaceDN w:val="0"/>
      <w:adjustRightInd w:val="0"/>
      <w:spacing w:after="0" w:line="240" w:lineRule="auto"/>
    </w:pPr>
    <w:rPr>
      <w:rFonts w:ascii="EUAlbertina" w:eastAsia="Calibri" w:hAnsi="EUAlbertina" w:cs="EUAlbertina"/>
      <w:color w:val="000000"/>
      <w:sz w:val="24"/>
      <w:szCs w:val="24"/>
    </w:rPr>
  </w:style>
  <w:style w:type="paragraph" w:styleId="Inhopg1">
    <w:name w:val="toc 1"/>
    <w:basedOn w:val="Standaard"/>
    <w:next w:val="Standaard"/>
    <w:autoRedefine/>
    <w:uiPriority w:val="39"/>
    <w:unhideWhenUsed/>
    <w:rsid w:val="00E74292"/>
    <w:pPr>
      <w:spacing w:after="100"/>
    </w:pPr>
  </w:style>
  <w:style w:type="paragraph" w:styleId="Inhopg2">
    <w:name w:val="toc 2"/>
    <w:basedOn w:val="Standaard"/>
    <w:next w:val="Standaard"/>
    <w:autoRedefine/>
    <w:uiPriority w:val="39"/>
    <w:unhideWhenUsed/>
    <w:rsid w:val="00E74292"/>
    <w:pPr>
      <w:spacing w:after="100"/>
      <w:ind w:left="240"/>
    </w:pPr>
  </w:style>
  <w:style w:type="paragraph" w:styleId="Inhopg3">
    <w:name w:val="toc 3"/>
    <w:basedOn w:val="Standaard"/>
    <w:next w:val="Standaard"/>
    <w:autoRedefine/>
    <w:uiPriority w:val="39"/>
    <w:unhideWhenUsed/>
    <w:rsid w:val="00965591"/>
    <w:pPr>
      <w:tabs>
        <w:tab w:val="left" w:pos="1100"/>
        <w:tab w:val="right" w:leader="dot" w:pos="9062"/>
      </w:tabs>
      <w:spacing w:after="100"/>
      <w:ind w:left="480"/>
    </w:pPr>
    <w:rPr>
      <w:noProof/>
    </w:rPr>
  </w:style>
  <w:style w:type="character" w:customStyle="1" w:styleId="citecrochet1">
    <w:name w:val="cite_crochet1"/>
    <w:basedOn w:val="Standaardalinea-lettertype"/>
    <w:rsid w:val="00321CB6"/>
    <w:rPr>
      <w:vanish/>
      <w:webHidden w:val="0"/>
      <w:specVanish w:val="0"/>
    </w:rPr>
  </w:style>
  <w:style w:type="paragraph" w:styleId="HTML-voorafopgemaakt">
    <w:name w:val="HTML Preformatted"/>
    <w:basedOn w:val="Standaard"/>
    <w:link w:val="HTML-voorafopgemaaktChar"/>
    <w:uiPriority w:val="99"/>
    <w:semiHidden/>
    <w:unhideWhenUsed/>
    <w:rsid w:val="00E37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val="nl-BE" w:eastAsia="nl-BE" w:bidi="ar-SA"/>
    </w:rPr>
  </w:style>
  <w:style w:type="character" w:customStyle="1" w:styleId="HTML-voorafopgemaaktChar">
    <w:name w:val="HTML - vooraf opgemaakt Char"/>
    <w:basedOn w:val="Standaardalinea-lettertype"/>
    <w:link w:val="HTML-voorafopgemaakt"/>
    <w:uiPriority w:val="99"/>
    <w:semiHidden/>
    <w:rsid w:val="00E3792E"/>
    <w:rPr>
      <w:rFonts w:ascii="Courier New" w:eastAsia="Times New Roman" w:hAnsi="Courier New" w:cs="Courier New"/>
      <w:sz w:val="20"/>
      <w:szCs w:val="20"/>
      <w:lang w:val="nl-BE" w:eastAsia="nl-BE" w:bidi="ar-SA"/>
    </w:rPr>
  </w:style>
  <w:style w:type="paragraph" w:customStyle="1" w:styleId="Letter">
    <w:name w:val="Letter"/>
    <w:basedOn w:val="Standaard"/>
    <w:rsid w:val="009B5789"/>
    <w:pPr>
      <w:spacing w:after="0" w:line="240" w:lineRule="auto"/>
      <w:jc w:val="left"/>
    </w:pPr>
    <w:rPr>
      <w:rFonts w:ascii="Arial" w:eastAsia="Times New Roman" w:hAnsi="Arial" w:cs="Times New Roman"/>
      <w:sz w:val="22"/>
      <w:szCs w:val="20"/>
      <w:lang w:eastAsia="en-US" w:bidi="ar-SA"/>
    </w:rPr>
  </w:style>
  <w:style w:type="paragraph" w:styleId="Normaalweb">
    <w:name w:val="Normal (Web)"/>
    <w:basedOn w:val="Standaard"/>
    <w:uiPriority w:val="99"/>
    <w:semiHidden/>
    <w:unhideWhenUsed/>
    <w:rsid w:val="00A779F6"/>
    <w:pPr>
      <w:spacing w:before="100" w:beforeAutospacing="1" w:after="100" w:afterAutospacing="1" w:line="240" w:lineRule="auto"/>
      <w:jc w:val="left"/>
    </w:pPr>
    <w:rPr>
      <w:rFonts w:ascii="Times New Roman" w:eastAsiaTheme="minorHAnsi" w:hAnsi="Times New Roman" w:cs="Times New Roman"/>
      <w:szCs w:val="24"/>
      <w:lang w:val="en-US" w:eastAsia="en-US" w:bidi="ar-SA"/>
    </w:rPr>
  </w:style>
  <w:style w:type="character" w:styleId="Verwijzingopmerking">
    <w:name w:val="annotation reference"/>
    <w:basedOn w:val="Standaardalinea-lettertype"/>
    <w:uiPriority w:val="99"/>
    <w:semiHidden/>
    <w:unhideWhenUsed/>
    <w:rsid w:val="00A3247B"/>
    <w:rPr>
      <w:sz w:val="16"/>
      <w:szCs w:val="16"/>
    </w:rPr>
  </w:style>
  <w:style w:type="paragraph" w:styleId="Tekstopmerking">
    <w:name w:val="annotation text"/>
    <w:basedOn w:val="Standaard"/>
    <w:link w:val="TekstopmerkingChar"/>
    <w:uiPriority w:val="99"/>
    <w:semiHidden/>
    <w:unhideWhenUsed/>
    <w:rsid w:val="00A3247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3247B"/>
    <w:rPr>
      <w:rFonts w:ascii="Gill Sans MT" w:hAnsi="Gill Sans MT"/>
      <w:sz w:val="20"/>
      <w:szCs w:val="20"/>
    </w:rPr>
  </w:style>
  <w:style w:type="paragraph" w:styleId="Onderwerpvanopmerking">
    <w:name w:val="annotation subject"/>
    <w:basedOn w:val="Tekstopmerking"/>
    <w:next w:val="Tekstopmerking"/>
    <w:link w:val="OnderwerpvanopmerkingChar"/>
    <w:uiPriority w:val="99"/>
    <w:semiHidden/>
    <w:unhideWhenUsed/>
    <w:rsid w:val="00A3247B"/>
    <w:rPr>
      <w:b/>
      <w:bCs/>
    </w:rPr>
  </w:style>
  <w:style w:type="character" w:customStyle="1" w:styleId="OnderwerpvanopmerkingChar">
    <w:name w:val="Onderwerp van opmerking Char"/>
    <w:basedOn w:val="TekstopmerkingChar"/>
    <w:link w:val="Onderwerpvanopmerking"/>
    <w:uiPriority w:val="99"/>
    <w:semiHidden/>
    <w:rsid w:val="00A3247B"/>
    <w:rPr>
      <w:rFonts w:ascii="Gill Sans MT" w:hAnsi="Gill Sans M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288198">
      <w:bodyDiv w:val="1"/>
      <w:marLeft w:val="0"/>
      <w:marRight w:val="0"/>
      <w:marTop w:val="0"/>
      <w:marBottom w:val="0"/>
      <w:divBdr>
        <w:top w:val="none" w:sz="0" w:space="0" w:color="auto"/>
        <w:left w:val="none" w:sz="0" w:space="0" w:color="auto"/>
        <w:bottom w:val="none" w:sz="0" w:space="0" w:color="auto"/>
        <w:right w:val="none" w:sz="0" w:space="0" w:color="auto"/>
      </w:divBdr>
      <w:divsChild>
        <w:div w:id="754788849">
          <w:marLeft w:val="0"/>
          <w:marRight w:val="0"/>
          <w:marTop w:val="0"/>
          <w:marBottom w:val="0"/>
          <w:divBdr>
            <w:top w:val="none" w:sz="0" w:space="0" w:color="auto"/>
            <w:left w:val="none" w:sz="0" w:space="0" w:color="auto"/>
            <w:bottom w:val="none" w:sz="0" w:space="0" w:color="auto"/>
            <w:right w:val="none" w:sz="0" w:space="0" w:color="auto"/>
          </w:divBdr>
          <w:divsChild>
            <w:div w:id="483399492">
              <w:marLeft w:val="0"/>
              <w:marRight w:val="0"/>
              <w:marTop w:val="0"/>
              <w:marBottom w:val="0"/>
              <w:divBdr>
                <w:top w:val="none" w:sz="0" w:space="0" w:color="auto"/>
                <w:left w:val="none" w:sz="0" w:space="0" w:color="auto"/>
                <w:bottom w:val="none" w:sz="0" w:space="0" w:color="auto"/>
                <w:right w:val="none" w:sz="0" w:space="0" w:color="auto"/>
              </w:divBdr>
              <w:divsChild>
                <w:div w:id="864830796">
                  <w:marLeft w:val="0"/>
                  <w:marRight w:val="0"/>
                  <w:marTop w:val="0"/>
                  <w:marBottom w:val="0"/>
                  <w:divBdr>
                    <w:top w:val="none" w:sz="0" w:space="0" w:color="auto"/>
                    <w:left w:val="none" w:sz="0" w:space="0" w:color="auto"/>
                    <w:bottom w:val="none" w:sz="0" w:space="0" w:color="auto"/>
                    <w:right w:val="none" w:sz="0" w:space="0" w:color="auto"/>
                  </w:divBdr>
                  <w:divsChild>
                    <w:div w:id="1680546729">
                      <w:marLeft w:val="0"/>
                      <w:marRight w:val="0"/>
                      <w:marTop w:val="0"/>
                      <w:marBottom w:val="0"/>
                      <w:divBdr>
                        <w:top w:val="none" w:sz="0" w:space="0" w:color="auto"/>
                        <w:left w:val="none" w:sz="0" w:space="0" w:color="auto"/>
                        <w:bottom w:val="none" w:sz="0" w:space="0" w:color="auto"/>
                        <w:right w:val="none" w:sz="0" w:space="0" w:color="auto"/>
                      </w:divBdr>
                      <w:divsChild>
                        <w:div w:id="611865735">
                          <w:marLeft w:val="0"/>
                          <w:marRight w:val="0"/>
                          <w:marTop w:val="45"/>
                          <w:marBottom w:val="0"/>
                          <w:divBdr>
                            <w:top w:val="none" w:sz="0" w:space="0" w:color="auto"/>
                            <w:left w:val="none" w:sz="0" w:space="0" w:color="auto"/>
                            <w:bottom w:val="none" w:sz="0" w:space="0" w:color="auto"/>
                            <w:right w:val="none" w:sz="0" w:space="0" w:color="auto"/>
                          </w:divBdr>
                          <w:divsChild>
                            <w:div w:id="1302733080">
                              <w:marLeft w:val="0"/>
                              <w:marRight w:val="0"/>
                              <w:marTop w:val="0"/>
                              <w:marBottom w:val="0"/>
                              <w:divBdr>
                                <w:top w:val="none" w:sz="0" w:space="0" w:color="auto"/>
                                <w:left w:val="none" w:sz="0" w:space="0" w:color="auto"/>
                                <w:bottom w:val="none" w:sz="0" w:space="0" w:color="auto"/>
                                <w:right w:val="none" w:sz="0" w:space="0" w:color="auto"/>
                              </w:divBdr>
                              <w:divsChild>
                                <w:div w:id="402601282">
                                  <w:marLeft w:val="2070"/>
                                  <w:marRight w:val="3810"/>
                                  <w:marTop w:val="0"/>
                                  <w:marBottom w:val="0"/>
                                  <w:divBdr>
                                    <w:top w:val="none" w:sz="0" w:space="0" w:color="auto"/>
                                    <w:left w:val="none" w:sz="0" w:space="0" w:color="auto"/>
                                    <w:bottom w:val="none" w:sz="0" w:space="0" w:color="auto"/>
                                    <w:right w:val="none" w:sz="0" w:space="0" w:color="auto"/>
                                  </w:divBdr>
                                  <w:divsChild>
                                    <w:div w:id="873427840">
                                      <w:marLeft w:val="0"/>
                                      <w:marRight w:val="0"/>
                                      <w:marTop w:val="0"/>
                                      <w:marBottom w:val="0"/>
                                      <w:divBdr>
                                        <w:top w:val="none" w:sz="0" w:space="0" w:color="auto"/>
                                        <w:left w:val="none" w:sz="0" w:space="0" w:color="auto"/>
                                        <w:bottom w:val="none" w:sz="0" w:space="0" w:color="auto"/>
                                        <w:right w:val="none" w:sz="0" w:space="0" w:color="auto"/>
                                      </w:divBdr>
                                      <w:divsChild>
                                        <w:div w:id="1424911876">
                                          <w:marLeft w:val="0"/>
                                          <w:marRight w:val="0"/>
                                          <w:marTop w:val="0"/>
                                          <w:marBottom w:val="0"/>
                                          <w:divBdr>
                                            <w:top w:val="none" w:sz="0" w:space="0" w:color="auto"/>
                                            <w:left w:val="none" w:sz="0" w:space="0" w:color="auto"/>
                                            <w:bottom w:val="none" w:sz="0" w:space="0" w:color="auto"/>
                                            <w:right w:val="none" w:sz="0" w:space="0" w:color="auto"/>
                                          </w:divBdr>
                                          <w:divsChild>
                                            <w:div w:id="1848515828">
                                              <w:marLeft w:val="0"/>
                                              <w:marRight w:val="0"/>
                                              <w:marTop w:val="0"/>
                                              <w:marBottom w:val="0"/>
                                              <w:divBdr>
                                                <w:top w:val="none" w:sz="0" w:space="0" w:color="auto"/>
                                                <w:left w:val="none" w:sz="0" w:space="0" w:color="auto"/>
                                                <w:bottom w:val="none" w:sz="0" w:space="0" w:color="auto"/>
                                                <w:right w:val="none" w:sz="0" w:space="0" w:color="auto"/>
                                              </w:divBdr>
                                              <w:divsChild>
                                                <w:div w:id="273097686">
                                                  <w:marLeft w:val="0"/>
                                                  <w:marRight w:val="0"/>
                                                  <w:marTop w:val="0"/>
                                                  <w:marBottom w:val="0"/>
                                                  <w:divBdr>
                                                    <w:top w:val="none" w:sz="0" w:space="0" w:color="auto"/>
                                                    <w:left w:val="none" w:sz="0" w:space="0" w:color="auto"/>
                                                    <w:bottom w:val="none" w:sz="0" w:space="0" w:color="auto"/>
                                                    <w:right w:val="none" w:sz="0" w:space="0" w:color="auto"/>
                                                  </w:divBdr>
                                                  <w:divsChild>
                                                    <w:div w:id="599994085">
                                                      <w:marLeft w:val="0"/>
                                                      <w:marRight w:val="0"/>
                                                      <w:marTop w:val="0"/>
                                                      <w:marBottom w:val="0"/>
                                                      <w:divBdr>
                                                        <w:top w:val="none" w:sz="0" w:space="0" w:color="auto"/>
                                                        <w:left w:val="none" w:sz="0" w:space="0" w:color="auto"/>
                                                        <w:bottom w:val="none" w:sz="0" w:space="0" w:color="auto"/>
                                                        <w:right w:val="none" w:sz="0" w:space="0" w:color="auto"/>
                                                      </w:divBdr>
                                                      <w:divsChild>
                                                        <w:div w:id="1212767783">
                                                          <w:marLeft w:val="0"/>
                                                          <w:marRight w:val="0"/>
                                                          <w:marTop w:val="0"/>
                                                          <w:marBottom w:val="345"/>
                                                          <w:divBdr>
                                                            <w:top w:val="none" w:sz="0" w:space="0" w:color="auto"/>
                                                            <w:left w:val="none" w:sz="0" w:space="0" w:color="auto"/>
                                                            <w:bottom w:val="none" w:sz="0" w:space="0" w:color="auto"/>
                                                            <w:right w:val="none" w:sz="0" w:space="0" w:color="auto"/>
                                                          </w:divBdr>
                                                          <w:divsChild>
                                                            <w:div w:id="836187715">
                                                              <w:marLeft w:val="0"/>
                                                              <w:marRight w:val="0"/>
                                                              <w:marTop w:val="0"/>
                                                              <w:marBottom w:val="0"/>
                                                              <w:divBdr>
                                                                <w:top w:val="none" w:sz="0" w:space="0" w:color="auto"/>
                                                                <w:left w:val="none" w:sz="0" w:space="0" w:color="auto"/>
                                                                <w:bottom w:val="none" w:sz="0" w:space="0" w:color="auto"/>
                                                                <w:right w:val="none" w:sz="0" w:space="0" w:color="auto"/>
                                                              </w:divBdr>
                                                              <w:divsChild>
                                                                <w:div w:id="1969120378">
                                                                  <w:marLeft w:val="0"/>
                                                                  <w:marRight w:val="0"/>
                                                                  <w:marTop w:val="0"/>
                                                                  <w:marBottom w:val="0"/>
                                                                  <w:divBdr>
                                                                    <w:top w:val="none" w:sz="0" w:space="0" w:color="auto"/>
                                                                    <w:left w:val="none" w:sz="0" w:space="0" w:color="auto"/>
                                                                    <w:bottom w:val="none" w:sz="0" w:space="0" w:color="auto"/>
                                                                    <w:right w:val="none" w:sz="0" w:space="0" w:color="auto"/>
                                                                  </w:divBdr>
                                                                  <w:divsChild>
                                                                    <w:div w:id="560597850">
                                                                      <w:marLeft w:val="0"/>
                                                                      <w:marRight w:val="0"/>
                                                                      <w:marTop w:val="0"/>
                                                                      <w:marBottom w:val="0"/>
                                                                      <w:divBdr>
                                                                        <w:top w:val="none" w:sz="0" w:space="0" w:color="auto"/>
                                                                        <w:left w:val="none" w:sz="0" w:space="0" w:color="auto"/>
                                                                        <w:bottom w:val="none" w:sz="0" w:space="0" w:color="auto"/>
                                                                        <w:right w:val="none" w:sz="0" w:space="0" w:color="auto"/>
                                                                      </w:divBdr>
                                                                      <w:divsChild>
                                                                        <w:div w:id="387150296">
                                                                          <w:marLeft w:val="0"/>
                                                                          <w:marRight w:val="0"/>
                                                                          <w:marTop w:val="0"/>
                                                                          <w:marBottom w:val="0"/>
                                                                          <w:divBdr>
                                                                            <w:top w:val="none" w:sz="0" w:space="0" w:color="auto"/>
                                                                            <w:left w:val="none" w:sz="0" w:space="0" w:color="auto"/>
                                                                            <w:bottom w:val="none" w:sz="0" w:space="0" w:color="auto"/>
                                                                            <w:right w:val="none" w:sz="0" w:space="0" w:color="auto"/>
                                                                          </w:divBdr>
                                                                          <w:divsChild>
                                                                            <w:div w:id="885725016">
                                                                              <w:marLeft w:val="0"/>
                                                                              <w:marRight w:val="0"/>
                                                                              <w:marTop w:val="0"/>
                                                                              <w:marBottom w:val="0"/>
                                                                              <w:divBdr>
                                                                                <w:top w:val="none" w:sz="0" w:space="0" w:color="auto"/>
                                                                                <w:left w:val="none" w:sz="0" w:space="0" w:color="auto"/>
                                                                                <w:bottom w:val="none" w:sz="0" w:space="0" w:color="auto"/>
                                                                                <w:right w:val="none" w:sz="0" w:space="0" w:color="auto"/>
                                                                              </w:divBdr>
                                                                              <w:divsChild>
                                                                                <w:div w:id="832065356">
                                                                                  <w:marLeft w:val="0"/>
                                                                                  <w:marRight w:val="0"/>
                                                                                  <w:marTop w:val="0"/>
                                                                                  <w:marBottom w:val="0"/>
                                                                                  <w:divBdr>
                                                                                    <w:top w:val="none" w:sz="0" w:space="0" w:color="auto"/>
                                                                                    <w:left w:val="none" w:sz="0" w:space="0" w:color="auto"/>
                                                                                    <w:bottom w:val="none" w:sz="0" w:space="0" w:color="auto"/>
                                                                                    <w:right w:val="none" w:sz="0" w:space="0" w:color="auto"/>
                                                                                  </w:divBdr>
                                                                                  <w:divsChild>
                                                                                    <w:div w:id="2130008532">
                                                                                      <w:marLeft w:val="0"/>
                                                                                      <w:marRight w:val="0"/>
                                                                                      <w:marTop w:val="0"/>
                                                                                      <w:marBottom w:val="0"/>
                                                                                      <w:divBdr>
                                                                                        <w:top w:val="none" w:sz="0" w:space="0" w:color="auto"/>
                                                                                        <w:left w:val="none" w:sz="0" w:space="0" w:color="auto"/>
                                                                                        <w:bottom w:val="none" w:sz="0" w:space="0" w:color="auto"/>
                                                                                        <w:right w:val="none" w:sz="0" w:space="0" w:color="auto"/>
                                                                                      </w:divBdr>
                                                                                      <w:divsChild>
                                                                                        <w:div w:id="28759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2646200">
      <w:bodyDiv w:val="1"/>
      <w:marLeft w:val="0"/>
      <w:marRight w:val="0"/>
      <w:marTop w:val="0"/>
      <w:marBottom w:val="0"/>
      <w:divBdr>
        <w:top w:val="none" w:sz="0" w:space="0" w:color="auto"/>
        <w:left w:val="none" w:sz="0" w:space="0" w:color="auto"/>
        <w:bottom w:val="none" w:sz="0" w:space="0" w:color="auto"/>
        <w:right w:val="none" w:sz="0" w:space="0" w:color="auto"/>
      </w:divBdr>
    </w:div>
    <w:div w:id="407963301">
      <w:bodyDiv w:val="1"/>
      <w:marLeft w:val="0"/>
      <w:marRight w:val="0"/>
      <w:marTop w:val="0"/>
      <w:marBottom w:val="0"/>
      <w:divBdr>
        <w:top w:val="none" w:sz="0" w:space="0" w:color="auto"/>
        <w:left w:val="none" w:sz="0" w:space="0" w:color="auto"/>
        <w:bottom w:val="none" w:sz="0" w:space="0" w:color="auto"/>
        <w:right w:val="none" w:sz="0" w:space="0" w:color="auto"/>
      </w:divBdr>
    </w:div>
    <w:div w:id="574435709">
      <w:bodyDiv w:val="1"/>
      <w:marLeft w:val="0"/>
      <w:marRight w:val="0"/>
      <w:marTop w:val="0"/>
      <w:marBottom w:val="0"/>
      <w:divBdr>
        <w:top w:val="none" w:sz="0" w:space="0" w:color="auto"/>
        <w:left w:val="none" w:sz="0" w:space="0" w:color="auto"/>
        <w:bottom w:val="none" w:sz="0" w:space="0" w:color="auto"/>
        <w:right w:val="none" w:sz="0" w:space="0" w:color="auto"/>
      </w:divBdr>
    </w:div>
    <w:div w:id="795639444">
      <w:bodyDiv w:val="1"/>
      <w:marLeft w:val="0"/>
      <w:marRight w:val="0"/>
      <w:marTop w:val="0"/>
      <w:marBottom w:val="0"/>
      <w:divBdr>
        <w:top w:val="none" w:sz="0" w:space="0" w:color="auto"/>
        <w:left w:val="none" w:sz="0" w:space="0" w:color="auto"/>
        <w:bottom w:val="none" w:sz="0" w:space="0" w:color="auto"/>
        <w:right w:val="none" w:sz="0" w:space="0" w:color="auto"/>
      </w:divBdr>
      <w:divsChild>
        <w:div w:id="117918139">
          <w:marLeft w:val="0"/>
          <w:marRight w:val="0"/>
          <w:marTop w:val="0"/>
          <w:marBottom w:val="0"/>
          <w:divBdr>
            <w:top w:val="none" w:sz="0" w:space="0" w:color="auto"/>
            <w:left w:val="none" w:sz="0" w:space="0" w:color="auto"/>
            <w:bottom w:val="none" w:sz="0" w:space="0" w:color="auto"/>
            <w:right w:val="none" w:sz="0" w:space="0" w:color="auto"/>
          </w:divBdr>
          <w:divsChild>
            <w:div w:id="295989673">
              <w:marLeft w:val="0"/>
              <w:marRight w:val="0"/>
              <w:marTop w:val="0"/>
              <w:marBottom w:val="0"/>
              <w:divBdr>
                <w:top w:val="none" w:sz="0" w:space="0" w:color="auto"/>
                <w:left w:val="single" w:sz="2" w:space="0" w:color="D5D5D4"/>
                <w:bottom w:val="none" w:sz="0" w:space="0" w:color="auto"/>
                <w:right w:val="single" w:sz="2" w:space="0" w:color="D5D5D4"/>
              </w:divBdr>
              <w:divsChild>
                <w:div w:id="668410613">
                  <w:marLeft w:val="0"/>
                  <w:marRight w:val="0"/>
                  <w:marTop w:val="0"/>
                  <w:marBottom w:val="0"/>
                  <w:divBdr>
                    <w:top w:val="none" w:sz="0" w:space="0" w:color="auto"/>
                    <w:left w:val="none" w:sz="0" w:space="0" w:color="auto"/>
                    <w:bottom w:val="none" w:sz="0" w:space="0" w:color="auto"/>
                    <w:right w:val="none" w:sz="0" w:space="0" w:color="auto"/>
                  </w:divBdr>
                  <w:divsChild>
                    <w:div w:id="861165855">
                      <w:marLeft w:val="0"/>
                      <w:marRight w:val="150"/>
                      <w:marTop w:val="0"/>
                      <w:marBottom w:val="180"/>
                      <w:divBdr>
                        <w:top w:val="none" w:sz="0" w:space="0" w:color="auto"/>
                        <w:left w:val="single" w:sz="6" w:space="11" w:color="B5D792"/>
                        <w:bottom w:val="single" w:sz="36" w:space="15" w:color="B5D792"/>
                        <w:right w:val="single" w:sz="6" w:space="0" w:color="B5D792"/>
                      </w:divBdr>
                      <w:divsChild>
                        <w:div w:id="1976179118">
                          <w:marLeft w:val="0"/>
                          <w:marRight w:val="45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9530108">
      <w:bodyDiv w:val="1"/>
      <w:marLeft w:val="0"/>
      <w:marRight w:val="0"/>
      <w:marTop w:val="0"/>
      <w:marBottom w:val="0"/>
      <w:divBdr>
        <w:top w:val="none" w:sz="0" w:space="0" w:color="auto"/>
        <w:left w:val="none" w:sz="0" w:space="0" w:color="auto"/>
        <w:bottom w:val="none" w:sz="0" w:space="0" w:color="auto"/>
        <w:right w:val="none" w:sz="0" w:space="0" w:color="auto"/>
      </w:divBdr>
    </w:div>
    <w:div w:id="991180539">
      <w:bodyDiv w:val="1"/>
      <w:marLeft w:val="0"/>
      <w:marRight w:val="0"/>
      <w:marTop w:val="0"/>
      <w:marBottom w:val="0"/>
      <w:divBdr>
        <w:top w:val="none" w:sz="0" w:space="0" w:color="auto"/>
        <w:left w:val="none" w:sz="0" w:space="0" w:color="auto"/>
        <w:bottom w:val="none" w:sz="0" w:space="0" w:color="auto"/>
        <w:right w:val="none" w:sz="0" w:space="0" w:color="auto"/>
      </w:divBdr>
    </w:div>
    <w:div w:id="1005934582">
      <w:bodyDiv w:val="1"/>
      <w:marLeft w:val="0"/>
      <w:marRight w:val="0"/>
      <w:marTop w:val="0"/>
      <w:marBottom w:val="0"/>
      <w:divBdr>
        <w:top w:val="none" w:sz="0" w:space="0" w:color="auto"/>
        <w:left w:val="none" w:sz="0" w:space="0" w:color="auto"/>
        <w:bottom w:val="none" w:sz="0" w:space="0" w:color="auto"/>
        <w:right w:val="none" w:sz="0" w:space="0" w:color="auto"/>
      </w:divBdr>
    </w:div>
    <w:div w:id="1234394908">
      <w:bodyDiv w:val="1"/>
      <w:marLeft w:val="0"/>
      <w:marRight w:val="0"/>
      <w:marTop w:val="0"/>
      <w:marBottom w:val="0"/>
      <w:divBdr>
        <w:top w:val="none" w:sz="0" w:space="0" w:color="auto"/>
        <w:left w:val="none" w:sz="0" w:space="0" w:color="auto"/>
        <w:bottom w:val="none" w:sz="0" w:space="0" w:color="auto"/>
        <w:right w:val="none" w:sz="0" w:space="0" w:color="auto"/>
      </w:divBdr>
    </w:div>
    <w:div w:id="1333415239">
      <w:bodyDiv w:val="1"/>
      <w:marLeft w:val="0"/>
      <w:marRight w:val="0"/>
      <w:marTop w:val="0"/>
      <w:marBottom w:val="0"/>
      <w:divBdr>
        <w:top w:val="none" w:sz="0" w:space="0" w:color="auto"/>
        <w:left w:val="none" w:sz="0" w:space="0" w:color="auto"/>
        <w:bottom w:val="none" w:sz="0" w:space="0" w:color="auto"/>
        <w:right w:val="none" w:sz="0" w:space="0" w:color="auto"/>
      </w:divBdr>
    </w:div>
    <w:div w:id="1353917602">
      <w:bodyDiv w:val="1"/>
      <w:marLeft w:val="0"/>
      <w:marRight w:val="0"/>
      <w:marTop w:val="0"/>
      <w:marBottom w:val="0"/>
      <w:divBdr>
        <w:top w:val="none" w:sz="0" w:space="0" w:color="auto"/>
        <w:left w:val="none" w:sz="0" w:space="0" w:color="auto"/>
        <w:bottom w:val="none" w:sz="0" w:space="0" w:color="auto"/>
        <w:right w:val="none" w:sz="0" w:space="0" w:color="auto"/>
      </w:divBdr>
    </w:div>
    <w:div w:id="1396732922">
      <w:bodyDiv w:val="1"/>
      <w:marLeft w:val="0"/>
      <w:marRight w:val="0"/>
      <w:marTop w:val="0"/>
      <w:marBottom w:val="0"/>
      <w:divBdr>
        <w:top w:val="none" w:sz="0" w:space="0" w:color="auto"/>
        <w:left w:val="none" w:sz="0" w:space="0" w:color="auto"/>
        <w:bottom w:val="none" w:sz="0" w:space="0" w:color="auto"/>
        <w:right w:val="none" w:sz="0" w:space="0" w:color="auto"/>
      </w:divBdr>
    </w:div>
    <w:div w:id="1652245067">
      <w:bodyDiv w:val="1"/>
      <w:marLeft w:val="0"/>
      <w:marRight w:val="0"/>
      <w:marTop w:val="0"/>
      <w:marBottom w:val="0"/>
      <w:divBdr>
        <w:top w:val="none" w:sz="0" w:space="0" w:color="auto"/>
        <w:left w:val="none" w:sz="0" w:space="0" w:color="auto"/>
        <w:bottom w:val="none" w:sz="0" w:space="0" w:color="auto"/>
        <w:right w:val="none" w:sz="0" w:space="0" w:color="auto"/>
      </w:divBdr>
    </w:div>
    <w:div w:id="1668091107">
      <w:bodyDiv w:val="1"/>
      <w:marLeft w:val="0"/>
      <w:marRight w:val="0"/>
      <w:marTop w:val="0"/>
      <w:marBottom w:val="0"/>
      <w:divBdr>
        <w:top w:val="none" w:sz="0" w:space="0" w:color="auto"/>
        <w:left w:val="none" w:sz="0" w:space="0" w:color="auto"/>
        <w:bottom w:val="none" w:sz="0" w:space="0" w:color="auto"/>
        <w:right w:val="none" w:sz="0" w:space="0" w:color="auto"/>
      </w:divBdr>
    </w:div>
    <w:div w:id="1710104723">
      <w:bodyDiv w:val="1"/>
      <w:marLeft w:val="0"/>
      <w:marRight w:val="0"/>
      <w:marTop w:val="0"/>
      <w:marBottom w:val="0"/>
      <w:divBdr>
        <w:top w:val="none" w:sz="0" w:space="0" w:color="auto"/>
        <w:left w:val="none" w:sz="0" w:space="0" w:color="auto"/>
        <w:bottom w:val="none" w:sz="0" w:space="0" w:color="auto"/>
        <w:right w:val="none" w:sz="0" w:space="0" w:color="auto"/>
      </w:divBdr>
    </w:div>
    <w:div w:id="1765035989">
      <w:bodyDiv w:val="1"/>
      <w:marLeft w:val="0"/>
      <w:marRight w:val="0"/>
      <w:marTop w:val="0"/>
      <w:marBottom w:val="0"/>
      <w:divBdr>
        <w:top w:val="none" w:sz="0" w:space="0" w:color="auto"/>
        <w:left w:val="none" w:sz="0" w:space="0" w:color="auto"/>
        <w:bottom w:val="none" w:sz="0" w:space="0" w:color="auto"/>
        <w:right w:val="none" w:sz="0" w:space="0" w:color="auto"/>
      </w:divBdr>
    </w:div>
    <w:div w:id="1774086612">
      <w:bodyDiv w:val="1"/>
      <w:marLeft w:val="0"/>
      <w:marRight w:val="0"/>
      <w:marTop w:val="0"/>
      <w:marBottom w:val="0"/>
      <w:divBdr>
        <w:top w:val="none" w:sz="0" w:space="0" w:color="auto"/>
        <w:left w:val="none" w:sz="0" w:space="0" w:color="auto"/>
        <w:bottom w:val="none" w:sz="0" w:space="0" w:color="auto"/>
        <w:right w:val="none" w:sz="0" w:space="0" w:color="auto"/>
      </w:divBdr>
    </w:div>
    <w:div w:id="1783450808">
      <w:bodyDiv w:val="1"/>
      <w:marLeft w:val="0"/>
      <w:marRight w:val="0"/>
      <w:marTop w:val="0"/>
      <w:marBottom w:val="0"/>
      <w:divBdr>
        <w:top w:val="none" w:sz="0" w:space="0" w:color="auto"/>
        <w:left w:val="none" w:sz="0" w:space="0" w:color="auto"/>
        <w:bottom w:val="none" w:sz="0" w:space="0" w:color="auto"/>
        <w:right w:val="none" w:sz="0" w:space="0" w:color="auto"/>
      </w:divBdr>
    </w:div>
    <w:div w:id="1915583054">
      <w:bodyDiv w:val="1"/>
      <w:marLeft w:val="0"/>
      <w:marRight w:val="0"/>
      <w:marTop w:val="0"/>
      <w:marBottom w:val="0"/>
      <w:divBdr>
        <w:top w:val="none" w:sz="0" w:space="0" w:color="auto"/>
        <w:left w:val="none" w:sz="0" w:space="0" w:color="auto"/>
        <w:bottom w:val="none" w:sz="0" w:space="0" w:color="auto"/>
        <w:right w:val="none" w:sz="0" w:space="0" w:color="auto"/>
      </w:divBdr>
    </w:div>
    <w:div w:id="2063946430">
      <w:bodyDiv w:val="1"/>
      <w:marLeft w:val="0"/>
      <w:marRight w:val="0"/>
      <w:marTop w:val="0"/>
      <w:marBottom w:val="0"/>
      <w:divBdr>
        <w:top w:val="none" w:sz="0" w:space="0" w:color="auto"/>
        <w:left w:val="none" w:sz="0" w:space="0" w:color="auto"/>
        <w:bottom w:val="none" w:sz="0" w:space="0" w:color="auto"/>
        <w:right w:val="none" w:sz="0" w:space="0" w:color="auto"/>
      </w:divBdr>
    </w:div>
    <w:div w:id="2134059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chart" Target="charts/chart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i-is.be/sites/default/files/documents/fead_-_reglement_2016_fr_3.doc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tbel.fgov.be/fr/binaries/Publication_Silc_FR_04NOV14_tcm326-257352.xls" TargetMode="External"/><Relationship Id="rId5" Type="http://schemas.openxmlformats.org/officeDocument/2006/relationships/webSettings" Target="webSettings.xml"/><Relationship Id="rId15" Type="http://schemas.openxmlformats.org/officeDocument/2006/relationships/hyperlink" Target="http://ec.europa.eu/justice/gender-equality/files/strategy_equality_women_men_fr.pdf" TargetMode="External"/><Relationship Id="rId10" Type="http://schemas.openxmlformats.org/officeDocument/2006/relationships/hyperlink" Target="http://www.mi-is.be/sites/default/files/documents/fead_-_reglement_2015_fr_-_2_0.docx"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chart" Target="charts/chart2.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latin typeface="Gill Sans MT" panose="020B0502020104020203" pitchFamily="34" charset="0"/>
              </a:defRPr>
            </a:pPr>
            <a:r>
              <a:rPr lang="en-US">
                <a:latin typeface="Gill Sans MT" panose="020B0502020104020203" pitchFamily="34" charset="0"/>
              </a:rPr>
              <a:t>Fréquence des distributions</a:t>
            </a:r>
          </a:p>
        </c:rich>
      </c:tx>
      <c:layout/>
      <c:overlay val="0"/>
    </c:title>
    <c:autoTitleDeleted val="0"/>
    <c:plotArea>
      <c:layout/>
      <c:pieChart>
        <c:varyColors val="1"/>
        <c:ser>
          <c:idx val="0"/>
          <c:order val="0"/>
          <c:tx>
            <c:strRef>
              <c:f>Feuil1!$B$1</c:f>
              <c:strCache>
                <c:ptCount val="1"/>
                <c:pt idx="0">
                  <c:v>Fréquence des distributions</c:v>
                </c:pt>
              </c:strCache>
            </c:strRef>
          </c:tx>
          <c:dLbls>
            <c:spPr>
              <a:noFill/>
              <a:ln>
                <a:noFill/>
              </a:ln>
              <a:effectLst/>
            </c:spPr>
            <c:txPr>
              <a:bodyPr/>
              <a:lstStyle/>
              <a:p>
                <a:pPr>
                  <a:defRPr sz="1100">
                    <a:latin typeface="Gill Sans MT" panose="020B0502020104020203" pitchFamily="34" charset="0"/>
                  </a:defRPr>
                </a:pPr>
                <a:endParaRPr lang="en-US"/>
              </a:p>
            </c:txPr>
            <c:showLegendKey val="0"/>
            <c:showVal val="0"/>
            <c:showCatName val="0"/>
            <c:showSerName val="0"/>
            <c:showPercent val="1"/>
            <c:showBubbleSize val="0"/>
            <c:showLeaderLines val="1"/>
            <c:extLst>
              <c:ext xmlns:c15="http://schemas.microsoft.com/office/drawing/2012/chart" uri="{CE6537A1-D6FC-4f65-9D91-7224C49458BB}">
                <c15:layout/>
              </c:ext>
            </c:extLst>
          </c:dLbls>
          <c:cat>
            <c:strRef>
              <c:f>Feuil1!$A$2:$A$8</c:f>
              <c:strCache>
                <c:ptCount val="7"/>
                <c:pt idx="0">
                  <c:v>Plusieurs fois par semaine</c:v>
                </c:pt>
                <c:pt idx="1">
                  <c:v>Une fois par semaine</c:v>
                </c:pt>
                <c:pt idx="2">
                  <c:v>Plusieurs fois par mois</c:v>
                </c:pt>
                <c:pt idx="3">
                  <c:v>Une fois par mois</c:v>
                </c:pt>
                <c:pt idx="4">
                  <c:v>Quand les produits sont disponibles, distribution immédiate</c:v>
                </c:pt>
                <c:pt idx="5">
                  <c:v>Distribution d'urgence</c:v>
                </c:pt>
                <c:pt idx="6">
                  <c:v>Autre</c:v>
                </c:pt>
              </c:strCache>
            </c:strRef>
          </c:cat>
          <c:val>
            <c:numRef>
              <c:f>Feuil1!$B$2:$B$8</c:f>
              <c:numCache>
                <c:formatCode>General</c:formatCode>
                <c:ptCount val="7"/>
                <c:pt idx="0">
                  <c:v>132</c:v>
                </c:pt>
                <c:pt idx="1">
                  <c:v>94</c:v>
                </c:pt>
                <c:pt idx="2">
                  <c:v>153</c:v>
                </c:pt>
                <c:pt idx="3">
                  <c:v>135</c:v>
                </c:pt>
                <c:pt idx="4">
                  <c:v>60</c:v>
                </c:pt>
                <c:pt idx="5">
                  <c:v>17</c:v>
                </c:pt>
                <c:pt idx="6">
                  <c:v>124</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63990722513852427"/>
          <c:y val="0.14614087173529541"/>
          <c:w val="0.35777796004666085"/>
          <c:h val="0.83148889175738283"/>
        </c:manualLayout>
      </c:layout>
      <c:overlay val="0"/>
      <c:txPr>
        <a:bodyPr/>
        <a:lstStyle/>
        <a:p>
          <a:pPr>
            <a:defRPr sz="1100">
              <a:latin typeface="Gill Sans MT" panose="020B0502020104020203" pitchFamily="34" charset="0"/>
            </a:defRPr>
          </a:pPr>
          <a:endParaRPr lang="en-US"/>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a:lstStyle/>
        <a:p>
          <a:pPr>
            <a:defRPr>
              <a:latin typeface="Gill Sans MT" panose="020B0502020104020203" pitchFamily="34" charset="0"/>
            </a:defRPr>
          </a:pPr>
          <a:endParaRPr lang="en-US"/>
        </a:p>
      </c:txPr>
    </c:title>
    <c:autoTitleDeleted val="0"/>
    <c:plotArea>
      <c:layout/>
      <c:pieChart>
        <c:varyColors val="1"/>
        <c:ser>
          <c:idx val="0"/>
          <c:order val="0"/>
          <c:tx>
            <c:strRef>
              <c:f>Feuil1!$B$1</c:f>
              <c:strCache>
                <c:ptCount val="1"/>
                <c:pt idx="0">
                  <c:v>Définition des colis alimentaires</c:v>
                </c:pt>
              </c:strCache>
            </c:strRef>
          </c:tx>
          <c:dLbls>
            <c:spPr>
              <a:noFill/>
              <a:ln>
                <a:noFill/>
              </a:ln>
              <a:effectLst/>
            </c:spPr>
            <c:txPr>
              <a:bodyPr/>
              <a:lstStyle/>
              <a:p>
                <a:pPr>
                  <a:defRPr sz="1100">
                    <a:latin typeface="Gill Sans MT" panose="020B0502020104020203" pitchFamily="34" charset="0"/>
                  </a:defRPr>
                </a:pPr>
                <a:endParaRPr lang="en-US"/>
              </a:p>
            </c:txPr>
            <c:showLegendKey val="0"/>
            <c:showVal val="0"/>
            <c:showCatName val="0"/>
            <c:showSerName val="0"/>
            <c:showPercent val="1"/>
            <c:showBubbleSize val="0"/>
            <c:showLeaderLines val="1"/>
            <c:extLst>
              <c:ext xmlns:c15="http://schemas.microsoft.com/office/drawing/2012/chart" uri="{CE6537A1-D6FC-4f65-9D91-7224C49458BB}">
                <c15:layout/>
              </c:ext>
            </c:extLst>
          </c:dLbls>
          <c:cat>
            <c:strRef>
              <c:f>Feuil1!$A$2:$A$5</c:f>
              <c:strCache>
                <c:ptCount val="4"/>
                <c:pt idx="0">
                  <c:v>Packs préparés à l'avance</c:v>
                </c:pt>
                <c:pt idx="1">
                  <c:v>Paniers constitués en "libre-service"</c:v>
                </c:pt>
                <c:pt idx="2">
                  <c:v>Repas</c:v>
                </c:pt>
                <c:pt idx="3">
                  <c:v>Autre</c:v>
                </c:pt>
              </c:strCache>
            </c:strRef>
          </c:cat>
          <c:val>
            <c:numRef>
              <c:f>Feuil1!$B$2:$B$5</c:f>
              <c:numCache>
                <c:formatCode>General</c:formatCode>
                <c:ptCount val="4"/>
                <c:pt idx="0">
                  <c:v>413</c:v>
                </c:pt>
                <c:pt idx="1">
                  <c:v>210</c:v>
                </c:pt>
                <c:pt idx="2">
                  <c:v>16</c:v>
                </c:pt>
                <c:pt idx="3">
                  <c:v>76</c:v>
                </c:pt>
              </c:numCache>
            </c:numRef>
          </c:val>
        </c:ser>
        <c:dLbls>
          <c:showLegendKey val="0"/>
          <c:showVal val="0"/>
          <c:showCatName val="0"/>
          <c:showSerName val="0"/>
          <c:showPercent val="0"/>
          <c:showBubbleSize val="0"/>
          <c:showLeaderLines val="1"/>
        </c:dLbls>
        <c:firstSliceAng val="0"/>
      </c:pieChart>
    </c:plotArea>
    <c:legend>
      <c:legendPos val="r"/>
      <c:layout/>
      <c:overlay val="0"/>
      <c:txPr>
        <a:bodyPr/>
        <a:lstStyle/>
        <a:p>
          <a:pPr>
            <a:defRPr sz="1100">
              <a:latin typeface="Gill Sans MT" panose="020B0502020104020203" pitchFamily="34" charset="0"/>
            </a:defRPr>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67D68-17EC-4743-9D9B-0D770651A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33</Pages>
  <Words>11568</Words>
  <Characters>65944</Characters>
  <Application>Microsoft Office Word</Application>
  <DocSecurity>0</DocSecurity>
  <Lines>549</Lines>
  <Paragraphs>154</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euroscript</Company>
  <LinksUpToDate>false</LinksUpToDate>
  <CharactersWithSpaces>77358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Bossuyt Nele</dc:creator>
  <cp:lastModifiedBy>Bossuyt Nele</cp:lastModifiedBy>
  <cp:revision>4</cp:revision>
  <cp:lastPrinted>2016-08-05T11:21:00Z</cp:lastPrinted>
  <dcterms:created xsi:type="dcterms:W3CDTF">2016-08-16T07:07:00Z</dcterms:created>
  <dcterms:modified xsi:type="dcterms:W3CDTF">2016-12-11T21:25:00Z</dcterms:modified>
</cp:coreProperties>
</file>