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7123" w:rsidRDefault="00907123" w:rsidP="00080F90">
      <w:pPr>
        <w:spacing w:after="720"/>
        <w:ind w:left="4320"/>
        <w:rPr>
          <w:lang w:val="fr-BE"/>
        </w:rPr>
      </w:pPr>
      <w:bookmarkStart w:id="0" w:name="_GoBack"/>
      <w:bookmarkEnd w:id="0"/>
    </w:p>
    <w:p w:rsidR="00080F90" w:rsidRDefault="00B91448" w:rsidP="00080F90">
      <w:pPr>
        <w:spacing w:after="720"/>
        <w:ind w:left="4320"/>
        <w:rPr>
          <w:lang w:val="fr-BE"/>
        </w:rPr>
      </w:pPr>
      <w:r>
        <w:rPr>
          <w:noProof/>
          <w:sz w:val="20"/>
          <w:lang w:val="fr-BE" w:eastAsia="fr-BE"/>
        </w:rPr>
        <mc:AlternateContent>
          <mc:Choice Requires="wps">
            <w:drawing>
              <wp:anchor distT="0" distB="0" distL="114300" distR="114300" simplePos="0" relativeHeight="251656192" behindDoc="0" locked="1" layoutInCell="1" allowOverlap="1" wp14:anchorId="0CE6BA20" wp14:editId="0A7F0531">
                <wp:simplePos x="0" y="0"/>
                <wp:positionH relativeFrom="page">
                  <wp:posOffset>787400</wp:posOffset>
                </wp:positionH>
                <wp:positionV relativeFrom="page">
                  <wp:posOffset>367030</wp:posOffset>
                </wp:positionV>
                <wp:extent cx="2263775" cy="1249680"/>
                <wp:effectExtent l="0" t="0" r="0" b="25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48" w:rsidRDefault="007C0B48" w:rsidP="00080F90">
                            <w:pPr>
                              <w:pStyle w:val="En-tte"/>
                              <w:tabs>
                                <w:tab w:val="clear" w:pos="4536"/>
                                <w:tab w:val="clear" w:pos="9072"/>
                              </w:tabs>
                            </w:pPr>
                            <w:r>
                              <w:rPr>
                                <w:noProof/>
                                <w:lang w:val="fr-BE" w:eastAsia="fr-BE"/>
                              </w:rPr>
                              <w:drawing>
                                <wp:inline distT="0" distB="0" distL="0" distR="0" wp14:anchorId="67AF4852" wp14:editId="4A7658AA">
                                  <wp:extent cx="2234565" cy="1224280"/>
                                  <wp:effectExtent l="0" t="0" r="0" b="0"/>
                                  <wp:docPr id="3" name="Afbeelding 3"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4565" cy="1224280"/>
                                          </a:xfrm>
                                          <a:prstGeom prst="rect">
                                            <a:avLst/>
                                          </a:prstGeom>
                                          <a:noFill/>
                                          <a:ln>
                                            <a:noFill/>
                                          </a:ln>
                                        </pic:spPr>
                                      </pic:pic>
                                    </a:graphicData>
                                  </a:graphic>
                                </wp:inline>
                              </w:drawing>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pt;margin-top:28.9pt;width:178.25pt;height:9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" filled="f" stroked="f">
                <v:textbox inset="1.13pt,1.13pt,1.13pt,1.13pt">
                  <w:txbxContent>
                    <w:p w:rsidR="007C0B48" w:rsidRDefault="007C0B48" w:rsidP="00080F90">
                      <w:pPr>
                        <w:pStyle w:val="En-tte"/>
                        <w:tabs>
                          <w:tab w:val="clear" w:pos="4536"/>
                          <w:tab w:val="clear" w:pos="9072"/>
                        </w:tabs>
                      </w:pPr>
                      <w:r>
                        <w:rPr>
                          <w:noProof/>
                          <w:lang w:val="fr-BE" w:eastAsia="fr-BE"/>
                        </w:rPr>
                        <w:drawing>
                          <wp:inline distT="0" distB="0" distL="0" distR="0" wp14:anchorId="67AF4852" wp14:editId="4A7658AA">
                            <wp:extent cx="2234565" cy="1224280"/>
                            <wp:effectExtent l="0" t="0" r="0" b="0"/>
                            <wp:docPr id="3" name="Afbeelding 3"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4565" cy="1224280"/>
                                    </a:xfrm>
                                    <a:prstGeom prst="rect">
                                      <a:avLst/>
                                    </a:prstGeom>
                                    <a:noFill/>
                                    <a:ln>
                                      <a:noFill/>
                                    </a:ln>
                                  </pic:spPr>
                                </pic:pic>
                              </a:graphicData>
                            </a:graphic>
                          </wp:inline>
                        </w:drawing>
                      </w:r>
                    </w:p>
                  </w:txbxContent>
                </v:textbox>
                <w10:wrap anchorx="page" anchory="page"/>
                <w10:anchorlock/>
              </v:shape>
            </w:pict>
          </mc:Fallback>
        </mc:AlternateContent>
      </w:r>
      <w:r>
        <w:rPr>
          <w:noProof/>
          <w:sz w:val="20"/>
          <w:lang w:val="fr-BE" w:eastAsia="fr-BE"/>
        </w:rPr>
        <mc:AlternateContent>
          <mc:Choice Requires="wps">
            <w:drawing>
              <wp:anchor distT="0" distB="0" distL="114300" distR="114300" simplePos="0" relativeHeight="251655168" behindDoc="0" locked="1" layoutInCell="1" allowOverlap="1" wp14:anchorId="45F6D8AE" wp14:editId="29E367AD">
                <wp:simplePos x="0" y="0"/>
                <wp:positionH relativeFrom="page">
                  <wp:posOffset>89535</wp:posOffset>
                </wp:positionH>
                <wp:positionV relativeFrom="page">
                  <wp:posOffset>9375140</wp:posOffset>
                </wp:positionV>
                <wp:extent cx="7405370" cy="1183005"/>
                <wp:effectExtent l="3810" t="2540" r="127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48" w:rsidRDefault="007C0B48" w:rsidP="00080F90">
                            <w:pPr>
                              <w:rPr>
                                <w:sz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05pt;margin-top:738.2pt;width:583.1pt;height:9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" filled="f" stroked="f">
                <v:textbox inset="1.13pt,1.13pt,1.13pt,1.13pt">
                  <w:txbxContent>
                    <w:p w:rsidR="007C0B48" w:rsidRDefault="007C0B48" w:rsidP="00080F90">
                      <w:pPr>
                        <w:rPr>
                          <w:sz w:val="20"/>
                        </w:rPr>
                      </w:pPr>
                    </w:p>
                  </w:txbxContent>
                </v:textbox>
                <w10:wrap anchorx="page" anchory="page"/>
                <w10:anchorlock/>
              </v:shape>
            </w:pict>
          </mc:Fallback>
        </mc:AlternateContent>
      </w:r>
      <w:r>
        <w:rPr>
          <w:noProof/>
          <w:lang w:val="fr-BE" w:eastAsia="fr-BE"/>
        </w:rPr>
        <mc:AlternateContent>
          <mc:Choice Requires="wps">
            <w:drawing>
              <wp:anchor distT="0" distB="0" distL="114300" distR="114300" simplePos="0" relativeHeight="251654144" behindDoc="0" locked="1" layoutInCell="0" allowOverlap="1" wp14:anchorId="140D10DF" wp14:editId="544CF741">
                <wp:simplePos x="0" y="0"/>
                <wp:positionH relativeFrom="page">
                  <wp:posOffset>252095</wp:posOffset>
                </wp:positionH>
                <wp:positionV relativeFrom="page">
                  <wp:posOffset>7406005</wp:posOffset>
                </wp:positionV>
                <wp:extent cx="360045" cy="184150"/>
                <wp:effectExtent l="4445" t="0" r="0" b="127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B48" w:rsidRDefault="007C0B48" w:rsidP="00080F9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9.85pt;margin-top:583.15pt;width:28.35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7jA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" o:allowincell="f" stroked="f">
                <o:lock v:ext="edit" aspectratio="t"/>
                <v:textbox>
                  <w:txbxContent>
                    <w:p w:rsidR="007C0B48" w:rsidRDefault="007C0B48" w:rsidP="00080F90">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080F90">
        <w:trPr>
          <w:cantSplit/>
          <w:trHeight w:val="1710"/>
        </w:trPr>
        <w:tc>
          <w:tcPr>
            <w:tcW w:w="4252" w:type="dxa"/>
          </w:tcPr>
          <w:p w:rsidR="00080F90" w:rsidRDefault="00080F90" w:rsidP="00A72AD9">
            <w:pPr>
              <w:pStyle w:val="En-tte"/>
              <w:tabs>
                <w:tab w:val="clear" w:pos="4536"/>
                <w:tab w:val="clear" w:pos="9072"/>
              </w:tabs>
              <w:rPr>
                <w:sz w:val="20"/>
                <w:lang w:val="fr-BE"/>
              </w:rPr>
            </w:pPr>
            <w:bookmarkStart w:id="1" w:name="SYS_LOGO_INFO"/>
            <w:bookmarkStart w:id="2" w:name="SYS_LOGO_MIN"/>
            <w:bookmarkEnd w:id="1"/>
            <w:bookmarkEnd w:id="2"/>
          </w:p>
        </w:tc>
      </w:tr>
    </w:tbl>
    <w:p w:rsidR="00080F90" w:rsidRDefault="00080F90" w:rsidP="00080F90">
      <w:pPr>
        <w:pStyle w:val="Letter"/>
        <w:rPr>
          <w:lang w:val="fr-BE"/>
        </w:rPr>
      </w:pPr>
    </w:p>
    <w:p w:rsidR="00080F90" w:rsidRDefault="00080F90" w:rsidP="00080F90">
      <w:pPr>
        <w:pStyle w:val="Letter"/>
        <w:rPr>
          <w:lang w:val="fr-BE"/>
        </w:rPr>
      </w:pPr>
    </w:p>
    <w:p w:rsidR="00080F90" w:rsidRDefault="00080F90" w:rsidP="00080F90">
      <w:pPr>
        <w:pStyle w:val="Letter"/>
        <w:rPr>
          <w:lang w:val="fr-BE"/>
        </w:rPr>
      </w:pPr>
    </w:p>
    <w:p w:rsidR="00080F90" w:rsidRDefault="00080F90" w:rsidP="00080F90">
      <w:pPr>
        <w:pStyle w:val="Letter"/>
        <w:rPr>
          <w:lang w:val="fr-BE"/>
        </w:rPr>
      </w:pPr>
    </w:p>
    <w:p w:rsidR="00080F90" w:rsidRDefault="00080F90" w:rsidP="00080F90">
      <w:pPr>
        <w:pStyle w:val="Letter"/>
        <w:rPr>
          <w:lang w:val="fr-BE"/>
        </w:rPr>
      </w:pPr>
    </w:p>
    <w:p w:rsidR="00080F90" w:rsidRDefault="00080F90" w:rsidP="00080F90">
      <w:pPr>
        <w:pStyle w:val="Letter"/>
        <w:rPr>
          <w:lang w:val="fr-BE"/>
        </w:rPr>
      </w:pPr>
    </w:p>
    <w:p w:rsidR="00080F90" w:rsidRPr="00AD7C5F" w:rsidRDefault="00080F90" w:rsidP="00080F90">
      <w:pPr>
        <w:ind w:left="180"/>
        <w:rPr>
          <w:b/>
          <w:bCs/>
          <w:lang w:val="fr-BE"/>
        </w:rPr>
      </w:pPr>
    </w:p>
    <w:p w:rsidR="00080F90" w:rsidRPr="006D0278" w:rsidRDefault="008E706C" w:rsidP="00080F90">
      <w:pPr>
        <w:pBdr>
          <w:top w:val="single" w:sz="24" w:space="31" w:color="auto" w:shadow="1"/>
          <w:left w:val="single" w:sz="24" w:space="23" w:color="auto" w:shadow="1"/>
          <w:bottom w:val="single" w:sz="24" w:space="29" w:color="auto" w:shadow="1"/>
          <w:right w:val="single" w:sz="24" w:space="26" w:color="auto" w:shadow="1"/>
        </w:pBdr>
        <w:ind w:left="180"/>
        <w:jc w:val="center"/>
        <w:rPr>
          <w:b/>
          <w:bCs/>
          <w:sz w:val="28"/>
          <w:szCs w:val="28"/>
          <w:lang w:val="nl-NL"/>
        </w:rPr>
      </w:pPr>
      <w:r w:rsidRPr="006D0278">
        <w:rPr>
          <w:b/>
          <w:bCs/>
          <w:sz w:val="28"/>
          <w:szCs w:val="28"/>
          <w:lang w:val="nl-NL"/>
        </w:rPr>
        <w:t>Evaluatieverslag betreffende de aanvragen tot regeling van bevoegdheidsconflicten tussen OCMW's</w:t>
      </w:r>
    </w:p>
    <w:p w:rsidR="001D718E" w:rsidRPr="006D0278" w:rsidRDefault="001D718E" w:rsidP="00080F90">
      <w:pPr>
        <w:pBdr>
          <w:top w:val="single" w:sz="24" w:space="31" w:color="auto" w:shadow="1"/>
          <w:left w:val="single" w:sz="24" w:space="23" w:color="auto" w:shadow="1"/>
          <w:bottom w:val="single" w:sz="24" w:space="29" w:color="auto" w:shadow="1"/>
          <w:right w:val="single" w:sz="24" w:space="26" w:color="auto" w:shadow="1"/>
        </w:pBdr>
        <w:ind w:left="180"/>
        <w:jc w:val="center"/>
        <w:rPr>
          <w:b/>
          <w:bCs/>
          <w:sz w:val="28"/>
          <w:szCs w:val="28"/>
          <w:lang w:val="nl-NL"/>
        </w:rPr>
      </w:pPr>
    </w:p>
    <w:p w:rsidR="00080F90" w:rsidRPr="006D0278" w:rsidRDefault="00B91448" w:rsidP="00080F90">
      <w:pPr>
        <w:pBdr>
          <w:top w:val="single" w:sz="24" w:space="31" w:color="auto" w:shadow="1"/>
          <w:left w:val="single" w:sz="24" w:space="23" w:color="auto" w:shadow="1"/>
          <w:bottom w:val="single" w:sz="24" w:space="29" w:color="auto" w:shadow="1"/>
          <w:right w:val="single" w:sz="24" w:space="26" w:color="auto" w:shadow="1"/>
        </w:pBdr>
        <w:ind w:left="180"/>
        <w:jc w:val="center"/>
        <w:rPr>
          <w:b/>
          <w:bCs/>
          <w:sz w:val="28"/>
          <w:szCs w:val="28"/>
          <w:lang w:val="nl-NL"/>
        </w:rPr>
      </w:pPr>
      <w:r w:rsidRPr="006D0278">
        <w:rPr>
          <w:b/>
          <w:bCs/>
          <w:sz w:val="28"/>
          <w:szCs w:val="28"/>
          <w:lang w:val="nl-NL"/>
        </w:rPr>
        <w:t>201</w:t>
      </w:r>
      <w:r w:rsidR="00D50F03">
        <w:rPr>
          <w:b/>
          <w:bCs/>
          <w:sz w:val="28"/>
          <w:szCs w:val="28"/>
          <w:lang w:val="nl-NL"/>
        </w:rPr>
        <w:t>4</w:t>
      </w: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8E706C" w:rsidP="00080F90">
      <w:pPr>
        <w:pStyle w:val="Letter"/>
        <w:rPr>
          <w:rFonts w:ascii="Times New Roman" w:hAnsi="Times New Roman"/>
          <w:sz w:val="24"/>
          <w:szCs w:val="24"/>
          <w:lang w:val="nl-NL"/>
        </w:rPr>
      </w:pPr>
      <w:r w:rsidRPr="006D0278">
        <w:rPr>
          <w:rFonts w:ascii="Times New Roman" w:hAnsi="Times New Roman"/>
          <w:sz w:val="24"/>
          <w:szCs w:val="24"/>
          <w:lang w:val="nl-NL"/>
        </w:rPr>
        <w:t>Hebben meegewerkt aan dit verslag:</w:t>
      </w:r>
    </w:p>
    <w:p w:rsidR="00080F90" w:rsidRPr="0076621B" w:rsidRDefault="00CC26BF" w:rsidP="00080F90">
      <w:pPr>
        <w:pStyle w:val="Letter"/>
        <w:rPr>
          <w:rFonts w:ascii="Times New Roman" w:hAnsi="Times New Roman"/>
          <w:sz w:val="24"/>
          <w:szCs w:val="24"/>
          <w:lang w:val="fr-BE"/>
        </w:rPr>
      </w:pPr>
      <w:r w:rsidRPr="0076621B">
        <w:rPr>
          <w:rFonts w:ascii="Times New Roman" w:hAnsi="Times New Roman"/>
          <w:sz w:val="24"/>
          <w:szCs w:val="24"/>
          <w:lang w:val="fr-BE"/>
        </w:rPr>
        <w:t>Ester Crabbe</w:t>
      </w:r>
    </w:p>
    <w:p w:rsidR="00B91448" w:rsidRPr="00550FA0" w:rsidRDefault="00B91448" w:rsidP="00080F90">
      <w:pPr>
        <w:pStyle w:val="Letter"/>
        <w:rPr>
          <w:rFonts w:ascii="Times New Roman" w:hAnsi="Times New Roman"/>
          <w:sz w:val="24"/>
          <w:szCs w:val="24"/>
        </w:rPr>
      </w:pPr>
      <w:r w:rsidRPr="00550FA0">
        <w:rPr>
          <w:rFonts w:ascii="Times New Roman" w:hAnsi="Times New Roman"/>
          <w:sz w:val="24"/>
          <w:szCs w:val="24"/>
        </w:rPr>
        <w:t>Marc Horrix</w:t>
      </w:r>
    </w:p>
    <w:p w:rsidR="00B91448" w:rsidRPr="00550FA0" w:rsidRDefault="00B91448" w:rsidP="00080F90">
      <w:pPr>
        <w:pStyle w:val="Letter"/>
        <w:rPr>
          <w:rFonts w:ascii="Times New Roman" w:hAnsi="Times New Roman"/>
          <w:sz w:val="24"/>
          <w:szCs w:val="24"/>
        </w:rPr>
      </w:pPr>
      <w:r w:rsidRPr="00550FA0">
        <w:rPr>
          <w:rFonts w:ascii="Times New Roman" w:hAnsi="Times New Roman"/>
          <w:sz w:val="24"/>
          <w:szCs w:val="24"/>
        </w:rPr>
        <w:t>Pascale Lafontaine</w:t>
      </w:r>
    </w:p>
    <w:p w:rsidR="00080F90" w:rsidRPr="00550FA0" w:rsidRDefault="008E706C" w:rsidP="00080F90">
      <w:pPr>
        <w:pStyle w:val="Letter"/>
        <w:rPr>
          <w:rFonts w:ascii="Times New Roman" w:hAnsi="Times New Roman"/>
          <w:sz w:val="24"/>
          <w:szCs w:val="24"/>
        </w:rPr>
      </w:pPr>
      <w:r w:rsidRPr="00550FA0">
        <w:rPr>
          <w:rFonts w:ascii="Times New Roman" w:hAnsi="Times New Roman"/>
          <w:sz w:val="24"/>
          <w:szCs w:val="24"/>
        </w:rPr>
        <w:t>Thuy Phan</w:t>
      </w:r>
    </w:p>
    <w:p w:rsidR="00581C22" w:rsidRPr="00550FA0" w:rsidRDefault="00581C22" w:rsidP="00080F90">
      <w:pPr>
        <w:pStyle w:val="Letter"/>
        <w:rPr>
          <w:rFonts w:ascii="Times New Roman" w:hAnsi="Times New Roman"/>
          <w:i/>
          <w:sz w:val="24"/>
          <w:szCs w:val="24"/>
        </w:rPr>
      </w:pPr>
    </w:p>
    <w:p w:rsidR="00550FA0" w:rsidRDefault="006D3D96" w:rsidP="004D44F1">
      <w:pPr>
        <w:jc w:val="center"/>
        <w:rPr>
          <w:i/>
          <w:lang w:val="nl-NL"/>
        </w:rPr>
      </w:pPr>
      <w:r>
        <w:rPr>
          <w:i/>
          <w:lang w:val="nl-NL"/>
        </w:rPr>
        <w:t>Juridische Dienst</w:t>
      </w:r>
    </w:p>
    <w:p w:rsidR="00550FA0" w:rsidRDefault="00550FA0" w:rsidP="004D44F1">
      <w:pPr>
        <w:jc w:val="center"/>
        <w:rPr>
          <w:i/>
          <w:lang w:val="nl-NL"/>
        </w:rPr>
      </w:pPr>
    </w:p>
    <w:p w:rsidR="00550FA0" w:rsidRDefault="00550FA0" w:rsidP="004D44F1">
      <w:pPr>
        <w:jc w:val="center"/>
        <w:rPr>
          <w:i/>
          <w:lang w:val="nl-NL"/>
        </w:rPr>
      </w:pPr>
    </w:p>
    <w:p w:rsidR="00550FA0" w:rsidRDefault="00550FA0" w:rsidP="004D44F1">
      <w:pPr>
        <w:jc w:val="center"/>
        <w:rPr>
          <w:i/>
          <w:lang w:val="nl-NL"/>
        </w:rPr>
      </w:pPr>
    </w:p>
    <w:p w:rsidR="00550FA0" w:rsidRDefault="00550FA0" w:rsidP="004D44F1">
      <w:pPr>
        <w:jc w:val="center"/>
        <w:rPr>
          <w:i/>
          <w:lang w:val="nl-NL"/>
        </w:rPr>
      </w:pPr>
    </w:p>
    <w:p w:rsidR="00550FA0" w:rsidRDefault="00550FA0" w:rsidP="004D44F1">
      <w:pPr>
        <w:jc w:val="center"/>
        <w:rPr>
          <w:i/>
          <w:lang w:val="nl-NL"/>
        </w:rPr>
      </w:pPr>
    </w:p>
    <w:p w:rsidR="00550FA0" w:rsidRDefault="00550FA0" w:rsidP="004D44F1">
      <w:pPr>
        <w:jc w:val="center"/>
        <w:rPr>
          <w:i/>
          <w:lang w:val="nl-NL"/>
        </w:rPr>
      </w:pPr>
    </w:p>
    <w:p w:rsidR="0022795E" w:rsidRPr="00550FA0" w:rsidRDefault="00550FA0" w:rsidP="004D44F1">
      <w:pPr>
        <w:jc w:val="center"/>
        <w:rPr>
          <w:b/>
          <w:lang w:val="nl-BE"/>
        </w:rPr>
      </w:pPr>
      <w:r w:rsidRPr="00550FA0">
        <w:rPr>
          <w:b/>
          <w:lang w:val="nl-NL"/>
        </w:rPr>
        <w:lastRenderedPageBreak/>
        <w:t>I</w:t>
      </w:r>
      <w:r w:rsidR="00B91448">
        <w:rPr>
          <w:noProof/>
          <w:lang w:val="fr-BE" w:eastAsia="fr-BE"/>
        </w:rPr>
        <mc:AlternateContent>
          <mc:Choice Requires="wps">
            <w:drawing>
              <wp:anchor distT="0" distB="0" distL="114300" distR="114300" simplePos="0" relativeHeight="251653120" behindDoc="0" locked="1" layoutInCell="0" allowOverlap="1" wp14:anchorId="27B653F4" wp14:editId="18BF7B3B">
                <wp:simplePos x="0" y="0"/>
                <wp:positionH relativeFrom="page">
                  <wp:posOffset>252095</wp:posOffset>
                </wp:positionH>
                <wp:positionV relativeFrom="page">
                  <wp:posOffset>3747770</wp:posOffset>
                </wp:positionV>
                <wp:extent cx="360045" cy="184150"/>
                <wp:effectExtent l="4445" t="4445" r="0" b="1905"/>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B48" w:rsidRDefault="007C0B48" w:rsidP="00080F9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9.85pt;margin-top:295.1pt;width:28.35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v4jQ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" o:allowincell="f" stroked="f">
                <o:lock v:ext="edit" aspectratio="t"/>
                <v:textbox>
                  <w:txbxContent>
                    <w:p w:rsidR="007C0B48" w:rsidRDefault="007C0B48" w:rsidP="00080F90">
                      <w:pPr>
                        <w:rPr>
                          <w:sz w:val="16"/>
                        </w:rPr>
                      </w:pPr>
                      <w:r>
                        <w:rPr>
                          <w:sz w:val="16"/>
                        </w:rPr>
                        <w:t>-</w:t>
                      </w:r>
                    </w:p>
                  </w:txbxContent>
                </v:textbox>
                <w10:wrap anchorx="page" anchory="page"/>
                <w10:anchorlock/>
              </v:shape>
            </w:pict>
          </mc:Fallback>
        </mc:AlternateContent>
      </w:r>
      <w:r w:rsidR="008E706C" w:rsidRPr="00550FA0">
        <w:rPr>
          <w:b/>
          <w:lang w:val="nl-BE"/>
        </w:rPr>
        <w:t>nhoudstafel</w:t>
      </w:r>
    </w:p>
    <w:p w:rsidR="00620B5F" w:rsidRPr="00550FA0" w:rsidRDefault="00620B5F" w:rsidP="004D44F1">
      <w:pPr>
        <w:jc w:val="center"/>
        <w:rPr>
          <w:b/>
          <w:lang w:val="nl-BE"/>
        </w:rPr>
      </w:pPr>
    </w:p>
    <w:p w:rsidR="00625F75" w:rsidRDefault="001A3A9B" w:rsidP="00625F75">
      <w:pPr>
        <w:pStyle w:val="TM1"/>
        <w:jc w:val="both"/>
        <w:rPr>
          <w:rFonts w:asciiTheme="minorHAnsi" w:eastAsiaTheme="minorEastAsia" w:hAnsiTheme="minorHAnsi" w:cstheme="minorBidi"/>
          <w:b w:val="0"/>
          <w:bCs w:val="0"/>
          <w:caps w:val="0"/>
          <w:lang w:val="fr-BE" w:eastAsia="fr-BE"/>
        </w:rPr>
      </w:pPr>
      <w:r>
        <w:rPr>
          <w:sz w:val="24"/>
          <w:szCs w:val="24"/>
          <w:u w:val="single"/>
        </w:rPr>
        <w:fldChar w:fldCharType="begin"/>
      </w:r>
      <w:r>
        <w:rPr>
          <w:sz w:val="24"/>
          <w:szCs w:val="24"/>
          <w:u w:val="single"/>
        </w:rPr>
        <w:instrText xml:space="preserve"> TOC \o "1-5" \h \z \u </w:instrText>
      </w:r>
      <w:r>
        <w:rPr>
          <w:sz w:val="24"/>
          <w:szCs w:val="24"/>
          <w:u w:val="single"/>
        </w:rPr>
        <w:fldChar w:fldCharType="separate"/>
      </w:r>
      <w:hyperlink w:anchor="_Toc423509504" w:history="1">
        <w:r w:rsidR="00625F75" w:rsidRPr="00B03658">
          <w:rPr>
            <w:rStyle w:val="Lienhypertexte"/>
          </w:rPr>
          <w:t>Inleiding</w:t>
        </w:r>
        <w:r w:rsidR="00625F75">
          <w:rPr>
            <w:webHidden/>
          </w:rPr>
          <w:tab/>
        </w:r>
        <w:r w:rsidR="00625F75">
          <w:rPr>
            <w:webHidden/>
          </w:rPr>
          <w:fldChar w:fldCharType="begin"/>
        </w:r>
        <w:r w:rsidR="00625F75">
          <w:rPr>
            <w:webHidden/>
          </w:rPr>
          <w:instrText xml:space="preserve"> PAGEREF _Toc423509504 \h </w:instrText>
        </w:r>
        <w:r w:rsidR="00625F75">
          <w:rPr>
            <w:webHidden/>
          </w:rPr>
        </w:r>
        <w:r w:rsidR="00625F75">
          <w:rPr>
            <w:webHidden/>
          </w:rPr>
          <w:fldChar w:fldCharType="separate"/>
        </w:r>
        <w:r w:rsidR="004D3F6F">
          <w:rPr>
            <w:webHidden/>
          </w:rPr>
          <w:t>4</w:t>
        </w:r>
        <w:r w:rsidR="00625F75">
          <w:rPr>
            <w:webHidden/>
          </w:rPr>
          <w:fldChar w:fldCharType="end"/>
        </w:r>
      </w:hyperlink>
    </w:p>
    <w:p w:rsidR="00625F75" w:rsidRDefault="002E7175" w:rsidP="00625F75">
      <w:pPr>
        <w:pStyle w:val="TM1"/>
        <w:jc w:val="both"/>
        <w:rPr>
          <w:rFonts w:asciiTheme="minorHAnsi" w:eastAsiaTheme="minorEastAsia" w:hAnsiTheme="minorHAnsi" w:cstheme="minorBidi"/>
          <w:b w:val="0"/>
          <w:bCs w:val="0"/>
          <w:caps w:val="0"/>
          <w:lang w:val="fr-BE" w:eastAsia="fr-BE"/>
        </w:rPr>
      </w:pPr>
      <w:hyperlink w:anchor="_Toc423509505" w:history="1">
        <w:r w:rsidR="00625F75" w:rsidRPr="00B03658">
          <w:rPr>
            <w:rStyle w:val="Lienhypertexte"/>
          </w:rPr>
          <w:t>I. Statistieken</w:t>
        </w:r>
        <w:r w:rsidR="00625F75">
          <w:rPr>
            <w:webHidden/>
          </w:rPr>
          <w:tab/>
        </w:r>
        <w:r w:rsidR="00625F75">
          <w:rPr>
            <w:webHidden/>
          </w:rPr>
          <w:fldChar w:fldCharType="begin"/>
        </w:r>
        <w:r w:rsidR="00625F75">
          <w:rPr>
            <w:webHidden/>
          </w:rPr>
          <w:instrText xml:space="preserve"> PAGEREF _Toc423509505 \h </w:instrText>
        </w:r>
        <w:r w:rsidR="00625F75">
          <w:rPr>
            <w:webHidden/>
          </w:rPr>
        </w:r>
        <w:r w:rsidR="00625F75">
          <w:rPr>
            <w:webHidden/>
          </w:rPr>
          <w:fldChar w:fldCharType="separate"/>
        </w:r>
        <w:r w:rsidR="004D3F6F">
          <w:rPr>
            <w:webHidden/>
          </w:rPr>
          <w:t>4</w:t>
        </w:r>
        <w:r w:rsidR="00625F75">
          <w:rPr>
            <w:webHidden/>
          </w:rPr>
          <w:fldChar w:fldCharType="end"/>
        </w:r>
      </w:hyperlink>
    </w:p>
    <w:p w:rsidR="00625F75" w:rsidRDefault="002E7175" w:rsidP="00625F75">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23509506" w:history="1">
        <w:r w:rsidR="00625F75" w:rsidRPr="00B03658">
          <w:rPr>
            <w:rStyle w:val="Lienhypertexte"/>
            <w:noProof/>
            <w:lang w:val="nl-NL"/>
          </w:rPr>
          <w:t>1. Aantal ontvangen dossiers in 2014</w:t>
        </w:r>
        <w:r w:rsidR="00625F75">
          <w:rPr>
            <w:noProof/>
            <w:webHidden/>
          </w:rPr>
          <w:tab/>
        </w:r>
        <w:r w:rsidR="00625F75">
          <w:rPr>
            <w:noProof/>
            <w:webHidden/>
          </w:rPr>
          <w:fldChar w:fldCharType="begin"/>
        </w:r>
        <w:r w:rsidR="00625F75">
          <w:rPr>
            <w:noProof/>
            <w:webHidden/>
          </w:rPr>
          <w:instrText xml:space="preserve"> PAGEREF _Toc423509506 \h </w:instrText>
        </w:r>
        <w:r w:rsidR="00625F75">
          <w:rPr>
            <w:noProof/>
            <w:webHidden/>
          </w:rPr>
        </w:r>
        <w:r w:rsidR="00625F75">
          <w:rPr>
            <w:noProof/>
            <w:webHidden/>
          </w:rPr>
          <w:fldChar w:fldCharType="separate"/>
        </w:r>
        <w:r w:rsidR="004D3F6F">
          <w:rPr>
            <w:noProof/>
            <w:webHidden/>
          </w:rPr>
          <w:t>4</w:t>
        </w:r>
        <w:r w:rsidR="00625F75">
          <w:rPr>
            <w:noProof/>
            <w:webHidden/>
          </w:rPr>
          <w:fldChar w:fldCharType="end"/>
        </w:r>
      </w:hyperlink>
    </w:p>
    <w:p w:rsidR="00625F75" w:rsidRDefault="002E7175" w:rsidP="00625F75">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23509507" w:history="1">
        <w:r w:rsidR="00625F75" w:rsidRPr="00B03658">
          <w:rPr>
            <w:rStyle w:val="Lienhypertexte"/>
            <w:noProof/>
            <w:lang w:val="nl-NL"/>
          </w:rPr>
          <w:t>2. Aantal dossiers ontvangen van 2004 tot 2014</w:t>
        </w:r>
        <w:r w:rsidR="00625F75">
          <w:rPr>
            <w:noProof/>
            <w:webHidden/>
          </w:rPr>
          <w:tab/>
        </w:r>
        <w:r w:rsidR="00625F75">
          <w:rPr>
            <w:noProof/>
            <w:webHidden/>
          </w:rPr>
          <w:fldChar w:fldCharType="begin"/>
        </w:r>
        <w:r w:rsidR="00625F75">
          <w:rPr>
            <w:noProof/>
            <w:webHidden/>
          </w:rPr>
          <w:instrText xml:space="preserve"> PAGEREF _Toc423509507 \h </w:instrText>
        </w:r>
        <w:r w:rsidR="00625F75">
          <w:rPr>
            <w:noProof/>
            <w:webHidden/>
          </w:rPr>
        </w:r>
        <w:r w:rsidR="00625F75">
          <w:rPr>
            <w:noProof/>
            <w:webHidden/>
          </w:rPr>
          <w:fldChar w:fldCharType="separate"/>
        </w:r>
        <w:r w:rsidR="004D3F6F">
          <w:rPr>
            <w:noProof/>
            <w:webHidden/>
          </w:rPr>
          <w:t>5</w:t>
        </w:r>
        <w:r w:rsidR="00625F75">
          <w:rPr>
            <w:noProof/>
            <w:webHidden/>
          </w:rPr>
          <w:fldChar w:fldCharType="end"/>
        </w:r>
      </w:hyperlink>
    </w:p>
    <w:p w:rsidR="00625F75" w:rsidRDefault="002E7175" w:rsidP="00625F75">
      <w:pPr>
        <w:pStyle w:val="TM1"/>
        <w:jc w:val="both"/>
        <w:rPr>
          <w:rFonts w:asciiTheme="minorHAnsi" w:eastAsiaTheme="minorEastAsia" w:hAnsiTheme="minorHAnsi" w:cstheme="minorBidi"/>
          <w:b w:val="0"/>
          <w:bCs w:val="0"/>
          <w:caps w:val="0"/>
          <w:lang w:val="fr-BE" w:eastAsia="fr-BE"/>
        </w:rPr>
      </w:pPr>
      <w:hyperlink w:anchor="_Toc423509508" w:history="1">
        <w:r w:rsidR="00625F75" w:rsidRPr="00B03658">
          <w:rPr>
            <w:rStyle w:val="Lienhypertexte"/>
          </w:rPr>
          <w:t>II. Procedure van aanvraag tot regeling van een bevoegdheidsconflict</w:t>
        </w:r>
        <w:r w:rsidR="00625F75">
          <w:rPr>
            <w:webHidden/>
          </w:rPr>
          <w:tab/>
        </w:r>
        <w:r w:rsidR="00625F75">
          <w:rPr>
            <w:webHidden/>
          </w:rPr>
          <w:fldChar w:fldCharType="begin"/>
        </w:r>
        <w:r w:rsidR="00625F75">
          <w:rPr>
            <w:webHidden/>
          </w:rPr>
          <w:instrText xml:space="preserve"> PAGEREF _Toc423509508 \h </w:instrText>
        </w:r>
        <w:r w:rsidR="00625F75">
          <w:rPr>
            <w:webHidden/>
          </w:rPr>
        </w:r>
        <w:r w:rsidR="00625F75">
          <w:rPr>
            <w:webHidden/>
          </w:rPr>
          <w:fldChar w:fldCharType="separate"/>
        </w:r>
        <w:r w:rsidR="004D3F6F">
          <w:rPr>
            <w:webHidden/>
          </w:rPr>
          <w:t>7</w:t>
        </w:r>
        <w:r w:rsidR="00625F75">
          <w:rPr>
            <w:webHidden/>
          </w:rPr>
          <w:fldChar w:fldCharType="end"/>
        </w:r>
      </w:hyperlink>
    </w:p>
    <w:p w:rsidR="00625F75" w:rsidRDefault="002E7175" w:rsidP="00625F75">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23509509" w:history="1">
        <w:r w:rsidR="00625F75" w:rsidRPr="00B03658">
          <w:rPr>
            <w:rStyle w:val="Lienhypertexte"/>
            <w:noProof/>
            <w:lang w:val="nl-NL"/>
          </w:rPr>
          <w:t>1. De aanvragen tot regeling van conflicten ingediend door de OCMW's</w:t>
        </w:r>
        <w:r w:rsidR="00625F75">
          <w:rPr>
            <w:noProof/>
            <w:webHidden/>
          </w:rPr>
          <w:tab/>
        </w:r>
        <w:r w:rsidR="00625F75">
          <w:rPr>
            <w:noProof/>
            <w:webHidden/>
          </w:rPr>
          <w:fldChar w:fldCharType="begin"/>
        </w:r>
        <w:r w:rsidR="00625F75">
          <w:rPr>
            <w:noProof/>
            <w:webHidden/>
          </w:rPr>
          <w:instrText xml:space="preserve"> PAGEREF _Toc423509509 \h </w:instrText>
        </w:r>
        <w:r w:rsidR="00625F75">
          <w:rPr>
            <w:noProof/>
            <w:webHidden/>
          </w:rPr>
        </w:r>
        <w:r w:rsidR="00625F75">
          <w:rPr>
            <w:noProof/>
            <w:webHidden/>
          </w:rPr>
          <w:fldChar w:fldCharType="separate"/>
        </w:r>
        <w:r w:rsidR="004D3F6F">
          <w:rPr>
            <w:noProof/>
            <w:webHidden/>
          </w:rPr>
          <w:t>7</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10" w:history="1">
        <w:r w:rsidR="00625F75" w:rsidRPr="00B03658">
          <w:rPr>
            <w:rStyle w:val="Lienhypertexte"/>
            <w:b/>
            <w:noProof/>
            <w:lang w:val="nl-NL"/>
          </w:rPr>
          <w:t>1. Ontvankelijke en onontvankelijke aanvragen</w:t>
        </w:r>
        <w:r w:rsidR="00625F75">
          <w:rPr>
            <w:noProof/>
            <w:webHidden/>
          </w:rPr>
          <w:tab/>
        </w:r>
        <w:r w:rsidR="00625F75">
          <w:rPr>
            <w:noProof/>
            <w:webHidden/>
          </w:rPr>
          <w:fldChar w:fldCharType="begin"/>
        </w:r>
        <w:r w:rsidR="00625F75">
          <w:rPr>
            <w:noProof/>
            <w:webHidden/>
          </w:rPr>
          <w:instrText xml:space="preserve"> PAGEREF _Toc423509510 \h </w:instrText>
        </w:r>
        <w:r w:rsidR="00625F75">
          <w:rPr>
            <w:noProof/>
            <w:webHidden/>
          </w:rPr>
        </w:r>
        <w:r w:rsidR="00625F75">
          <w:rPr>
            <w:noProof/>
            <w:webHidden/>
          </w:rPr>
          <w:fldChar w:fldCharType="separate"/>
        </w:r>
        <w:r w:rsidR="004D3F6F">
          <w:rPr>
            <w:noProof/>
            <w:webHidden/>
          </w:rPr>
          <w:t>7</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11" w:history="1">
        <w:r w:rsidR="00625F75" w:rsidRPr="00B03658">
          <w:rPr>
            <w:rStyle w:val="Lienhypertexte"/>
            <w:noProof/>
            <w:lang w:val="nl-NL"/>
          </w:rPr>
          <w:t>1.1. Aantal onontvankelijke vragen in 2014</w:t>
        </w:r>
        <w:r w:rsidR="00625F75">
          <w:rPr>
            <w:noProof/>
            <w:webHidden/>
          </w:rPr>
          <w:tab/>
        </w:r>
        <w:r w:rsidR="00625F75">
          <w:rPr>
            <w:noProof/>
            <w:webHidden/>
          </w:rPr>
          <w:fldChar w:fldCharType="begin"/>
        </w:r>
        <w:r w:rsidR="00625F75">
          <w:rPr>
            <w:noProof/>
            <w:webHidden/>
          </w:rPr>
          <w:instrText xml:space="preserve"> PAGEREF _Toc423509511 \h </w:instrText>
        </w:r>
        <w:r w:rsidR="00625F75">
          <w:rPr>
            <w:noProof/>
            <w:webHidden/>
          </w:rPr>
        </w:r>
        <w:r w:rsidR="00625F75">
          <w:rPr>
            <w:noProof/>
            <w:webHidden/>
          </w:rPr>
          <w:fldChar w:fldCharType="separate"/>
        </w:r>
        <w:r w:rsidR="004D3F6F">
          <w:rPr>
            <w:noProof/>
            <w:webHidden/>
          </w:rPr>
          <w:t>7</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12" w:history="1">
        <w:r w:rsidR="00625F75" w:rsidRPr="00B03658">
          <w:rPr>
            <w:rStyle w:val="Lienhypertexte"/>
            <w:noProof/>
          </w:rPr>
          <w:t>1.2. Soorten onontvankelijke aanvragen</w:t>
        </w:r>
        <w:r w:rsidR="00625F75">
          <w:rPr>
            <w:noProof/>
            <w:webHidden/>
          </w:rPr>
          <w:tab/>
        </w:r>
        <w:r w:rsidR="00625F75">
          <w:rPr>
            <w:noProof/>
            <w:webHidden/>
          </w:rPr>
          <w:fldChar w:fldCharType="begin"/>
        </w:r>
        <w:r w:rsidR="00625F75">
          <w:rPr>
            <w:noProof/>
            <w:webHidden/>
          </w:rPr>
          <w:instrText xml:space="preserve"> PAGEREF _Toc423509512 \h </w:instrText>
        </w:r>
        <w:r w:rsidR="00625F75">
          <w:rPr>
            <w:noProof/>
            <w:webHidden/>
          </w:rPr>
        </w:r>
        <w:r w:rsidR="00625F75">
          <w:rPr>
            <w:noProof/>
            <w:webHidden/>
          </w:rPr>
          <w:fldChar w:fldCharType="separate"/>
        </w:r>
        <w:r w:rsidR="004D3F6F">
          <w:rPr>
            <w:noProof/>
            <w:webHidden/>
          </w:rPr>
          <w:t>7</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13" w:history="1">
        <w:r w:rsidR="00625F75" w:rsidRPr="00B03658">
          <w:rPr>
            <w:rStyle w:val="Lienhypertexte"/>
            <w:noProof/>
            <w:lang w:val="nl-NL"/>
          </w:rPr>
          <w:t>1.3. Adviezen van de Dienst OCMW-Wetgeving - Bevoegdheidsconflicten</w:t>
        </w:r>
        <w:r w:rsidR="00625F75">
          <w:rPr>
            <w:noProof/>
            <w:webHidden/>
          </w:rPr>
          <w:tab/>
        </w:r>
        <w:r w:rsidR="00625F75">
          <w:rPr>
            <w:noProof/>
            <w:webHidden/>
          </w:rPr>
          <w:fldChar w:fldCharType="begin"/>
        </w:r>
        <w:r w:rsidR="00625F75">
          <w:rPr>
            <w:noProof/>
            <w:webHidden/>
          </w:rPr>
          <w:instrText xml:space="preserve"> PAGEREF _Toc423509513 \h </w:instrText>
        </w:r>
        <w:r w:rsidR="00625F75">
          <w:rPr>
            <w:noProof/>
            <w:webHidden/>
          </w:rPr>
        </w:r>
        <w:r w:rsidR="00625F75">
          <w:rPr>
            <w:noProof/>
            <w:webHidden/>
          </w:rPr>
          <w:fldChar w:fldCharType="separate"/>
        </w:r>
        <w:r w:rsidR="004D3F6F">
          <w:rPr>
            <w:noProof/>
            <w:webHidden/>
          </w:rPr>
          <w:t>8</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14" w:history="1">
        <w:r w:rsidR="00625F75" w:rsidRPr="00B03658">
          <w:rPr>
            <w:rStyle w:val="Lienhypertexte"/>
            <w:b/>
            <w:bCs/>
            <w:noProof/>
            <w:lang w:val="nl-NL"/>
          </w:rPr>
          <w:t>2. De aanvragen zonder voorwerp</w:t>
        </w:r>
        <w:r w:rsidR="00625F75">
          <w:rPr>
            <w:noProof/>
            <w:webHidden/>
          </w:rPr>
          <w:tab/>
        </w:r>
        <w:r w:rsidR="00625F75">
          <w:rPr>
            <w:noProof/>
            <w:webHidden/>
          </w:rPr>
          <w:fldChar w:fldCharType="begin"/>
        </w:r>
        <w:r w:rsidR="00625F75">
          <w:rPr>
            <w:noProof/>
            <w:webHidden/>
          </w:rPr>
          <w:instrText xml:space="preserve"> PAGEREF _Toc423509514 \h </w:instrText>
        </w:r>
        <w:r w:rsidR="00625F75">
          <w:rPr>
            <w:noProof/>
            <w:webHidden/>
          </w:rPr>
        </w:r>
        <w:r w:rsidR="00625F75">
          <w:rPr>
            <w:noProof/>
            <w:webHidden/>
          </w:rPr>
          <w:fldChar w:fldCharType="separate"/>
        </w:r>
        <w:r w:rsidR="004D3F6F">
          <w:rPr>
            <w:noProof/>
            <w:webHidden/>
          </w:rPr>
          <w:t>8</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15" w:history="1">
        <w:r w:rsidR="00625F75" w:rsidRPr="00B03658">
          <w:rPr>
            <w:rStyle w:val="Lienhypertexte"/>
            <w:b/>
            <w:bCs/>
            <w:noProof/>
            <w:lang w:val="nl-NL"/>
          </w:rPr>
          <w:t>3. Welk OCMW wordt als bevoegd aangeduid?</w:t>
        </w:r>
        <w:r w:rsidR="00625F75">
          <w:rPr>
            <w:noProof/>
            <w:webHidden/>
          </w:rPr>
          <w:tab/>
        </w:r>
        <w:r w:rsidR="00625F75">
          <w:rPr>
            <w:noProof/>
            <w:webHidden/>
          </w:rPr>
          <w:fldChar w:fldCharType="begin"/>
        </w:r>
        <w:r w:rsidR="00625F75">
          <w:rPr>
            <w:noProof/>
            <w:webHidden/>
          </w:rPr>
          <w:instrText xml:space="preserve"> PAGEREF _Toc423509515 \h </w:instrText>
        </w:r>
        <w:r w:rsidR="00625F75">
          <w:rPr>
            <w:noProof/>
            <w:webHidden/>
          </w:rPr>
        </w:r>
        <w:r w:rsidR="00625F75">
          <w:rPr>
            <w:noProof/>
            <w:webHidden/>
          </w:rPr>
          <w:fldChar w:fldCharType="separate"/>
        </w:r>
        <w:r w:rsidR="004D3F6F">
          <w:rPr>
            <w:noProof/>
            <w:webHidden/>
          </w:rPr>
          <w:t>9</w:t>
        </w:r>
        <w:r w:rsidR="00625F75">
          <w:rPr>
            <w:noProof/>
            <w:webHidden/>
          </w:rPr>
          <w:fldChar w:fldCharType="end"/>
        </w:r>
      </w:hyperlink>
    </w:p>
    <w:p w:rsidR="00625F75" w:rsidRDefault="002E7175" w:rsidP="00625F75">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23509516" w:history="1">
        <w:r w:rsidR="00625F75" w:rsidRPr="00B03658">
          <w:rPr>
            <w:rStyle w:val="Lienhypertexte"/>
            <w:noProof/>
            <w:lang w:val="nl-NL"/>
          </w:rPr>
          <w:t>2. Opmerkingen</w:t>
        </w:r>
        <w:r w:rsidR="00625F75">
          <w:rPr>
            <w:noProof/>
            <w:webHidden/>
          </w:rPr>
          <w:tab/>
        </w:r>
        <w:r w:rsidR="00625F75">
          <w:rPr>
            <w:noProof/>
            <w:webHidden/>
          </w:rPr>
          <w:fldChar w:fldCharType="begin"/>
        </w:r>
        <w:r w:rsidR="00625F75">
          <w:rPr>
            <w:noProof/>
            <w:webHidden/>
          </w:rPr>
          <w:instrText xml:space="preserve"> PAGEREF _Toc423509516 \h </w:instrText>
        </w:r>
        <w:r w:rsidR="00625F75">
          <w:rPr>
            <w:noProof/>
            <w:webHidden/>
          </w:rPr>
        </w:r>
        <w:r w:rsidR="00625F75">
          <w:rPr>
            <w:noProof/>
            <w:webHidden/>
          </w:rPr>
          <w:fldChar w:fldCharType="separate"/>
        </w:r>
        <w:r w:rsidR="004D3F6F">
          <w:rPr>
            <w:noProof/>
            <w:webHidden/>
          </w:rPr>
          <w:t>11</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17" w:history="1">
        <w:r w:rsidR="00625F75" w:rsidRPr="00B03658">
          <w:rPr>
            <w:rStyle w:val="Lienhypertexte"/>
            <w:b/>
            <w:bCs/>
            <w:noProof/>
            <w:lang w:val="nl-NL"/>
          </w:rPr>
          <w:t>1. Onvolledige dossiers</w:t>
        </w:r>
        <w:r w:rsidR="00625F75">
          <w:rPr>
            <w:noProof/>
            <w:webHidden/>
          </w:rPr>
          <w:tab/>
        </w:r>
        <w:r w:rsidR="00625F75">
          <w:rPr>
            <w:noProof/>
            <w:webHidden/>
          </w:rPr>
          <w:fldChar w:fldCharType="begin"/>
        </w:r>
        <w:r w:rsidR="00625F75">
          <w:rPr>
            <w:noProof/>
            <w:webHidden/>
          </w:rPr>
          <w:instrText xml:space="preserve"> PAGEREF _Toc423509517 \h </w:instrText>
        </w:r>
        <w:r w:rsidR="00625F75">
          <w:rPr>
            <w:noProof/>
            <w:webHidden/>
          </w:rPr>
        </w:r>
        <w:r w:rsidR="00625F75">
          <w:rPr>
            <w:noProof/>
            <w:webHidden/>
          </w:rPr>
          <w:fldChar w:fldCharType="separate"/>
        </w:r>
        <w:r w:rsidR="004D3F6F">
          <w:rPr>
            <w:noProof/>
            <w:webHidden/>
          </w:rPr>
          <w:t>11</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18" w:history="1">
        <w:r w:rsidR="00625F75" w:rsidRPr="00B03658">
          <w:rPr>
            <w:rStyle w:val="Lienhypertexte"/>
            <w:b/>
            <w:bCs/>
            <w:noProof/>
            <w:lang w:val="nl-NL"/>
          </w:rPr>
          <w:t>2. Behandelingstermijn van de conflicten</w:t>
        </w:r>
        <w:r w:rsidR="00625F75">
          <w:rPr>
            <w:noProof/>
            <w:webHidden/>
          </w:rPr>
          <w:tab/>
        </w:r>
        <w:r w:rsidR="00625F75">
          <w:rPr>
            <w:noProof/>
            <w:webHidden/>
          </w:rPr>
          <w:fldChar w:fldCharType="begin"/>
        </w:r>
        <w:r w:rsidR="00625F75">
          <w:rPr>
            <w:noProof/>
            <w:webHidden/>
          </w:rPr>
          <w:instrText xml:space="preserve"> PAGEREF _Toc423509518 \h </w:instrText>
        </w:r>
        <w:r w:rsidR="00625F75">
          <w:rPr>
            <w:noProof/>
            <w:webHidden/>
          </w:rPr>
        </w:r>
        <w:r w:rsidR="00625F75">
          <w:rPr>
            <w:noProof/>
            <w:webHidden/>
          </w:rPr>
          <w:fldChar w:fldCharType="separate"/>
        </w:r>
        <w:r w:rsidR="004D3F6F">
          <w:rPr>
            <w:noProof/>
            <w:webHidden/>
          </w:rPr>
          <w:t>11</w:t>
        </w:r>
        <w:r w:rsidR="00625F75">
          <w:rPr>
            <w:noProof/>
            <w:webHidden/>
          </w:rPr>
          <w:fldChar w:fldCharType="end"/>
        </w:r>
      </w:hyperlink>
    </w:p>
    <w:p w:rsidR="00625F75" w:rsidRDefault="002E7175" w:rsidP="00625F75">
      <w:pPr>
        <w:pStyle w:val="TM1"/>
        <w:jc w:val="both"/>
        <w:rPr>
          <w:rFonts w:asciiTheme="minorHAnsi" w:eastAsiaTheme="minorEastAsia" w:hAnsiTheme="minorHAnsi" w:cstheme="minorBidi"/>
          <w:b w:val="0"/>
          <w:bCs w:val="0"/>
          <w:caps w:val="0"/>
          <w:lang w:val="fr-BE" w:eastAsia="fr-BE"/>
        </w:rPr>
      </w:pPr>
      <w:hyperlink w:anchor="_Toc423509519" w:history="1">
        <w:r w:rsidR="00625F75" w:rsidRPr="00B03658">
          <w:rPr>
            <w:rStyle w:val="Lienhypertexte"/>
          </w:rPr>
          <w:t>III. Aard van de conflicten</w:t>
        </w:r>
        <w:r w:rsidR="00625F75">
          <w:rPr>
            <w:webHidden/>
          </w:rPr>
          <w:tab/>
        </w:r>
        <w:r w:rsidR="00625F75">
          <w:rPr>
            <w:webHidden/>
          </w:rPr>
          <w:fldChar w:fldCharType="begin"/>
        </w:r>
        <w:r w:rsidR="00625F75">
          <w:rPr>
            <w:webHidden/>
          </w:rPr>
          <w:instrText xml:space="preserve"> PAGEREF _Toc423509519 \h </w:instrText>
        </w:r>
        <w:r w:rsidR="00625F75">
          <w:rPr>
            <w:webHidden/>
          </w:rPr>
        </w:r>
        <w:r w:rsidR="00625F75">
          <w:rPr>
            <w:webHidden/>
          </w:rPr>
          <w:fldChar w:fldCharType="separate"/>
        </w:r>
        <w:r w:rsidR="004D3F6F">
          <w:rPr>
            <w:webHidden/>
          </w:rPr>
          <w:t>13</w:t>
        </w:r>
        <w:r w:rsidR="00625F75">
          <w:rPr>
            <w:webHidden/>
          </w:rPr>
          <w:fldChar w:fldCharType="end"/>
        </w:r>
      </w:hyperlink>
    </w:p>
    <w:p w:rsidR="00625F75" w:rsidRDefault="002E7175" w:rsidP="00625F75">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23509520" w:history="1">
        <w:r w:rsidR="00625F75" w:rsidRPr="00B03658">
          <w:rPr>
            <w:rStyle w:val="Lienhypertexte"/>
            <w:noProof/>
            <w:lang w:val="nl-NL"/>
          </w:rPr>
          <w:t>1. Statistieken</w:t>
        </w:r>
        <w:r w:rsidR="00625F75">
          <w:rPr>
            <w:noProof/>
            <w:webHidden/>
          </w:rPr>
          <w:tab/>
        </w:r>
        <w:r w:rsidR="00625F75">
          <w:rPr>
            <w:noProof/>
            <w:webHidden/>
          </w:rPr>
          <w:fldChar w:fldCharType="begin"/>
        </w:r>
        <w:r w:rsidR="00625F75">
          <w:rPr>
            <w:noProof/>
            <w:webHidden/>
          </w:rPr>
          <w:instrText xml:space="preserve"> PAGEREF _Toc423509520 \h </w:instrText>
        </w:r>
        <w:r w:rsidR="00625F75">
          <w:rPr>
            <w:noProof/>
            <w:webHidden/>
          </w:rPr>
        </w:r>
        <w:r w:rsidR="00625F75">
          <w:rPr>
            <w:noProof/>
            <w:webHidden/>
          </w:rPr>
          <w:fldChar w:fldCharType="separate"/>
        </w:r>
        <w:r w:rsidR="004D3F6F">
          <w:rPr>
            <w:noProof/>
            <w:webHidden/>
          </w:rPr>
          <w:t>13</w:t>
        </w:r>
        <w:r w:rsidR="00625F75">
          <w:rPr>
            <w:noProof/>
            <w:webHidden/>
          </w:rPr>
          <w:fldChar w:fldCharType="end"/>
        </w:r>
      </w:hyperlink>
    </w:p>
    <w:p w:rsidR="00625F75" w:rsidRDefault="002E7175" w:rsidP="00625F75">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23509521" w:history="1">
        <w:r w:rsidR="00625F75" w:rsidRPr="00B03658">
          <w:rPr>
            <w:rStyle w:val="Lienhypertexte"/>
            <w:noProof/>
            <w:lang w:val="nl-NL"/>
          </w:rPr>
          <w:t>2. Conflicten over de bepaling van de gewoonlijke verblijfplaats</w:t>
        </w:r>
        <w:r w:rsidR="00625F75">
          <w:rPr>
            <w:noProof/>
            <w:webHidden/>
          </w:rPr>
          <w:tab/>
        </w:r>
        <w:r w:rsidR="00625F75">
          <w:rPr>
            <w:noProof/>
            <w:webHidden/>
          </w:rPr>
          <w:fldChar w:fldCharType="begin"/>
        </w:r>
        <w:r w:rsidR="00625F75">
          <w:rPr>
            <w:noProof/>
            <w:webHidden/>
          </w:rPr>
          <w:instrText xml:space="preserve"> PAGEREF _Toc423509521 \h </w:instrText>
        </w:r>
        <w:r w:rsidR="00625F75">
          <w:rPr>
            <w:noProof/>
            <w:webHidden/>
          </w:rPr>
        </w:r>
        <w:r w:rsidR="00625F75">
          <w:rPr>
            <w:noProof/>
            <w:webHidden/>
          </w:rPr>
          <w:fldChar w:fldCharType="separate"/>
        </w:r>
        <w:r w:rsidR="004D3F6F">
          <w:rPr>
            <w:noProof/>
            <w:webHidden/>
          </w:rPr>
          <w:t>15</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22" w:history="1">
        <w:r w:rsidR="00625F75" w:rsidRPr="00B03658">
          <w:rPr>
            <w:rStyle w:val="Lienhypertexte"/>
            <w:b/>
            <w:noProof/>
            <w:lang w:val="nl-NL"/>
          </w:rPr>
          <w:t>1. Aantal dossiers in 2014</w:t>
        </w:r>
        <w:r w:rsidR="00625F75">
          <w:rPr>
            <w:noProof/>
            <w:webHidden/>
          </w:rPr>
          <w:tab/>
        </w:r>
        <w:r w:rsidR="00625F75">
          <w:rPr>
            <w:noProof/>
            <w:webHidden/>
          </w:rPr>
          <w:fldChar w:fldCharType="begin"/>
        </w:r>
        <w:r w:rsidR="00625F75">
          <w:rPr>
            <w:noProof/>
            <w:webHidden/>
          </w:rPr>
          <w:instrText xml:space="preserve"> PAGEREF _Toc423509522 \h </w:instrText>
        </w:r>
        <w:r w:rsidR="00625F75">
          <w:rPr>
            <w:noProof/>
            <w:webHidden/>
          </w:rPr>
        </w:r>
        <w:r w:rsidR="00625F75">
          <w:rPr>
            <w:noProof/>
            <w:webHidden/>
          </w:rPr>
          <w:fldChar w:fldCharType="separate"/>
        </w:r>
        <w:r w:rsidR="004D3F6F">
          <w:rPr>
            <w:noProof/>
            <w:webHidden/>
          </w:rPr>
          <w:t>15</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23" w:history="1">
        <w:r w:rsidR="00625F75" w:rsidRPr="00B03658">
          <w:rPr>
            <w:rStyle w:val="Lienhypertexte"/>
            <w:b/>
            <w:bCs/>
            <w:noProof/>
            <w:lang w:val="nl-NL"/>
          </w:rPr>
          <w:t>2. Wettelijke bepaling</w:t>
        </w:r>
        <w:r w:rsidR="00625F75">
          <w:rPr>
            <w:noProof/>
            <w:webHidden/>
          </w:rPr>
          <w:tab/>
        </w:r>
        <w:r w:rsidR="00625F75">
          <w:rPr>
            <w:noProof/>
            <w:webHidden/>
          </w:rPr>
          <w:fldChar w:fldCharType="begin"/>
        </w:r>
        <w:r w:rsidR="00625F75">
          <w:rPr>
            <w:noProof/>
            <w:webHidden/>
          </w:rPr>
          <w:instrText xml:space="preserve"> PAGEREF _Toc423509523 \h </w:instrText>
        </w:r>
        <w:r w:rsidR="00625F75">
          <w:rPr>
            <w:noProof/>
            <w:webHidden/>
          </w:rPr>
        </w:r>
        <w:r w:rsidR="00625F75">
          <w:rPr>
            <w:noProof/>
            <w:webHidden/>
          </w:rPr>
          <w:fldChar w:fldCharType="separate"/>
        </w:r>
        <w:r w:rsidR="004D3F6F">
          <w:rPr>
            <w:noProof/>
            <w:webHidden/>
          </w:rPr>
          <w:t>15</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24" w:history="1">
        <w:r w:rsidR="00625F75" w:rsidRPr="00B03658">
          <w:rPr>
            <w:rStyle w:val="Lienhypertexte"/>
            <w:b/>
            <w:bCs/>
            <w:noProof/>
            <w:lang w:val="nl-NL"/>
          </w:rPr>
          <w:t>3. Opmerkingen over de toepassing van de algemene bevoegdheidsregel</w:t>
        </w:r>
        <w:r w:rsidR="00625F75">
          <w:rPr>
            <w:noProof/>
            <w:webHidden/>
          </w:rPr>
          <w:tab/>
        </w:r>
        <w:r w:rsidR="00625F75">
          <w:rPr>
            <w:noProof/>
            <w:webHidden/>
          </w:rPr>
          <w:fldChar w:fldCharType="begin"/>
        </w:r>
        <w:r w:rsidR="00625F75">
          <w:rPr>
            <w:noProof/>
            <w:webHidden/>
          </w:rPr>
          <w:instrText xml:space="preserve"> PAGEREF _Toc423509524 \h </w:instrText>
        </w:r>
        <w:r w:rsidR="00625F75">
          <w:rPr>
            <w:noProof/>
            <w:webHidden/>
          </w:rPr>
        </w:r>
        <w:r w:rsidR="00625F75">
          <w:rPr>
            <w:noProof/>
            <w:webHidden/>
          </w:rPr>
          <w:fldChar w:fldCharType="separate"/>
        </w:r>
        <w:r w:rsidR="004D3F6F">
          <w:rPr>
            <w:noProof/>
            <w:webHidden/>
          </w:rPr>
          <w:t>15</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25" w:history="1">
        <w:r w:rsidR="00625F75" w:rsidRPr="00B03658">
          <w:rPr>
            <w:rStyle w:val="Lienhypertexte"/>
            <w:noProof/>
            <w:lang w:val="nl-NL"/>
          </w:rPr>
          <w:t>3.1. De gewoonlijke verblijfplaats wordt bepaald op het ogenblik van de steunaanvraag</w:t>
        </w:r>
        <w:r w:rsidR="00625F75">
          <w:rPr>
            <w:noProof/>
            <w:webHidden/>
          </w:rPr>
          <w:tab/>
        </w:r>
        <w:r w:rsidR="00625F75">
          <w:rPr>
            <w:noProof/>
            <w:webHidden/>
          </w:rPr>
          <w:fldChar w:fldCharType="begin"/>
        </w:r>
        <w:r w:rsidR="00625F75">
          <w:rPr>
            <w:noProof/>
            <w:webHidden/>
          </w:rPr>
          <w:instrText xml:space="preserve"> PAGEREF _Toc423509525 \h </w:instrText>
        </w:r>
        <w:r w:rsidR="00625F75">
          <w:rPr>
            <w:noProof/>
            <w:webHidden/>
          </w:rPr>
        </w:r>
        <w:r w:rsidR="00625F75">
          <w:rPr>
            <w:noProof/>
            <w:webHidden/>
          </w:rPr>
          <w:fldChar w:fldCharType="separate"/>
        </w:r>
        <w:r w:rsidR="004D3F6F">
          <w:rPr>
            <w:noProof/>
            <w:webHidden/>
          </w:rPr>
          <w:t>15</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26" w:history="1">
        <w:r w:rsidR="00625F75" w:rsidRPr="00B03658">
          <w:rPr>
            <w:rStyle w:val="Lienhypertexte"/>
            <w:noProof/>
            <w:lang w:val="nl-NL"/>
          </w:rPr>
          <w:t>3.2. Bepaling van de gewoonlijke verblijfplaats</w:t>
        </w:r>
        <w:r w:rsidR="00625F75">
          <w:rPr>
            <w:noProof/>
            <w:webHidden/>
          </w:rPr>
          <w:tab/>
        </w:r>
        <w:r w:rsidR="00625F75">
          <w:rPr>
            <w:noProof/>
            <w:webHidden/>
          </w:rPr>
          <w:fldChar w:fldCharType="begin"/>
        </w:r>
        <w:r w:rsidR="00625F75">
          <w:rPr>
            <w:noProof/>
            <w:webHidden/>
          </w:rPr>
          <w:instrText xml:space="preserve"> PAGEREF _Toc423509526 \h </w:instrText>
        </w:r>
        <w:r w:rsidR="00625F75">
          <w:rPr>
            <w:noProof/>
            <w:webHidden/>
          </w:rPr>
        </w:r>
        <w:r w:rsidR="00625F75">
          <w:rPr>
            <w:noProof/>
            <w:webHidden/>
          </w:rPr>
          <w:fldChar w:fldCharType="separate"/>
        </w:r>
        <w:r w:rsidR="004D3F6F">
          <w:rPr>
            <w:noProof/>
            <w:webHidden/>
          </w:rPr>
          <w:t>17</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27" w:history="1">
        <w:r w:rsidR="00625F75" w:rsidRPr="00B03658">
          <w:rPr>
            <w:rStyle w:val="Lienhypertexte"/>
            <w:noProof/>
            <w:lang w:val="nl-NL"/>
          </w:rPr>
          <w:t>3.3. De toevallige verblijfplaats</w:t>
        </w:r>
        <w:r w:rsidR="00625F75">
          <w:rPr>
            <w:noProof/>
            <w:webHidden/>
          </w:rPr>
          <w:tab/>
        </w:r>
        <w:r w:rsidR="00625F75">
          <w:rPr>
            <w:noProof/>
            <w:webHidden/>
          </w:rPr>
          <w:fldChar w:fldCharType="begin"/>
        </w:r>
        <w:r w:rsidR="00625F75">
          <w:rPr>
            <w:noProof/>
            <w:webHidden/>
          </w:rPr>
          <w:instrText xml:space="preserve"> PAGEREF _Toc423509527 \h </w:instrText>
        </w:r>
        <w:r w:rsidR="00625F75">
          <w:rPr>
            <w:noProof/>
            <w:webHidden/>
          </w:rPr>
        </w:r>
        <w:r w:rsidR="00625F75">
          <w:rPr>
            <w:noProof/>
            <w:webHidden/>
          </w:rPr>
          <w:fldChar w:fldCharType="separate"/>
        </w:r>
        <w:r w:rsidR="004D3F6F">
          <w:rPr>
            <w:noProof/>
            <w:webHidden/>
          </w:rPr>
          <w:t>17</w:t>
        </w:r>
        <w:r w:rsidR="00625F75">
          <w:rPr>
            <w:noProof/>
            <w:webHidden/>
          </w:rPr>
          <w:fldChar w:fldCharType="end"/>
        </w:r>
      </w:hyperlink>
    </w:p>
    <w:p w:rsidR="00625F75" w:rsidRDefault="002E7175" w:rsidP="00625F75">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23509528" w:history="1">
        <w:r w:rsidR="00625F75" w:rsidRPr="00B03658">
          <w:rPr>
            <w:rStyle w:val="Lienhypertexte"/>
            <w:noProof/>
            <w:lang w:val="nl-NL"/>
          </w:rPr>
          <w:t>3. Conflicten m.b.t. de hulpaanvrager die in een instelling verblijft</w:t>
        </w:r>
        <w:r w:rsidR="00625F75">
          <w:rPr>
            <w:noProof/>
            <w:webHidden/>
          </w:rPr>
          <w:tab/>
        </w:r>
        <w:r w:rsidR="00625F75">
          <w:rPr>
            <w:noProof/>
            <w:webHidden/>
          </w:rPr>
          <w:fldChar w:fldCharType="begin"/>
        </w:r>
        <w:r w:rsidR="00625F75">
          <w:rPr>
            <w:noProof/>
            <w:webHidden/>
          </w:rPr>
          <w:instrText xml:space="preserve"> PAGEREF _Toc423509528 \h </w:instrText>
        </w:r>
        <w:r w:rsidR="00625F75">
          <w:rPr>
            <w:noProof/>
            <w:webHidden/>
          </w:rPr>
        </w:r>
        <w:r w:rsidR="00625F75">
          <w:rPr>
            <w:noProof/>
            <w:webHidden/>
          </w:rPr>
          <w:fldChar w:fldCharType="separate"/>
        </w:r>
        <w:r w:rsidR="004D3F6F">
          <w:rPr>
            <w:noProof/>
            <w:webHidden/>
          </w:rPr>
          <w:t>19</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29" w:history="1">
        <w:r w:rsidR="00625F75" w:rsidRPr="00B03658">
          <w:rPr>
            <w:rStyle w:val="Lienhypertexte"/>
            <w:b/>
            <w:bCs/>
            <w:noProof/>
            <w:lang w:val="nl-NL"/>
          </w:rPr>
          <w:t>1. Aantal dossiers in 2014</w:t>
        </w:r>
        <w:r w:rsidR="00625F75">
          <w:rPr>
            <w:noProof/>
            <w:webHidden/>
          </w:rPr>
          <w:tab/>
        </w:r>
        <w:r w:rsidR="00625F75">
          <w:rPr>
            <w:noProof/>
            <w:webHidden/>
          </w:rPr>
          <w:fldChar w:fldCharType="begin"/>
        </w:r>
        <w:r w:rsidR="00625F75">
          <w:rPr>
            <w:noProof/>
            <w:webHidden/>
          </w:rPr>
          <w:instrText xml:space="preserve"> PAGEREF _Toc423509529 \h </w:instrText>
        </w:r>
        <w:r w:rsidR="00625F75">
          <w:rPr>
            <w:noProof/>
            <w:webHidden/>
          </w:rPr>
        </w:r>
        <w:r w:rsidR="00625F75">
          <w:rPr>
            <w:noProof/>
            <w:webHidden/>
          </w:rPr>
          <w:fldChar w:fldCharType="separate"/>
        </w:r>
        <w:r w:rsidR="004D3F6F">
          <w:rPr>
            <w:noProof/>
            <w:webHidden/>
          </w:rPr>
          <w:t>19</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30" w:history="1">
        <w:r w:rsidR="00625F75" w:rsidRPr="00B03658">
          <w:rPr>
            <w:rStyle w:val="Lienhypertexte"/>
            <w:b/>
            <w:bCs/>
            <w:noProof/>
          </w:rPr>
          <w:t>2. Wettelijke bepaling</w:t>
        </w:r>
        <w:r w:rsidR="00625F75">
          <w:rPr>
            <w:noProof/>
            <w:webHidden/>
          </w:rPr>
          <w:tab/>
        </w:r>
        <w:r w:rsidR="00625F75">
          <w:rPr>
            <w:noProof/>
            <w:webHidden/>
          </w:rPr>
          <w:fldChar w:fldCharType="begin"/>
        </w:r>
        <w:r w:rsidR="00625F75">
          <w:rPr>
            <w:noProof/>
            <w:webHidden/>
          </w:rPr>
          <w:instrText xml:space="preserve"> PAGEREF _Toc423509530 \h </w:instrText>
        </w:r>
        <w:r w:rsidR="00625F75">
          <w:rPr>
            <w:noProof/>
            <w:webHidden/>
          </w:rPr>
        </w:r>
        <w:r w:rsidR="00625F75">
          <w:rPr>
            <w:noProof/>
            <w:webHidden/>
          </w:rPr>
          <w:fldChar w:fldCharType="separate"/>
        </w:r>
        <w:r w:rsidR="004D3F6F">
          <w:rPr>
            <w:noProof/>
            <w:webHidden/>
          </w:rPr>
          <w:t>19</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31" w:history="1">
        <w:r w:rsidR="00625F75" w:rsidRPr="00B03658">
          <w:rPr>
            <w:rStyle w:val="Lienhypertexte"/>
            <w:b/>
            <w:bCs/>
            <w:noProof/>
            <w:lang w:val="nl-NL"/>
          </w:rPr>
          <w:t>3. Opmerkingen over de toepassingen van paragrafen 1 en 3 van artikel 2 van de wet van 02/04/1965</w:t>
        </w:r>
        <w:r w:rsidR="00625F75">
          <w:rPr>
            <w:noProof/>
            <w:webHidden/>
          </w:rPr>
          <w:tab/>
        </w:r>
        <w:r w:rsidR="00625F75">
          <w:rPr>
            <w:noProof/>
            <w:webHidden/>
          </w:rPr>
          <w:fldChar w:fldCharType="begin"/>
        </w:r>
        <w:r w:rsidR="00625F75">
          <w:rPr>
            <w:noProof/>
            <w:webHidden/>
          </w:rPr>
          <w:instrText xml:space="preserve"> PAGEREF _Toc423509531 \h </w:instrText>
        </w:r>
        <w:r w:rsidR="00625F75">
          <w:rPr>
            <w:noProof/>
            <w:webHidden/>
          </w:rPr>
        </w:r>
        <w:r w:rsidR="00625F75">
          <w:rPr>
            <w:noProof/>
            <w:webHidden/>
          </w:rPr>
          <w:fldChar w:fldCharType="separate"/>
        </w:r>
        <w:r w:rsidR="004D3F6F">
          <w:rPr>
            <w:noProof/>
            <w:webHidden/>
          </w:rPr>
          <w:t>20</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32" w:history="1">
        <w:r w:rsidR="00625F75" w:rsidRPr="00B03658">
          <w:rPr>
            <w:rStyle w:val="Lienhypertexte"/>
            <w:noProof/>
            <w:lang w:val="nl-NL"/>
          </w:rPr>
          <w:t>3.1. Uitbreiding van de lijst van instellingen van artikel 2, § 1,1° ,van de wet van 2 april 1965</w:t>
        </w:r>
        <w:r w:rsidR="00625F75">
          <w:rPr>
            <w:noProof/>
            <w:webHidden/>
          </w:rPr>
          <w:tab/>
        </w:r>
        <w:r w:rsidR="00625F75">
          <w:rPr>
            <w:noProof/>
            <w:webHidden/>
          </w:rPr>
          <w:fldChar w:fldCharType="begin"/>
        </w:r>
        <w:r w:rsidR="00625F75">
          <w:rPr>
            <w:noProof/>
            <w:webHidden/>
          </w:rPr>
          <w:instrText xml:space="preserve"> PAGEREF _Toc423509532 \h </w:instrText>
        </w:r>
        <w:r w:rsidR="00625F75">
          <w:rPr>
            <w:noProof/>
            <w:webHidden/>
          </w:rPr>
        </w:r>
        <w:r w:rsidR="00625F75">
          <w:rPr>
            <w:noProof/>
            <w:webHidden/>
          </w:rPr>
          <w:fldChar w:fldCharType="separate"/>
        </w:r>
        <w:r w:rsidR="004D3F6F">
          <w:rPr>
            <w:noProof/>
            <w:webHidden/>
          </w:rPr>
          <w:t>21</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33" w:history="1">
        <w:r w:rsidR="00625F75" w:rsidRPr="00B03658">
          <w:rPr>
            <w:rStyle w:val="Lienhypertexte"/>
            <w:noProof/>
            <w:lang w:val="nl-NL"/>
          </w:rPr>
          <w:t>3.2. De inschrijving, als hoofdverblijfplaats, in het gemeentelijk bevolkingsregister</w:t>
        </w:r>
        <w:r w:rsidR="00625F75">
          <w:rPr>
            <w:noProof/>
            <w:webHidden/>
          </w:rPr>
          <w:tab/>
        </w:r>
        <w:r w:rsidR="00625F75">
          <w:rPr>
            <w:noProof/>
            <w:webHidden/>
          </w:rPr>
          <w:fldChar w:fldCharType="begin"/>
        </w:r>
        <w:r w:rsidR="00625F75">
          <w:rPr>
            <w:noProof/>
            <w:webHidden/>
          </w:rPr>
          <w:instrText xml:space="preserve"> PAGEREF _Toc423509533 \h </w:instrText>
        </w:r>
        <w:r w:rsidR="00625F75">
          <w:rPr>
            <w:noProof/>
            <w:webHidden/>
          </w:rPr>
        </w:r>
        <w:r w:rsidR="00625F75">
          <w:rPr>
            <w:noProof/>
            <w:webHidden/>
          </w:rPr>
          <w:fldChar w:fldCharType="separate"/>
        </w:r>
        <w:r w:rsidR="004D3F6F">
          <w:rPr>
            <w:noProof/>
            <w:webHidden/>
          </w:rPr>
          <w:t>22</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34" w:history="1">
        <w:r w:rsidR="00625F75" w:rsidRPr="00B03658">
          <w:rPr>
            <w:rStyle w:val="Lienhypertexte"/>
            <w:noProof/>
            <w:lang w:val="nl-NL"/>
          </w:rPr>
          <w:t>3.3. De regel van de continuïteit van artikel 2, §3,  van de wet van 2 april 1965.</w:t>
        </w:r>
        <w:r w:rsidR="00625F75">
          <w:rPr>
            <w:noProof/>
            <w:webHidden/>
          </w:rPr>
          <w:tab/>
        </w:r>
        <w:r w:rsidR="00625F75">
          <w:rPr>
            <w:noProof/>
            <w:webHidden/>
          </w:rPr>
          <w:fldChar w:fldCharType="begin"/>
        </w:r>
        <w:r w:rsidR="00625F75">
          <w:rPr>
            <w:noProof/>
            <w:webHidden/>
          </w:rPr>
          <w:instrText xml:space="preserve"> PAGEREF _Toc423509534 \h </w:instrText>
        </w:r>
        <w:r w:rsidR="00625F75">
          <w:rPr>
            <w:noProof/>
            <w:webHidden/>
          </w:rPr>
        </w:r>
        <w:r w:rsidR="00625F75">
          <w:rPr>
            <w:noProof/>
            <w:webHidden/>
          </w:rPr>
          <w:fldChar w:fldCharType="separate"/>
        </w:r>
        <w:r w:rsidR="004D3F6F">
          <w:rPr>
            <w:noProof/>
            <w:webHidden/>
          </w:rPr>
          <w:t>24</w:t>
        </w:r>
        <w:r w:rsidR="00625F75">
          <w:rPr>
            <w:noProof/>
            <w:webHidden/>
          </w:rPr>
          <w:fldChar w:fldCharType="end"/>
        </w:r>
      </w:hyperlink>
    </w:p>
    <w:p w:rsidR="00625F75" w:rsidRDefault="002E7175" w:rsidP="00625F75">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23509535" w:history="1">
        <w:r w:rsidR="00625F75" w:rsidRPr="00B03658">
          <w:rPr>
            <w:rStyle w:val="Lienhypertexte"/>
            <w:noProof/>
            <w:lang w:val="nl-NL"/>
          </w:rPr>
          <w:t>4. Conflicten inzake studenten</w:t>
        </w:r>
        <w:r w:rsidR="00625F75">
          <w:rPr>
            <w:noProof/>
            <w:webHidden/>
          </w:rPr>
          <w:tab/>
        </w:r>
        <w:r w:rsidR="00625F75">
          <w:rPr>
            <w:noProof/>
            <w:webHidden/>
          </w:rPr>
          <w:fldChar w:fldCharType="begin"/>
        </w:r>
        <w:r w:rsidR="00625F75">
          <w:rPr>
            <w:noProof/>
            <w:webHidden/>
          </w:rPr>
          <w:instrText xml:space="preserve"> PAGEREF _Toc423509535 \h </w:instrText>
        </w:r>
        <w:r w:rsidR="00625F75">
          <w:rPr>
            <w:noProof/>
            <w:webHidden/>
          </w:rPr>
        </w:r>
        <w:r w:rsidR="00625F75">
          <w:rPr>
            <w:noProof/>
            <w:webHidden/>
          </w:rPr>
          <w:fldChar w:fldCharType="separate"/>
        </w:r>
        <w:r w:rsidR="004D3F6F">
          <w:rPr>
            <w:noProof/>
            <w:webHidden/>
          </w:rPr>
          <w:t>25</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36" w:history="1">
        <w:r w:rsidR="00625F75" w:rsidRPr="00B03658">
          <w:rPr>
            <w:rStyle w:val="Lienhypertexte"/>
            <w:b/>
            <w:bCs/>
            <w:noProof/>
            <w:lang w:val="nl-NL"/>
          </w:rPr>
          <w:t>1. Aantal dossiers in 2014</w:t>
        </w:r>
        <w:r w:rsidR="00625F75">
          <w:rPr>
            <w:noProof/>
            <w:webHidden/>
          </w:rPr>
          <w:tab/>
        </w:r>
        <w:r w:rsidR="00625F75">
          <w:rPr>
            <w:noProof/>
            <w:webHidden/>
          </w:rPr>
          <w:fldChar w:fldCharType="begin"/>
        </w:r>
        <w:r w:rsidR="00625F75">
          <w:rPr>
            <w:noProof/>
            <w:webHidden/>
          </w:rPr>
          <w:instrText xml:space="preserve"> PAGEREF _Toc423509536 \h </w:instrText>
        </w:r>
        <w:r w:rsidR="00625F75">
          <w:rPr>
            <w:noProof/>
            <w:webHidden/>
          </w:rPr>
        </w:r>
        <w:r w:rsidR="00625F75">
          <w:rPr>
            <w:noProof/>
            <w:webHidden/>
          </w:rPr>
          <w:fldChar w:fldCharType="separate"/>
        </w:r>
        <w:r w:rsidR="004D3F6F">
          <w:rPr>
            <w:noProof/>
            <w:webHidden/>
          </w:rPr>
          <w:t>25</w:t>
        </w:r>
        <w:r w:rsidR="00625F75">
          <w:rPr>
            <w:noProof/>
            <w:webHidden/>
          </w:rPr>
          <w:fldChar w:fldCharType="end"/>
        </w:r>
      </w:hyperlink>
    </w:p>
    <w:p w:rsidR="00625F75" w:rsidRDefault="002E7175" w:rsidP="00625F75">
      <w:pPr>
        <w:pStyle w:val="TM3"/>
        <w:tabs>
          <w:tab w:val="left" w:pos="960"/>
          <w:tab w:val="right" w:leader="dot" w:pos="9062"/>
        </w:tabs>
        <w:jc w:val="both"/>
        <w:rPr>
          <w:rFonts w:asciiTheme="minorHAnsi" w:eastAsiaTheme="minorEastAsia" w:hAnsiTheme="minorHAnsi" w:cstheme="minorBidi"/>
          <w:i w:val="0"/>
          <w:iCs w:val="0"/>
          <w:noProof/>
          <w:sz w:val="22"/>
          <w:szCs w:val="22"/>
          <w:lang w:val="fr-BE" w:eastAsia="fr-BE"/>
        </w:rPr>
      </w:pPr>
      <w:hyperlink w:anchor="_Toc423509537" w:history="1">
        <w:r w:rsidR="00625F75" w:rsidRPr="00B03658">
          <w:rPr>
            <w:rStyle w:val="Lienhypertexte"/>
            <w:b/>
            <w:bCs/>
            <w:noProof/>
          </w:rPr>
          <w:t>2.Wettelijke bepaling</w:t>
        </w:r>
        <w:r w:rsidR="00625F75">
          <w:rPr>
            <w:noProof/>
            <w:webHidden/>
          </w:rPr>
          <w:tab/>
        </w:r>
        <w:r w:rsidR="00625F75">
          <w:rPr>
            <w:noProof/>
            <w:webHidden/>
          </w:rPr>
          <w:fldChar w:fldCharType="begin"/>
        </w:r>
        <w:r w:rsidR="00625F75">
          <w:rPr>
            <w:noProof/>
            <w:webHidden/>
          </w:rPr>
          <w:instrText xml:space="preserve"> PAGEREF _Toc423509537 \h </w:instrText>
        </w:r>
        <w:r w:rsidR="00625F75">
          <w:rPr>
            <w:noProof/>
            <w:webHidden/>
          </w:rPr>
        </w:r>
        <w:r w:rsidR="00625F75">
          <w:rPr>
            <w:noProof/>
            <w:webHidden/>
          </w:rPr>
          <w:fldChar w:fldCharType="separate"/>
        </w:r>
        <w:r w:rsidR="004D3F6F">
          <w:rPr>
            <w:noProof/>
            <w:webHidden/>
          </w:rPr>
          <w:t>25</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38" w:history="1">
        <w:r w:rsidR="00625F75" w:rsidRPr="00B03658">
          <w:rPr>
            <w:rStyle w:val="Lienhypertexte"/>
            <w:b/>
            <w:bCs/>
            <w:noProof/>
            <w:lang w:val="nl-NL"/>
          </w:rPr>
          <w:t>3. Opmerkingen over de toepassing van artikel 2, § 6, van de wet van 2 april 1965</w:t>
        </w:r>
        <w:r w:rsidR="00625F75">
          <w:rPr>
            <w:noProof/>
            <w:webHidden/>
          </w:rPr>
          <w:tab/>
        </w:r>
        <w:r w:rsidR="00625F75">
          <w:rPr>
            <w:noProof/>
            <w:webHidden/>
          </w:rPr>
          <w:fldChar w:fldCharType="begin"/>
        </w:r>
        <w:r w:rsidR="00625F75">
          <w:rPr>
            <w:noProof/>
            <w:webHidden/>
          </w:rPr>
          <w:instrText xml:space="preserve"> PAGEREF _Toc423509538 \h </w:instrText>
        </w:r>
        <w:r w:rsidR="00625F75">
          <w:rPr>
            <w:noProof/>
            <w:webHidden/>
          </w:rPr>
        </w:r>
        <w:r w:rsidR="00625F75">
          <w:rPr>
            <w:noProof/>
            <w:webHidden/>
          </w:rPr>
          <w:fldChar w:fldCharType="separate"/>
        </w:r>
        <w:r w:rsidR="004D3F6F">
          <w:rPr>
            <w:noProof/>
            <w:webHidden/>
          </w:rPr>
          <w:t>26</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39" w:history="1">
        <w:r w:rsidR="00625F75" w:rsidRPr="00B03658">
          <w:rPr>
            <w:rStyle w:val="Lienhypertexte"/>
            <w:noProof/>
            <w:lang w:val="nl-NL"/>
          </w:rPr>
          <w:t>3.1. Toepassingsgebied van artikel 2, § 6, van de wet van 2 april 1965</w:t>
        </w:r>
        <w:r w:rsidR="00625F75">
          <w:rPr>
            <w:noProof/>
            <w:webHidden/>
          </w:rPr>
          <w:tab/>
        </w:r>
        <w:r w:rsidR="00625F75">
          <w:rPr>
            <w:noProof/>
            <w:webHidden/>
          </w:rPr>
          <w:fldChar w:fldCharType="begin"/>
        </w:r>
        <w:r w:rsidR="00625F75">
          <w:rPr>
            <w:noProof/>
            <w:webHidden/>
          </w:rPr>
          <w:instrText xml:space="preserve"> PAGEREF _Toc423509539 \h </w:instrText>
        </w:r>
        <w:r w:rsidR="00625F75">
          <w:rPr>
            <w:noProof/>
            <w:webHidden/>
          </w:rPr>
        </w:r>
        <w:r w:rsidR="00625F75">
          <w:rPr>
            <w:noProof/>
            <w:webHidden/>
          </w:rPr>
          <w:fldChar w:fldCharType="separate"/>
        </w:r>
        <w:r w:rsidR="004D3F6F">
          <w:rPr>
            <w:noProof/>
            <w:webHidden/>
          </w:rPr>
          <w:t>26</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40" w:history="1">
        <w:r w:rsidR="00625F75" w:rsidRPr="00B03658">
          <w:rPr>
            <w:rStyle w:val="Lienhypertexte"/>
            <w:noProof/>
          </w:rPr>
          <w:t>1) Toepassingsvoorwaarden</w:t>
        </w:r>
        <w:r w:rsidR="00625F75">
          <w:rPr>
            <w:noProof/>
            <w:webHidden/>
          </w:rPr>
          <w:tab/>
        </w:r>
        <w:r w:rsidR="00625F75">
          <w:rPr>
            <w:noProof/>
            <w:webHidden/>
          </w:rPr>
          <w:fldChar w:fldCharType="begin"/>
        </w:r>
        <w:r w:rsidR="00625F75">
          <w:rPr>
            <w:noProof/>
            <w:webHidden/>
          </w:rPr>
          <w:instrText xml:space="preserve"> PAGEREF _Toc423509540 \h </w:instrText>
        </w:r>
        <w:r w:rsidR="00625F75">
          <w:rPr>
            <w:noProof/>
            <w:webHidden/>
          </w:rPr>
        </w:r>
        <w:r w:rsidR="00625F75">
          <w:rPr>
            <w:noProof/>
            <w:webHidden/>
          </w:rPr>
          <w:fldChar w:fldCharType="separate"/>
        </w:r>
        <w:r w:rsidR="004D3F6F">
          <w:rPr>
            <w:noProof/>
            <w:webHidden/>
          </w:rPr>
          <w:t>26</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41" w:history="1">
        <w:r w:rsidR="00625F75" w:rsidRPr="00B03658">
          <w:rPr>
            <w:rStyle w:val="Lienhypertexte"/>
            <w:noProof/>
            <w:lang w:val="fr-FR"/>
          </w:rPr>
          <w:t>2) Studies met volledig leerplan:</w:t>
        </w:r>
        <w:r w:rsidR="00625F75">
          <w:rPr>
            <w:noProof/>
            <w:webHidden/>
          </w:rPr>
          <w:tab/>
        </w:r>
        <w:r w:rsidR="00625F75">
          <w:rPr>
            <w:noProof/>
            <w:webHidden/>
          </w:rPr>
          <w:fldChar w:fldCharType="begin"/>
        </w:r>
        <w:r w:rsidR="00625F75">
          <w:rPr>
            <w:noProof/>
            <w:webHidden/>
          </w:rPr>
          <w:instrText xml:space="preserve"> PAGEREF _Toc423509541 \h </w:instrText>
        </w:r>
        <w:r w:rsidR="00625F75">
          <w:rPr>
            <w:noProof/>
            <w:webHidden/>
          </w:rPr>
        </w:r>
        <w:r w:rsidR="00625F75">
          <w:rPr>
            <w:noProof/>
            <w:webHidden/>
          </w:rPr>
          <w:fldChar w:fldCharType="separate"/>
        </w:r>
        <w:r w:rsidR="004D3F6F">
          <w:rPr>
            <w:noProof/>
            <w:webHidden/>
          </w:rPr>
          <w:t>26</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42" w:history="1">
        <w:r w:rsidR="00625F75" w:rsidRPr="00B03658">
          <w:rPr>
            <w:rStyle w:val="Lienhypertexte"/>
            <w:noProof/>
          </w:rPr>
          <w:t>3) De inschrijving in het register</w:t>
        </w:r>
        <w:r w:rsidR="00625F75">
          <w:rPr>
            <w:noProof/>
            <w:webHidden/>
          </w:rPr>
          <w:tab/>
        </w:r>
        <w:r w:rsidR="00625F75">
          <w:rPr>
            <w:noProof/>
            <w:webHidden/>
          </w:rPr>
          <w:fldChar w:fldCharType="begin"/>
        </w:r>
        <w:r w:rsidR="00625F75">
          <w:rPr>
            <w:noProof/>
            <w:webHidden/>
          </w:rPr>
          <w:instrText xml:space="preserve"> PAGEREF _Toc423509542 \h </w:instrText>
        </w:r>
        <w:r w:rsidR="00625F75">
          <w:rPr>
            <w:noProof/>
            <w:webHidden/>
          </w:rPr>
        </w:r>
        <w:r w:rsidR="00625F75">
          <w:rPr>
            <w:noProof/>
            <w:webHidden/>
          </w:rPr>
          <w:fldChar w:fldCharType="separate"/>
        </w:r>
        <w:r w:rsidR="004D3F6F">
          <w:rPr>
            <w:noProof/>
            <w:webHidden/>
          </w:rPr>
          <w:t>27</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43" w:history="1">
        <w:r w:rsidR="00625F75" w:rsidRPr="00B03658">
          <w:rPr>
            <w:rStyle w:val="Lienhypertexte"/>
            <w:noProof/>
          </w:rPr>
          <w:t>4) Andere opmerkingen</w:t>
        </w:r>
        <w:r w:rsidR="00625F75">
          <w:rPr>
            <w:noProof/>
            <w:webHidden/>
          </w:rPr>
          <w:tab/>
        </w:r>
        <w:r w:rsidR="00625F75">
          <w:rPr>
            <w:noProof/>
            <w:webHidden/>
          </w:rPr>
          <w:fldChar w:fldCharType="begin"/>
        </w:r>
        <w:r w:rsidR="00625F75">
          <w:rPr>
            <w:noProof/>
            <w:webHidden/>
          </w:rPr>
          <w:instrText xml:space="preserve"> PAGEREF _Toc423509543 \h </w:instrText>
        </w:r>
        <w:r w:rsidR="00625F75">
          <w:rPr>
            <w:noProof/>
            <w:webHidden/>
          </w:rPr>
        </w:r>
        <w:r w:rsidR="00625F75">
          <w:rPr>
            <w:noProof/>
            <w:webHidden/>
          </w:rPr>
          <w:fldChar w:fldCharType="separate"/>
        </w:r>
        <w:r w:rsidR="004D3F6F">
          <w:rPr>
            <w:noProof/>
            <w:webHidden/>
          </w:rPr>
          <w:t>29</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44" w:history="1">
        <w:r w:rsidR="00625F75" w:rsidRPr="00B03658">
          <w:rPr>
            <w:rStyle w:val="Lienhypertexte"/>
            <w:noProof/>
            <w:lang w:val="nl-NL"/>
          </w:rPr>
          <w:t>3.2. De regel van de continuïteit  van de bevoegdheid</w:t>
        </w:r>
        <w:r w:rsidR="00625F75">
          <w:rPr>
            <w:noProof/>
            <w:webHidden/>
          </w:rPr>
          <w:tab/>
        </w:r>
        <w:r w:rsidR="00625F75">
          <w:rPr>
            <w:noProof/>
            <w:webHidden/>
          </w:rPr>
          <w:fldChar w:fldCharType="begin"/>
        </w:r>
        <w:r w:rsidR="00625F75">
          <w:rPr>
            <w:noProof/>
            <w:webHidden/>
          </w:rPr>
          <w:instrText xml:space="preserve"> PAGEREF _Toc423509544 \h </w:instrText>
        </w:r>
        <w:r w:rsidR="00625F75">
          <w:rPr>
            <w:noProof/>
            <w:webHidden/>
          </w:rPr>
        </w:r>
        <w:r w:rsidR="00625F75">
          <w:rPr>
            <w:noProof/>
            <w:webHidden/>
          </w:rPr>
          <w:fldChar w:fldCharType="separate"/>
        </w:r>
        <w:r w:rsidR="004D3F6F">
          <w:rPr>
            <w:noProof/>
            <w:webHidden/>
          </w:rPr>
          <w:t>29</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45" w:history="1">
        <w:r w:rsidR="00625F75" w:rsidRPr="00B03658">
          <w:rPr>
            <w:rStyle w:val="Lienhypertexte"/>
            <w:noProof/>
          </w:rPr>
          <w:t>1) De bevoegdheidscontinuïteit van het OCMW van oorspong</w:t>
        </w:r>
        <w:r w:rsidR="00625F75">
          <w:rPr>
            <w:noProof/>
            <w:webHidden/>
          </w:rPr>
          <w:tab/>
        </w:r>
        <w:r w:rsidR="00625F75">
          <w:rPr>
            <w:noProof/>
            <w:webHidden/>
          </w:rPr>
          <w:fldChar w:fldCharType="begin"/>
        </w:r>
        <w:r w:rsidR="00625F75">
          <w:rPr>
            <w:noProof/>
            <w:webHidden/>
          </w:rPr>
          <w:instrText xml:space="preserve"> PAGEREF _Toc423509545 \h </w:instrText>
        </w:r>
        <w:r w:rsidR="00625F75">
          <w:rPr>
            <w:noProof/>
            <w:webHidden/>
          </w:rPr>
        </w:r>
        <w:r w:rsidR="00625F75">
          <w:rPr>
            <w:noProof/>
            <w:webHidden/>
          </w:rPr>
          <w:fldChar w:fldCharType="separate"/>
        </w:r>
        <w:r w:rsidR="004D3F6F">
          <w:rPr>
            <w:noProof/>
            <w:webHidden/>
          </w:rPr>
          <w:t>29</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46" w:history="1">
        <w:r w:rsidR="00625F75" w:rsidRPr="00B03658">
          <w:rPr>
            <w:rStyle w:val="Lienhypertexte"/>
            <w:noProof/>
          </w:rPr>
          <w:t>2) Toepassingsvoorwaarden van de regel van de bevoegdheidscontinuïteit</w:t>
        </w:r>
        <w:r w:rsidR="00625F75">
          <w:rPr>
            <w:noProof/>
            <w:webHidden/>
          </w:rPr>
          <w:tab/>
        </w:r>
        <w:r w:rsidR="00625F75">
          <w:rPr>
            <w:noProof/>
            <w:webHidden/>
          </w:rPr>
          <w:fldChar w:fldCharType="begin"/>
        </w:r>
        <w:r w:rsidR="00625F75">
          <w:rPr>
            <w:noProof/>
            <w:webHidden/>
          </w:rPr>
          <w:instrText xml:space="preserve"> PAGEREF _Toc423509546 \h </w:instrText>
        </w:r>
        <w:r w:rsidR="00625F75">
          <w:rPr>
            <w:noProof/>
            <w:webHidden/>
          </w:rPr>
        </w:r>
        <w:r w:rsidR="00625F75">
          <w:rPr>
            <w:noProof/>
            <w:webHidden/>
          </w:rPr>
          <w:fldChar w:fldCharType="separate"/>
        </w:r>
        <w:r w:rsidR="004D3F6F">
          <w:rPr>
            <w:noProof/>
            <w:webHidden/>
          </w:rPr>
          <w:t>30</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47" w:history="1">
        <w:r w:rsidR="00625F75" w:rsidRPr="00B03658">
          <w:rPr>
            <w:rStyle w:val="Lienhypertexte"/>
            <w:noProof/>
          </w:rPr>
          <w:t>3) Onderbreking van de studies</w:t>
        </w:r>
        <w:r w:rsidR="00625F75">
          <w:rPr>
            <w:noProof/>
            <w:webHidden/>
          </w:rPr>
          <w:tab/>
        </w:r>
        <w:r w:rsidR="00625F75">
          <w:rPr>
            <w:noProof/>
            <w:webHidden/>
          </w:rPr>
          <w:fldChar w:fldCharType="begin"/>
        </w:r>
        <w:r w:rsidR="00625F75">
          <w:rPr>
            <w:noProof/>
            <w:webHidden/>
          </w:rPr>
          <w:instrText xml:space="preserve"> PAGEREF _Toc423509547 \h </w:instrText>
        </w:r>
        <w:r w:rsidR="00625F75">
          <w:rPr>
            <w:noProof/>
            <w:webHidden/>
          </w:rPr>
        </w:r>
        <w:r w:rsidR="00625F75">
          <w:rPr>
            <w:noProof/>
            <w:webHidden/>
          </w:rPr>
          <w:fldChar w:fldCharType="separate"/>
        </w:r>
        <w:r w:rsidR="004D3F6F">
          <w:rPr>
            <w:noProof/>
            <w:webHidden/>
          </w:rPr>
          <w:t>30</w:t>
        </w:r>
        <w:r w:rsidR="00625F75">
          <w:rPr>
            <w:noProof/>
            <w:webHidden/>
          </w:rPr>
          <w:fldChar w:fldCharType="end"/>
        </w:r>
      </w:hyperlink>
    </w:p>
    <w:p w:rsidR="00625F75" w:rsidRDefault="002E7175" w:rsidP="00625F75">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23509548" w:history="1">
        <w:r w:rsidR="00625F75" w:rsidRPr="00B03658">
          <w:rPr>
            <w:rStyle w:val="Lienhypertexte"/>
            <w:noProof/>
            <w:lang w:val="nl-NL"/>
          </w:rPr>
          <w:t>5. Conflicten inzake asielzoekers en personen die een opvangstructuur verlaten</w:t>
        </w:r>
        <w:r w:rsidR="00625F75">
          <w:rPr>
            <w:noProof/>
            <w:webHidden/>
          </w:rPr>
          <w:tab/>
        </w:r>
        <w:r w:rsidR="00625F75">
          <w:rPr>
            <w:noProof/>
            <w:webHidden/>
          </w:rPr>
          <w:fldChar w:fldCharType="begin"/>
        </w:r>
        <w:r w:rsidR="00625F75">
          <w:rPr>
            <w:noProof/>
            <w:webHidden/>
          </w:rPr>
          <w:instrText xml:space="preserve"> PAGEREF _Toc423509548 \h </w:instrText>
        </w:r>
        <w:r w:rsidR="00625F75">
          <w:rPr>
            <w:noProof/>
            <w:webHidden/>
          </w:rPr>
        </w:r>
        <w:r w:rsidR="00625F75">
          <w:rPr>
            <w:noProof/>
            <w:webHidden/>
          </w:rPr>
          <w:fldChar w:fldCharType="separate"/>
        </w:r>
        <w:r w:rsidR="004D3F6F">
          <w:rPr>
            <w:noProof/>
            <w:webHidden/>
          </w:rPr>
          <w:t>32</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49" w:history="1">
        <w:r w:rsidR="00625F75" w:rsidRPr="00B03658">
          <w:rPr>
            <w:rStyle w:val="Lienhypertexte"/>
            <w:b/>
            <w:bCs/>
            <w:noProof/>
            <w:lang w:val="nl-NL"/>
          </w:rPr>
          <w:t>1. Aantal dossiers in 2014</w:t>
        </w:r>
        <w:r w:rsidR="00625F75">
          <w:rPr>
            <w:noProof/>
            <w:webHidden/>
          </w:rPr>
          <w:tab/>
        </w:r>
        <w:r w:rsidR="00625F75">
          <w:rPr>
            <w:noProof/>
            <w:webHidden/>
          </w:rPr>
          <w:fldChar w:fldCharType="begin"/>
        </w:r>
        <w:r w:rsidR="00625F75">
          <w:rPr>
            <w:noProof/>
            <w:webHidden/>
          </w:rPr>
          <w:instrText xml:space="preserve"> PAGEREF _Toc423509549 \h </w:instrText>
        </w:r>
        <w:r w:rsidR="00625F75">
          <w:rPr>
            <w:noProof/>
            <w:webHidden/>
          </w:rPr>
        </w:r>
        <w:r w:rsidR="00625F75">
          <w:rPr>
            <w:noProof/>
            <w:webHidden/>
          </w:rPr>
          <w:fldChar w:fldCharType="separate"/>
        </w:r>
        <w:r w:rsidR="004D3F6F">
          <w:rPr>
            <w:noProof/>
            <w:webHidden/>
          </w:rPr>
          <w:t>32</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50" w:history="1">
        <w:r w:rsidR="00625F75" w:rsidRPr="00B03658">
          <w:rPr>
            <w:rStyle w:val="Lienhypertexte"/>
            <w:b/>
            <w:bCs/>
            <w:noProof/>
            <w:lang w:val="nl-NL"/>
          </w:rPr>
          <w:t>2. De bevoegdheidsregel van artikel 2, §5, van de wet van 1965 april betreffende het ten laste nemen van de steun verleend door de openbare centra voor maatschappelijk welzijn</w:t>
        </w:r>
        <w:r w:rsidR="00625F75">
          <w:rPr>
            <w:noProof/>
            <w:webHidden/>
          </w:rPr>
          <w:tab/>
        </w:r>
        <w:r w:rsidR="00625F75">
          <w:rPr>
            <w:noProof/>
            <w:webHidden/>
          </w:rPr>
          <w:fldChar w:fldCharType="begin"/>
        </w:r>
        <w:r w:rsidR="00625F75">
          <w:rPr>
            <w:noProof/>
            <w:webHidden/>
          </w:rPr>
          <w:instrText xml:space="preserve"> PAGEREF _Toc423509550 \h </w:instrText>
        </w:r>
        <w:r w:rsidR="00625F75">
          <w:rPr>
            <w:noProof/>
            <w:webHidden/>
          </w:rPr>
        </w:r>
        <w:r w:rsidR="00625F75">
          <w:rPr>
            <w:noProof/>
            <w:webHidden/>
          </w:rPr>
          <w:fldChar w:fldCharType="separate"/>
        </w:r>
        <w:r w:rsidR="004D3F6F">
          <w:rPr>
            <w:noProof/>
            <w:webHidden/>
          </w:rPr>
          <w:t>32</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51" w:history="1">
        <w:r w:rsidR="00625F75" w:rsidRPr="00B03658">
          <w:rPr>
            <w:rStyle w:val="Lienhypertexte"/>
            <w:noProof/>
            <w:lang w:val="nl-NL"/>
          </w:rPr>
          <w:t>1. Wettelijke bepaling</w:t>
        </w:r>
        <w:r w:rsidR="00625F75">
          <w:rPr>
            <w:noProof/>
            <w:webHidden/>
          </w:rPr>
          <w:tab/>
        </w:r>
        <w:r w:rsidR="00625F75">
          <w:rPr>
            <w:noProof/>
            <w:webHidden/>
          </w:rPr>
          <w:fldChar w:fldCharType="begin"/>
        </w:r>
        <w:r w:rsidR="00625F75">
          <w:rPr>
            <w:noProof/>
            <w:webHidden/>
          </w:rPr>
          <w:instrText xml:space="preserve"> PAGEREF _Toc423509551 \h </w:instrText>
        </w:r>
        <w:r w:rsidR="00625F75">
          <w:rPr>
            <w:noProof/>
            <w:webHidden/>
          </w:rPr>
        </w:r>
        <w:r w:rsidR="00625F75">
          <w:rPr>
            <w:noProof/>
            <w:webHidden/>
          </w:rPr>
          <w:fldChar w:fldCharType="separate"/>
        </w:r>
        <w:r w:rsidR="004D3F6F">
          <w:rPr>
            <w:noProof/>
            <w:webHidden/>
          </w:rPr>
          <w:t>32</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52" w:history="1">
        <w:r w:rsidR="00625F75" w:rsidRPr="00B03658">
          <w:rPr>
            <w:rStyle w:val="Lienhypertexte"/>
            <w:noProof/>
            <w:lang w:val="nl-NL" w:eastAsia="fr-FR"/>
          </w:rPr>
          <w:t>2. Opmerkingen over de toepassing van artikel 2, § 5, van de wet van 2 april 1965</w:t>
        </w:r>
        <w:r w:rsidR="00625F75">
          <w:rPr>
            <w:noProof/>
            <w:webHidden/>
          </w:rPr>
          <w:tab/>
        </w:r>
        <w:r w:rsidR="00625F75">
          <w:rPr>
            <w:noProof/>
            <w:webHidden/>
          </w:rPr>
          <w:fldChar w:fldCharType="begin"/>
        </w:r>
        <w:r w:rsidR="00625F75">
          <w:rPr>
            <w:noProof/>
            <w:webHidden/>
          </w:rPr>
          <w:instrText xml:space="preserve"> PAGEREF _Toc423509552 \h </w:instrText>
        </w:r>
        <w:r w:rsidR="00625F75">
          <w:rPr>
            <w:noProof/>
            <w:webHidden/>
          </w:rPr>
        </w:r>
        <w:r w:rsidR="00625F75">
          <w:rPr>
            <w:noProof/>
            <w:webHidden/>
          </w:rPr>
          <w:fldChar w:fldCharType="separate"/>
        </w:r>
        <w:r w:rsidR="004D3F6F">
          <w:rPr>
            <w:noProof/>
            <w:webHidden/>
          </w:rPr>
          <w:t>33</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53" w:history="1">
        <w:r w:rsidR="00625F75" w:rsidRPr="00B03658">
          <w:rPr>
            <w:rStyle w:val="Lienhypertexte"/>
            <w:noProof/>
            <w:lang w:eastAsia="fr-FR"/>
          </w:rPr>
          <w:t>2.1. De inschrijving in het wachtregister</w:t>
        </w:r>
        <w:r w:rsidR="00625F75">
          <w:rPr>
            <w:noProof/>
            <w:webHidden/>
          </w:rPr>
          <w:tab/>
        </w:r>
        <w:r w:rsidR="00625F75">
          <w:rPr>
            <w:noProof/>
            <w:webHidden/>
          </w:rPr>
          <w:fldChar w:fldCharType="begin"/>
        </w:r>
        <w:r w:rsidR="00625F75">
          <w:rPr>
            <w:noProof/>
            <w:webHidden/>
          </w:rPr>
          <w:instrText xml:space="preserve"> PAGEREF _Toc423509553 \h </w:instrText>
        </w:r>
        <w:r w:rsidR="00625F75">
          <w:rPr>
            <w:noProof/>
            <w:webHidden/>
          </w:rPr>
        </w:r>
        <w:r w:rsidR="00625F75">
          <w:rPr>
            <w:noProof/>
            <w:webHidden/>
          </w:rPr>
          <w:fldChar w:fldCharType="separate"/>
        </w:r>
        <w:r w:rsidR="004D3F6F">
          <w:rPr>
            <w:noProof/>
            <w:webHidden/>
          </w:rPr>
          <w:t>33</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54" w:history="1">
        <w:r w:rsidR="00625F75" w:rsidRPr="00B03658">
          <w:rPr>
            <w:rStyle w:val="Lienhypertexte"/>
            <w:noProof/>
          </w:rPr>
          <w:t>2.2. Toepassingsgebied van artikel 2, §5</w:t>
        </w:r>
        <w:r w:rsidR="00625F75">
          <w:rPr>
            <w:noProof/>
            <w:webHidden/>
          </w:rPr>
          <w:tab/>
        </w:r>
        <w:r w:rsidR="00625F75">
          <w:rPr>
            <w:noProof/>
            <w:webHidden/>
          </w:rPr>
          <w:fldChar w:fldCharType="begin"/>
        </w:r>
        <w:r w:rsidR="00625F75">
          <w:rPr>
            <w:noProof/>
            <w:webHidden/>
          </w:rPr>
          <w:instrText xml:space="preserve"> PAGEREF _Toc423509554 \h </w:instrText>
        </w:r>
        <w:r w:rsidR="00625F75">
          <w:rPr>
            <w:noProof/>
            <w:webHidden/>
          </w:rPr>
        </w:r>
        <w:r w:rsidR="00625F75">
          <w:rPr>
            <w:noProof/>
            <w:webHidden/>
          </w:rPr>
          <w:fldChar w:fldCharType="separate"/>
        </w:r>
        <w:r w:rsidR="004D3F6F">
          <w:rPr>
            <w:noProof/>
            <w:webHidden/>
          </w:rPr>
          <w:t>35</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55" w:history="1">
        <w:r w:rsidR="00625F75" w:rsidRPr="00B03658">
          <w:rPr>
            <w:rStyle w:val="Lienhypertexte"/>
            <w:noProof/>
          </w:rPr>
          <w:t>2.3. Personen die illegaal op het grondgebied verblijven</w:t>
        </w:r>
        <w:r w:rsidR="00625F75">
          <w:rPr>
            <w:noProof/>
            <w:webHidden/>
          </w:rPr>
          <w:tab/>
        </w:r>
        <w:r w:rsidR="00625F75">
          <w:rPr>
            <w:noProof/>
            <w:webHidden/>
          </w:rPr>
          <w:fldChar w:fldCharType="begin"/>
        </w:r>
        <w:r w:rsidR="00625F75">
          <w:rPr>
            <w:noProof/>
            <w:webHidden/>
          </w:rPr>
          <w:instrText xml:space="preserve"> PAGEREF _Toc423509555 \h </w:instrText>
        </w:r>
        <w:r w:rsidR="00625F75">
          <w:rPr>
            <w:noProof/>
            <w:webHidden/>
          </w:rPr>
        </w:r>
        <w:r w:rsidR="00625F75">
          <w:rPr>
            <w:noProof/>
            <w:webHidden/>
          </w:rPr>
          <w:fldChar w:fldCharType="separate"/>
        </w:r>
        <w:r w:rsidR="004D3F6F">
          <w:rPr>
            <w:noProof/>
            <w:webHidden/>
          </w:rPr>
          <w:t>35</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56" w:history="1">
        <w:r w:rsidR="00625F75" w:rsidRPr="00B03658">
          <w:rPr>
            <w:rStyle w:val="Lienhypertexte"/>
            <w:b/>
            <w:bCs/>
            <w:noProof/>
            <w:lang w:val="nl-NL"/>
          </w:rPr>
          <w:t>3. De bevoegdheidsregel van artikel 2, § 8, van de wet van 2 april 1965 voor de toekenning van een huurwaarborg aan de personen die een opvangstructuur verlaten.</w:t>
        </w:r>
        <w:r w:rsidR="00625F75">
          <w:rPr>
            <w:noProof/>
            <w:webHidden/>
          </w:rPr>
          <w:tab/>
        </w:r>
        <w:r w:rsidR="00625F75">
          <w:rPr>
            <w:noProof/>
            <w:webHidden/>
          </w:rPr>
          <w:fldChar w:fldCharType="begin"/>
        </w:r>
        <w:r w:rsidR="00625F75">
          <w:rPr>
            <w:noProof/>
            <w:webHidden/>
          </w:rPr>
          <w:instrText xml:space="preserve"> PAGEREF _Toc423509556 \h </w:instrText>
        </w:r>
        <w:r w:rsidR="00625F75">
          <w:rPr>
            <w:noProof/>
            <w:webHidden/>
          </w:rPr>
        </w:r>
        <w:r w:rsidR="00625F75">
          <w:rPr>
            <w:noProof/>
            <w:webHidden/>
          </w:rPr>
          <w:fldChar w:fldCharType="separate"/>
        </w:r>
        <w:r w:rsidR="004D3F6F">
          <w:rPr>
            <w:noProof/>
            <w:webHidden/>
          </w:rPr>
          <w:t>36</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57" w:history="1">
        <w:r w:rsidR="00625F75" w:rsidRPr="00B03658">
          <w:rPr>
            <w:rStyle w:val="Lienhypertexte"/>
            <w:rFonts w:cs="Arial"/>
            <w:noProof/>
            <w:lang w:val="nl-NL"/>
          </w:rPr>
          <w:t>1. Wettelijke bepaling</w:t>
        </w:r>
        <w:r w:rsidR="00625F75">
          <w:rPr>
            <w:noProof/>
            <w:webHidden/>
          </w:rPr>
          <w:tab/>
        </w:r>
        <w:r w:rsidR="00625F75">
          <w:rPr>
            <w:noProof/>
            <w:webHidden/>
          </w:rPr>
          <w:fldChar w:fldCharType="begin"/>
        </w:r>
        <w:r w:rsidR="00625F75">
          <w:rPr>
            <w:noProof/>
            <w:webHidden/>
          </w:rPr>
          <w:instrText xml:space="preserve"> PAGEREF _Toc423509557 \h </w:instrText>
        </w:r>
        <w:r w:rsidR="00625F75">
          <w:rPr>
            <w:noProof/>
            <w:webHidden/>
          </w:rPr>
        </w:r>
        <w:r w:rsidR="00625F75">
          <w:rPr>
            <w:noProof/>
            <w:webHidden/>
          </w:rPr>
          <w:fldChar w:fldCharType="separate"/>
        </w:r>
        <w:r w:rsidR="004D3F6F">
          <w:rPr>
            <w:noProof/>
            <w:webHidden/>
          </w:rPr>
          <w:t>36</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58" w:history="1">
        <w:r w:rsidR="00625F75" w:rsidRPr="00B03658">
          <w:rPr>
            <w:rStyle w:val="Lienhypertexte"/>
            <w:noProof/>
            <w:lang w:val="nl-NL"/>
          </w:rPr>
          <w:t>2. Opmerkingen over de toepassing van artikel 2, § 8, van de wet van 02/04/65</w:t>
        </w:r>
        <w:r w:rsidR="00625F75">
          <w:rPr>
            <w:noProof/>
            <w:webHidden/>
          </w:rPr>
          <w:tab/>
        </w:r>
        <w:r w:rsidR="00625F75">
          <w:rPr>
            <w:noProof/>
            <w:webHidden/>
          </w:rPr>
          <w:fldChar w:fldCharType="begin"/>
        </w:r>
        <w:r w:rsidR="00625F75">
          <w:rPr>
            <w:noProof/>
            <w:webHidden/>
          </w:rPr>
          <w:instrText xml:space="preserve"> PAGEREF _Toc423509558 \h </w:instrText>
        </w:r>
        <w:r w:rsidR="00625F75">
          <w:rPr>
            <w:noProof/>
            <w:webHidden/>
          </w:rPr>
        </w:r>
        <w:r w:rsidR="00625F75">
          <w:rPr>
            <w:noProof/>
            <w:webHidden/>
          </w:rPr>
          <w:fldChar w:fldCharType="separate"/>
        </w:r>
        <w:r w:rsidR="004D3F6F">
          <w:rPr>
            <w:noProof/>
            <w:webHidden/>
          </w:rPr>
          <w:t>36</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59" w:history="1">
        <w:r w:rsidR="00625F75" w:rsidRPr="00B03658">
          <w:rPr>
            <w:rStyle w:val="Lienhypertexte"/>
            <w:noProof/>
          </w:rPr>
          <w:t>2.1. Toepassingsgebied van artikel 2, § 8, van de wet van 02/04/65</w:t>
        </w:r>
        <w:r w:rsidR="00625F75">
          <w:rPr>
            <w:noProof/>
            <w:webHidden/>
          </w:rPr>
          <w:tab/>
        </w:r>
        <w:r w:rsidR="00625F75">
          <w:rPr>
            <w:noProof/>
            <w:webHidden/>
          </w:rPr>
          <w:fldChar w:fldCharType="begin"/>
        </w:r>
        <w:r w:rsidR="00625F75">
          <w:rPr>
            <w:noProof/>
            <w:webHidden/>
          </w:rPr>
          <w:instrText xml:space="preserve"> PAGEREF _Toc423509559 \h </w:instrText>
        </w:r>
        <w:r w:rsidR="00625F75">
          <w:rPr>
            <w:noProof/>
            <w:webHidden/>
          </w:rPr>
        </w:r>
        <w:r w:rsidR="00625F75">
          <w:rPr>
            <w:noProof/>
            <w:webHidden/>
          </w:rPr>
          <w:fldChar w:fldCharType="separate"/>
        </w:r>
        <w:r w:rsidR="004D3F6F">
          <w:rPr>
            <w:noProof/>
            <w:webHidden/>
          </w:rPr>
          <w:t>36</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60" w:history="1">
        <w:r w:rsidR="00625F75" w:rsidRPr="00B03658">
          <w:rPr>
            <w:rStyle w:val="Lienhypertexte"/>
            <w:noProof/>
          </w:rPr>
          <w:t>2.2. Het OCMW bevoegd voor de huurwaarborg</w:t>
        </w:r>
        <w:r w:rsidR="00625F75">
          <w:rPr>
            <w:noProof/>
            <w:webHidden/>
          </w:rPr>
          <w:tab/>
        </w:r>
        <w:r w:rsidR="00625F75">
          <w:rPr>
            <w:noProof/>
            <w:webHidden/>
          </w:rPr>
          <w:fldChar w:fldCharType="begin"/>
        </w:r>
        <w:r w:rsidR="00625F75">
          <w:rPr>
            <w:noProof/>
            <w:webHidden/>
          </w:rPr>
          <w:instrText xml:space="preserve"> PAGEREF _Toc423509560 \h </w:instrText>
        </w:r>
        <w:r w:rsidR="00625F75">
          <w:rPr>
            <w:noProof/>
            <w:webHidden/>
          </w:rPr>
        </w:r>
        <w:r w:rsidR="00625F75">
          <w:rPr>
            <w:noProof/>
            <w:webHidden/>
          </w:rPr>
          <w:fldChar w:fldCharType="separate"/>
        </w:r>
        <w:r w:rsidR="004D3F6F">
          <w:rPr>
            <w:noProof/>
            <w:webHidden/>
          </w:rPr>
          <w:t>37</w:t>
        </w:r>
        <w:r w:rsidR="00625F75">
          <w:rPr>
            <w:noProof/>
            <w:webHidden/>
          </w:rPr>
          <w:fldChar w:fldCharType="end"/>
        </w:r>
      </w:hyperlink>
    </w:p>
    <w:p w:rsidR="00625F75" w:rsidRDefault="002E7175" w:rsidP="00625F75">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23509561" w:history="1">
        <w:r w:rsidR="00625F75" w:rsidRPr="00B03658">
          <w:rPr>
            <w:rStyle w:val="Lienhypertexte"/>
            <w:noProof/>
          </w:rPr>
          <w:t>2.3. Het OCMW dat bevoegd is om de andere vormen van maatschappelijke hulp dan de huurwaarborg toe te kennen aan de personen die de opvangstructuren verlaten</w:t>
        </w:r>
        <w:r w:rsidR="00625F75">
          <w:rPr>
            <w:noProof/>
            <w:webHidden/>
          </w:rPr>
          <w:tab/>
        </w:r>
        <w:r w:rsidR="00625F75">
          <w:rPr>
            <w:noProof/>
            <w:webHidden/>
          </w:rPr>
          <w:fldChar w:fldCharType="begin"/>
        </w:r>
        <w:r w:rsidR="00625F75">
          <w:rPr>
            <w:noProof/>
            <w:webHidden/>
          </w:rPr>
          <w:instrText xml:space="preserve"> PAGEREF _Toc423509561 \h </w:instrText>
        </w:r>
        <w:r w:rsidR="00625F75">
          <w:rPr>
            <w:noProof/>
            <w:webHidden/>
          </w:rPr>
        </w:r>
        <w:r w:rsidR="00625F75">
          <w:rPr>
            <w:noProof/>
            <w:webHidden/>
          </w:rPr>
          <w:fldChar w:fldCharType="separate"/>
        </w:r>
        <w:r w:rsidR="004D3F6F">
          <w:rPr>
            <w:noProof/>
            <w:webHidden/>
          </w:rPr>
          <w:t>37</w:t>
        </w:r>
        <w:r w:rsidR="00625F75">
          <w:rPr>
            <w:noProof/>
            <w:webHidden/>
          </w:rPr>
          <w:fldChar w:fldCharType="end"/>
        </w:r>
      </w:hyperlink>
    </w:p>
    <w:p w:rsidR="00625F75" w:rsidRDefault="002E7175" w:rsidP="00625F75">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23509562" w:history="1">
        <w:r w:rsidR="00625F75" w:rsidRPr="00B03658">
          <w:rPr>
            <w:rStyle w:val="Lienhypertexte"/>
            <w:noProof/>
            <w:lang w:val="nl-NL"/>
          </w:rPr>
          <w:t>6. Conflicten betreffende daklozen</w:t>
        </w:r>
        <w:r w:rsidR="00625F75">
          <w:rPr>
            <w:noProof/>
            <w:webHidden/>
          </w:rPr>
          <w:tab/>
        </w:r>
        <w:r w:rsidR="00625F75">
          <w:rPr>
            <w:noProof/>
            <w:webHidden/>
          </w:rPr>
          <w:fldChar w:fldCharType="begin"/>
        </w:r>
        <w:r w:rsidR="00625F75">
          <w:rPr>
            <w:noProof/>
            <w:webHidden/>
          </w:rPr>
          <w:instrText xml:space="preserve"> PAGEREF _Toc423509562 \h </w:instrText>
        </w:r>
        <w:r w:rsidR="00625F75">
          <w:rPr>
            <w:noProof/>
            <w:webHidden/>
          </w:rPr>
        </w:r>
        <w:r w:rsidR="00625F75">
          <w:rPr>
            <w:noProof/>
            <w:webHidden/>
          </w:rPr>
          <w:fldChar w:fldCharType="separate"/>
        </w:r>
        <w:r w:rsidR="004D3F6F">
          <w:rPr>
            <w:noProof/>
            <w:webHidden/>
          </w:rPr>
          <w:t>40</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63" w:history="1">
        <w:r w:rsidR="00625F75" w:rsidRPr="00B03658">
          <w:rPr>
            <w:rStyle w:val="Lienhypertexte"/>
            <w:b/>
            <w:bCs/>
            <w:noProof/>
            <w:lang w:val="nl-NL"/>
          </w:rPr>
          <w:t>1. Aantal dossiers in 2014</w:t>
        </w:r>
        <w:r w:rsidR="00625F75">
          <w:rPr>
            <w:noProof/>
            <w:webHidden/>
          </w:rPr>
          <w:tab/>
        </w:r>
        <w:r w:rsidR="00625F75">
          <w:rPr>
            <w:noProof/>
            <w:webHidden/>
          </w:rPr>
          <w:fldChar w:fldCharType="begin"/>
        </w:r>
        <w:r w:rsidR="00625F75">
          <w:rPr>
            <w:noProof/>
            <w:webHidden/>
          </w:rPr>
          <w:instrText xml:space="preserve"> PAGEREF _Toc423509563 \h </w:instrText>
        </w:r>
        <w:r w:rsidR="00625F75">
          <w:rPr>
            <w:noProof/>
            <w:webHidden/>
          </w:rPr>
        </w:r>
        <w:r w:rsidR="00625F75">
          <w:rPr>
            <w:noProof/>
            <w:webHidden/>
          </w:rPr>
          <w:fldChar w:fldCharType="separate"/>
        </w:r>
        <w:r w:rsidR="004D3F6F">
          <w:rPr>
            <w:noProof/>
            <w:webHidden/>
          </w:rPr>
          <w:t>40</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64" w:history="1">
        <w:r w:rsidR="00625F75" w:rsidRPr="00B03658">
          <w:rPr>
            <w:rStyle w:val="Lienhypertexte"/>
            <w:b/>
            <w:bCs/>
            <w:noProof/>
            <w:lang w:val="nl-NL"/>
          </w:rPr>
          <w:t>2. Wettelijke bepaling</w:t>
        </w:r>
        <w:r w:rsidR="00625F75">
          <w:rPr>
            <w:noProof/>
            <w:webHidden/>
          </w:rPr>
          <w:tab/>
        </w:r>
        <w:r w:rsidR="00625F75">
          <w:rPr>
            <w:noProof/>
            <w:webHidden/>
          </w:rPr>
          <w:fldChar w:fldCharType="begin"/>
        </w:r>
        <w:r w:rsidR="00625F75">
          <w:rPr>
            <w:noProof/>
            <w:webHidden/>
          </w:rPr>
          <w:instrText xml:space="preserve"> PAGEREF _Toc423509564 \h </w:instrText>
        </w:r>
        <w:r w:rsidR="00625F75">
          <w:rPr>
            <w:noProof/>
            <w:webHidden/>
          </w:rPr>
        </w:r>
        <w:r w:rsidR="00625F75">
          <w:rPr>
            <w:noProof/>
            <w:webHidden/>
          </w:rPr>
          <w:fldChar w:fldCharType="separate"/>
        </w:r>
        <w:r w:rsidR="004D3F6F">
          <w:rPr>
            <w:noProof/>
            <w:webHidden/>
          </w:rPr>
          <w:t>40</w:t>
        </w:r>
        <w:r w:rsidR="00625F75">
          <w:rPr>
            <w:noProof/>
            <w:webHidden/>
          </w:rPr>
          <w:fldChar w:fldCharType="end"/>
        </w:r>
      </w:hyperlink>
    </w:p>
    <w:p w:rsidR="00625F75" w:rsidRDefault="002E7175" w:rsidP="00625F75">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23509565" w:history="1">
        <w:r w:rsidR="00625F75" w:rsidRPr="00B03658">
          <w:rPr>
            <w:rStyle w:val="Lienhypertexte"/>
            <w:b/>
            <w:bCs/>
            <w:noProof/>
            <w:lang w:val="nl-NL"/>
          </w:rPr>
          <w:t>3. Opmerkingen over de toepassing van artikel 2, § 7, van de wet van 2 april 1965</w:t>
        </w:r>
        <w:r w:rsidR="00625F75">
          <w:rPr>
            <w:noProof/>
            <w:webHidden/>
          </w:rPr>
          <w:tab/>
        </w:r>
        <w:r w:rsidR="00625F75">
          <w:rPr>
            <w:noProof/>
            <w:webHidden/>
          </w:rPr>
          <w:fldChar w:fldCharType="begin"/>
        </w:r>
        <w:r w:rsidR="00625F75">
          <w:rPr>
            <w:noProof/>
            <w:webHidden/>
          </w:rPr>
          <w:instrText xml:space="preserve"> PAGEREF _Toc423509565 \h </w:instrText>
        </w:r>
        <w:r w:rsidR="00625F75">
          <w:rPr>
            <w:noProof/>
            <w:webHidden/>
          </w:rPr>
        </w:r>
        <w:r w:rsidR="00625F75">
          <w:rPr>
            <w:noProof/>
            <w:webHidden/>
          </w:rPr>
          <w:fldChar w:fldCharType="separate"/>
        </w:r>
        <w:r w:rsidR="004D3F6F">
          <w:rPr>
            <w:noProof/>
            <w:webHidden/>
          </w:rPr>
          <w:t>40</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66" w:history="1">
        <w:r w:rsidR="00625F75" w:rsidRPr="00B03658">
          <w:rPr>
            <w:rStyle w:val="Lienhypertexte"/>
            <w:iCs/>
            <w:noProof/>
            <w:lang w:val="nl-NL" w:eastAsia="nl-NL"/>
          </w:rPr>
          <w:t>3.1. Begrip dakloze</w:t>
        </w:r>
        <w:r w:rsidR="00625F75">
          <w:rPr>
            <w:noProof/>
            <w:webHidden/>
          </w:rPr>
          <w:tab/>
        </w:r>
        <w:r w:rsidR="00625F75">
          <w:rPr>
            <w:noProof/>
            <w:webHidden/>
          </w:rPr>
          <w:fldChar w:fldCharType="begin"/>
        </w:r>
        <w:r w:rsidR="00625F75">
          <w:rPr>
            <w:noProof/>
            <w:webHidden/>
          </w:rPr>
          <w:instrText xml:space="preserve"> PAGEREF _Toc423509566 \h </w:instrText>
        </w:r>
        <w:r w:rsidR="00625F75">
          <w:rPr>
            <w:noProof/>
            <w:webHidden/>
          </w:rPr>
        </w:r>
        <w:r w:rsidR="00625F75">
          <w:rPr>
            <w:noProof/>
            <w:webHidden/>
          </w:rPr>
          <w:fldChar w:fldCharType="separate"/>
        </w:r>
        <w:r w:rsidR="004D3F6F">
          <w:rPr>
            <w:noProof/>
            <w:webHidden/>
          </w:rPr>
          <w:t>40</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67" w:history="1">
        <w:r w:rsidR="00625F75" w:rsidRPr="00B03658">
          <w:rPr>
            <w:rStyle w:val="Lienhypertexte"/>
            <w:iCs/>
            <w:noProof/>
            <w:lang w:val="nl-NL"/>
          </w:rPr>
          <w:t>3.2. Het bevoegde OCMW</w:t>
        </w:r>
        <w:r w:rsidR="00625F75">
          <w:rPr>
            <w:noProof/>
            <w:webHidden/>
          </w:rPr>
          <w:tab/>
        </w:r>
        <w:r w:rsidR="00625F75">
          <w:rPr>
            <w:noProof/>
            <w:webHidden/>
          </w:rPr>
          <w:fldChar w:fldCharType="begin"/>
        </w:r>
        <w:r w:rsidR="00625F75">
          <w:rPr>
            <w:noProof/>
            <w:webHidden/>
          </w:rPr>
          <w:instrText xml:space="preserve"> PAGEREF _Toc423509567 \h </w:instrText>
        </w:r>
        <w:r w:rsidR="00625F75">
          <w:rPr>
            <w:noProof/>
            <w:webHidden/>
          </w:rPr>
        </w:r>
        <w:r w:rsidR="00625F75">
          <w:rPr>
            <w:noProof/>
            <w:webHidden/>
          </w:rPr>
          <w:fldChar w:fldCharType="separate"/>
        </w:r>
        <w:r w:rsidR="004D3F6F">
          <w:rPr>
            <w:noProof/>
            <w:webHidden/>
          </w:rPr>
          <w:t>41</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68" w:history="1">
        <w:r w:rsidR="00625F75" w:rsidRPr="00B03658">
          <w:rPr>
            <w:rStyle w:val="Lienhypertexte"/>
            <w:iCs/>
            <w:noProof/>
            <w:lang w:val="nl-NL" w:eastAsia="fr-FR"/>
          </w:rPr>
          <w:t>3.3. Het referentieadres</w:t>
        </w:r>
        <w:r w:rsidR="00625F75">
          <w:rPr>
            <w:noProof/>
            <w:webHidden/>
          </w:rPr>
          <w:tab/>
        </w:r>
        <w:r w:rsidR="00625F75">
          <w:rPr>
            <w:noProof/>
            <w:webHidden/>
          </w:rPr>
          <w:fldChar w:fldCharType="begin"/>
        </w:r>
        <w:r w:rsidR="00625F75">
          <w:rPr>
            <w:noProof/>
            <w:webHidden/>
          </w:rPr>
          <w:instrText xml:space="preserve"> PAGEREF _Toc423509568 \h </w:instrText>
        </w:r>
        <w:r w:rsidR="00625F75">
          <w:rPr>
            <w:noProof/>
            <w:webHidden/>
          </w:rPr>
        </w:r>
        <w:r w:rsidR="00625F75">
          <w:rPr>
            <w:noProof/>
            <w:webHidden/>
          </w:rPr>
          <w:fldChar w:fldCharType="separate"/>
        </w:r>
        <w:r w:rsidR="004D3F6F">
          <w:rPr>
            <w:noProof/>
            <w:webHidden/>
          </w:rPr>
          <w:t>41</w:t>
        </w:r>
        <w:r w:rsidR="00625F75">
          <w:rPr>
            <w:noProof/>
            <w:webHidden/>
          </w:rPr>
          <w:fldChar w:fldCharType="end"/>
        </w:r>
      </w:hyperlink>
    </w:p>
    <w:p w:rsidR="00625F75" w:rsidRDefault="002E7175" w:rsidP="00625F75">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23509569" w:history="1">
        <w:r w:rsidR="00625F75" w:rsidRPr="00B03658">
          <w:rPr>
            <w:rStyle w:val="Lienhypertexte"/>
            <w:noProof/>
            <w:lang w:val="nl-NL"/>
          </w:rPr>
          <w:t>3.4. De dakloze verblijft in één van de instellingen bedoeld in artikel 2, §1, van dezelfde wet</w:t>
        </w:r>
        <w:r w:rsidR="00625F75">
          <w:rPr>
            <w:noProof/>
            <w:webHidden/>
          </w:rPr>
          <w:tab/>
        </w:r>
        <w:r w:rsidR="00625F75">
          <w:rPr>
            <w:noProof/>
            <w:webHidden/>
          </w:rPr>
          <w:fldChar w:fldCharType="begin"/>
        </w:r>
        <w:r w:rsidR="00625F75">
          <w:rPr>
            <w:noProof/>
            <w:webHidden/>
          </w:rPr>
          <w:instrText xml:space="preserve"> PAGEREF _Toc423509569 \h </w:instrText>
        </w:r>
        <w:r w:rsidR="00625F75">
          <w:rPr>
            <w:noProof/>
            <w:webHidden/>
          </w:rPr>
        </w:r>
        <w:r w:rsidR="00625F75">
          <w:rPr>
            <w:noProof/>
            <w:webHidden/>
          </w:rPr>
          <w:fldChar w:fldCharType="separate"/>
        </w:r>
        <w:r w:rsidR="004D3F6F">
          <w:rPr>
            <w:noProof/>
            <w:webHidden/>
          </w:rPr>
          <w:t>41</w:t>
        </w:r>
        <w:r w:rsidR="00625F75">
          <w:rPr>
            <w:noProof/>
            <w:webHidden/>
          </w:rPr>
          <w:fldChar w:fldCharType="end"/>
        </w:r>
      </w:hyperlink>
    </w:p>
    <w:p w:rsidR="00625F75" w:rsidRDefault="002E7175" w:rsidP="00625F75">
      <w:pPr>
        <w:pStyle w:val="TM1"/>
        <w:jc w:val="both"/>
        <w:rPr>
          <w:rFonts w:asciiTheme="minorHAnsi" w:eastAsiaTheme="minorEastAsia" w:hAnsiTheme="minorHAnsi" w:cstheme="minorBidi"/>
          <w:b w:val="0"/>
          <w:bCs w:val="0"/>
          <w:caps w:val="0"/>
          <w:lang w:val="fr-BE" w:eastAsia="fr-BE"/>
        </w:rPr>
      </w:pPr>
      <w:hyperlink w:anchor="_Toc423509570" w:history="1">
        <w:r w:rsidR="00625F75" w:rsidRPr="00B03658">
          <w:rPr>
            <w:rStyle w:val="Lienhypertexte"/>
          </w:rPr>
          <w:t>IV. Acties en voorstellen van de Dienst Bevoegdheidsconflicten om de OCMW's te helpen bij het behandelen van de bevoegdheidsconflicten</w:t>
        </w:r>
        <w:r w:rsidR="00625F75">
          <w:rPr>
            <w:webHidden/>
          </w:rPr>
          <w:tab/>
        </w:r>
        <w:r w:rsidR="00625F75">
          <w:rPr>
            <w:webHidden/>
          </w:rPr>
          <w:fldChar w:fldCharType="begin"/>
        </w:r>
        <w:r w:rsidR="00625F75">
          <w:rPr>
            <w:webHidden/>
          </w:rPr>
          <w:instrText xml:space="preserve"> PAGEREF _Toc423509570 \h </w:instrText>
        </w:r>
        <w:r w:rsidR="00625F75">
          <w:rPr>
            <w:webHidden/>
          </w:rPr>
        </w:r>
        <w:r w:rsidR="00625F75">
          <w:rPr>
            <w:webHidden/>
          </w:rPr>
          <w:fldChar w:fldCharType="separate"/>
        </w:r>
        <w:r w:rsidR="004D3F6F">
          <w:rPr>
            <w:webHidden/>
          </w:rPr>
          <w:t>42</w:t>
        </w:r>
        <w:r w:rsidR="00625F75">
          <w:rPr>
            <w:webHidden/>
          </w:rPr>
          <w:fldChar w:fldCharType="end"/>
        </w:r>
      </w:hyperlink>
    </w:p>
    <w:p w:rsidR="0022795E" w:rsidRPr="00620B5F" w:rsidRDefault="001A3A9B" w:rsidP="00625F75">
      <w:pPr>
        <w:pStyle w:val="TM1"/>
        <w:jc w:val="both"/>
      </w:pPr>
      <w:r>
        <w:rPr>
          <w:sz w:val="24"/>
          <w:szCs w:val="24"/>
          <w:u w:val="single"/>
        </w:rPr>
        <w:fldChar w:fldCharType="end"/>
      </w:r>
    </w:p>
    <w:p w:rsidR="0022795E" w:rsidRDefault="0022795E" w:rsidP="00625F75">
      <w:pPr>
        <w:jc w:val="both"/>
      </w:pPr>
    </w:p>
    <w:p w:rsidR="0022795E" w:rsidRDefault="0022795E" w:rsidP="00625F75">
      <w:pPr>
        <w:jc w:val="both"/>
      </w:pPr>
    </w:p>
    <w:p w:rsidR="0022795E" w:rsidRDefault="0022795E" w:rsidP="00625F75">
      <w:pPr>
        <w:jc w:val="both"/>
      </w:pPr>
    </w:p>
    <w:p w:rsidR="0022795E" w:rsidRDefault="0022795E" w:rsidP="00625F75">
      <w:pPr>
        <w:jc w:val="both"/>
      </w:pPr>
    </w:p>
    <w:p w:rsidR="0022795E" w:rsidRPr="00AD7C5F" w:rsidRDefault="0022795E" w:rsidP="00625F75">
      <w:pPr>
        <w:jc w:val="both"/>
      </w:pPr>
      <w:r>
        <w:br w:type="page"/>
      </w:r>
    </w:p>
    <w:p w:rsidR="00843780" w:rsidRPr="006D0278" w:rsidRDefault="008E706C" w:rsidP="00E1791D">
      <w:pPr>
        <w:pStyle w:val="Titre1"/>
        <w:rPr>
          <w:sz w:val="28"/>
          <w:szCs w:val="28"/>
          <w:lang w:val="nl-NL"/>
        </w:rPr>
      </w:pPr>
      <w:bookmarkStart w:id="3" w:name="_Toc51469034"/>
      <w:bookmarkStart w:id="4" w:name="_Toc70850279"/>
      <w:bookmarkStart w:id="5" w:name="_Toc423509504"/>
      <w:r w:rsidRPr="006D0278">
        <w:rPr>
          <w:sz w:val="28"/>
          <w:szCs w:val="28"/>
          <w:lang w:val="nl-NL"/>
        </w:rPr>
        <w:lastRenderedPageBreak/>
        <w:t>I</w:t>
      </w:r>
      <w:bookmarkEnd w:id="3"/>
      <w:bookmarkEnd w:id="4"/>
      <w:r w:rsidRPr="006D0278">
        <w:rPr>
          <w:sz w:val="28"/>
          <w:szCs w:val="28"/>
          <w:lang w:val="nl-NL"/>
        </w:rPr>
        <w:t>nleiding</w:t>
      </w:r>
      <w:bookmarkEnd w:id="5"/>
    </w:p>
    <w:p w:rsidR="00843780" w:rsidRPr="006D0278" w:rsidRDefault="00843780">
      <w:pPr>
        <w:rPr>
          <w:b/>
          <w:bCs/>
          <w:lang w:val="nl-NL"/>
        </w:rPr>
      </w:pPr>
    </w:p>
    <w:p w:rsidR="00843780" w:rsidRPr="006D0278" w:rsidRDefault="00843780">
      <w:pPr>
        <w:rPr>
          <w:b/>
          <w:bCs/>
          <w:lang w:val="nl-NL"/>
        </w:rPr>
      </w:pPr>
    </w:p>
    <w:p w:rsidR="00F93B68" w:rsidRPr="006D0278" w:rsidRDefault="008E706C" w:rsidP="00826710">
      <w:pPr>
        <w:jc w:val="both"/>
        <w:rPr>
          <w:lang w:val="nl-NL"/>
        </w:rPr>
      </w:pPr>
      <w:r w:rsidRPr="006D0278">
        <w:rPr>
          <w:lang w:val="nl-NL"/>
        </w:rPr>
        <w:t xml:space="preserve">Net als de voorgaande verslagen, biedt dit verslag een aantal statistieken met commentaar. De aard van de behandelde bevoegdheidsconflicten en de verschillende vaststellingen bij de behandeling van de bevoegdheidsconflicten, zoals die </w:t>
      </w:r>
      <w:r w:rsidR="00D44E86">
        <w:rPr>
          <w:lang w:val="nl-NL"/>
        </w:rPr>
        <w:t xml:space="preserve">in voorgaande jaren werden beschreven  </w:t>
      </w:r>
      <w:r w:rsidRPr="006D0278">
        <w:rPr>
          <w:lang w:val="nl-NL"/>
        </w:rPr>
        <w:t xml:space="preserve">blijven actueel voor het jaar </w:t>
      </w:r>
      <w:r w:rsidR="00D44E86" w:rsidRPr="006D0278">
        <w:rPr>
          <w:lang w:val="nl-NL"/>
        </w:rPr>
        <w:t>201</w:t>
      </w:r>
      <w:r w:rsidR="009920D9">
        <w:rPr>
          <w:lang w:val="nl-NL"/>
        </w:rPr>
        <w:t>4</w:t>
      </w:r>
      <w:r w:rsidRPr="006D0278">
        <w:rPr>
          <w:lang w:val="nl-NL"/>
        </w:rPr>
        <w:t xml:space="preserve">. </w:t>
      </w:r>
    </w:p>
    <w:p w:rsidR="0022795E" w:rsidRPr="006D0278" w:rsidRDefault="0022795E" w:rsidP="0022795E">
      <w:pPr>
        <w:rPr>
          <w:lang w:val="nl-NL"/>
        </w:rPr>
      </w:pPr>
      <w:bookmarkStart w:id="6" w:name="_Toc51469038"/>
      <w:bookmarkStart w:id="7" w:name="_Toc70850283"/>
    </w:p>
    <w:p w:rsidR="00CC370F" w:rsidRDefault="00CC370F" w:rsidP="00E1791D">
      <w:pPr>
        <w:pStyle w:val="Titre1"/>
        <w:rPr>
          <w:b w:val="0"/>
          <w:bCs w:val="0"/>
          <w:lang w:val="nl-NL"/>
        </w:rPr>
      </w:pPr>
    </w:p>
    <w:p w:rsidR="00D44E86" w:rsidRPr="00D44E86" w:rsidRDefault="00D44E86" w:rsidP="00D44E86">
      <w:pPr>
        <w:rPr>
          <w:lang w:val="nl-NL"/>
        </w:rPr>
      </w:pPr>
    </w:p>
    <w:p w:rsidR="00843780" w:rsidRPr="006D0278" w:rsidRDefault="008E706C" w:rsidP="00F269F4">
      <w:pPr>
        <w:pStyle w:val="Titre1"/>
        <w:pBdr>
          <w:top w:val="single" w:sz="4" w:space="1" w:color="auto"/>
          <w:left w:val="single" w:sz="4" w:space="4" w:color="auto"/>
          <w:bottom w:val="single" w:sz="4" w:space="1" w:color="auto"/>
          <w:right w:val="single" w:sz="4" w:space="4" w:color="auto"/>
        </w:pBdr>
        <w:rPr>
          <w:sz w:val="28"/>
          <w:lang w:val="nl-NL"/>
        </w:rPr>
      </w:pPr>
      <w:bookmarkStart w:id="8" w:name="_Toc423509505"/>
      <w:r w:rsidRPr="006D0278">
        <w:rPr>
          <w:sz w:val="28"/>
          <w:lang w:val="nl-NL"/>
        </w:rPr>
        <w:t>I. Statistieken</w:t>
      </w:r>
      <w:bookmarkEnd w:id="8"/>
      <w:r w:rsidRPr="006D0278">
        <w:rPr>
          <w:sz w:val="28"/>
          <w:lang w:val="nl-NL"/>
        </w:rPr>
        <w:t xml:space="preserve"> </w:t>
      </w:r>
    </w:p>
    <w:p w:rsidR="00AD7C5F" w:rsidRPr="006D0278" w:rsidRDefault="00AD7C5F" w:rsidP="008973DE">
      <w:pPr>
        <w:pStyle w:val="Titre2"/>
        <w:rPr>
          <w:lang w:val="nl-NL"/>
        </w:rPr>
      </w:pPr>
    </w:p>
    <w:p w:rsidR="000322D0" w:rsidRPr="006D0278" w:rsidRDefault="000322D0" w:rsidP="000322D0">
      <w:pPr>
        <w:rPr>
          <w:lang w:val="nl-NL"/>
        </w:rPr>
      </w:pPr>
    </w:p>
    <w:p w:rsidR="00887801" w:rsidRPr="006D0278" w:rsidRDefault="008E706C" w:rsidP="00E1791D">
      <w:pPr>
        <w:pStyle w:val="Titre2"/>
        <w:rPr>
          <w:lang w:val="nl-NL"/>
        </w:rPr>
      </w:pPr>
      <w:bookmarkStart w:id="9" w:name="_Toc423509506"/>
      <w:r w:rsidRPr="006D0278">
        <w:rPr>
          <w:lang w:val="nl-NL"/>
        </w:rPr>
        <w:t>1.</w:t>
      </w:r>
      <w:r w:rsidRPr="006D0278">
        <w:rPr>
          <w:u w:val="single"/>
          <w:lang w:val="nl-NL"/>
        </w:rPr>
        <w:t xml:space="preserve"> Aantal ontvangen dossiers in </w:t>
      </w:r>
      <w:r w:rsidR="00CF0008" w:rsidRPr="006D0278">
        <w:rPr>
          <w:u w:val="single"/>
          <w:lang w:val="nl-NL"/>
        </w:rPr>
        <w:t>201</w:t>
      </w:r>
      <w:r w:rsidR="009920D9">
        <w:rPr>
          <w:u w:val="single"/>
          <w:lang w:val="nl-NL"/>
        </w:rPr>
        <w:t>4</w:t>
      </w:r>
      <w:bookmarkEnd w:id="9"/>
    </w:p>
    <w:p w:rsidR="0034772F" w:rsidRPr="006D0278" w:rsidRDefault="0034772F" w:rsidP="00C13C2C">
      <w:pPr>
        <w:ind w:left="720"/>
        <w:jc w:val="both"/>
        <w:rPr>
          <w:u w:val="single"/>
          <w:lang w:val="nl-NL"/>
        </w:rPr>
      </w:pPr>
    </w:p>
    <w:p w:rsidR="0022795E" w:rsidRPr="006D0278" w:rsidRDefault="0022795E" w:rsidP="00C13C2C">
      <w:pPr>
        <w:ind w:left="720"/>
        <w:jc w:val="both"/>
        <w:rPr>
          <w:u w:val="single"/>
          <w:lang w:val="nl-NL"/>
        </w:rPr>
      </w:pPr>
    </w:p>
    <w:p w:rsidR="00C70196" w:rsidRPr="006D0278" w:rsidRDefault="008E706C" w:rsidP="004044F5">
      <w:pPr>
        <w:ind w:firstLine="720"/>
        <w:rPr>
          <w:u w:val="single"/>
          <w:lang w:val="nl-NL"/>
        </w:rPr>
      </w:pPr>
      <w:r w:rsidRPr="006D0278">
        <w:rPr>
          <w:u w:val="single"/>
          <w:lang w:val="nl-NL"/>
        </w:rPr>
        <w:t>1.1. Aantal dossiers ontvangen van 01/01/</w:t>
      </w:r>
      <w:r w:rsidR="00CF0008" w:rsidRPr="006D0278">
        <w:rPr>
          <w:u w:val="single"/>
          <w:lang w:val="nl-NL"/>
        </w:rPr>
        <w:t>201</w:t>
      </w:r>
      <w:r w:rsidR="00B566F0">
        <w:rPr>
          <w:u w:val="single"/>
          <w:lang w:val="nl-NL"/>
        </w:rPr>
        <w:t>4</w:t>
      </w:r>
      <w:r w:rsidR="00CF0008" w:rsidRPr="006D0278">
        <w:rPr>
          <w:u w:val="single"/>
          <w:lang w:val="nl-NL"/>
        </w:rPr>
        <w:t xml:space="preserve"> </w:t>
      </w:r>
      <w:r w:rsidRPr="006D0278">
        <w:rPr>
          <w:u w:val="single"/>
          <w:lang w:val="nl-NL"/>
        </w:rPr>
        <w:t>tot en met 31/12/</w:t>
      </w:r>
      <w:r w:rsidR="00CF0008" w:rsidRPr="006D0278">
        <w:rPr>
          <w:u w:val="single"/>
          <w:lang w:val="nl-NL"/>
        </w:rPr>
        <w:t>201</w:t>
      </w:r>
      <w:r w:rsidR="00B566F0">
        <w:rPr>
          <w:u w:val="single"/>
          <w:lang w:val="nl-NL"/>
        </w:rPr>
        <w:t>4</w:t>
      </w:r>
      <w:r w:rsidR="00CF0008" w:rsidRPr="006D0278">
        <w:rPr>
          <w:u w:val="single"/>
          <w:lang w:val="nl-NL"/>
        </w:rPr>
        <w:t xml:space="preserve">  </w:t>
      </w:r>
    </w:p>
    <w:p w:rsidR="00C70196" w:rsidRPr="006D0278" w:rsidRDefault="00C70196" w:rsidP="00C70196">
      <w:pPr>
        <w:pStyle w:val="En-tte"/>
        <w:tabs>
          <w:tab w:val="clear" w:pos="4536"/>
          <w:tab w:val="clear" w:pos="9072"/>
          <w:tab w:val="left" w:pos="360"/>
          <w:tab w:val="left" w:pos="2520"/>
        </w:tabs>
        <w:jc w:val="both"/>
      </w:pPr>
    </w:p>
    <w:p w:rsidR="00F90AB7" w:rsidRPr="006D0278" w:rsidRDefault="000322D0" w:rsidP="00F90AB7">
      <w:pPr>
        <w:pStyle w:val="En-tte"/>
        <w:tabs>
          <w:tab w:val="clear" w:pos="4536"/>
          <w:tab w:val="clear" w:pos="9072"/>
          <w:tab w:val="left" w:pos="360"/>
          <w:tab w:val="left" w:pos="3240"/>
        </w:tabs>
        <w:ind w:left="720" w:hanging="1080"/>
        <w:jc w:val="both"/>
      </w:pPr>
      <w:r w:rsidRPr="006D0278">
        <w:tab/>
      </w:r>
      <w:r w:rsidRPr="006D0278">
        <w:tab/>
      </w:r>
      <w:r w:rsidR="008E706C" w:rsidRPr="006D0278">
        <w:t xml:space="preserve">Nederlandstalige: </w:t>
      </w:r>
      <w:r w:rsidR="00F90AB7" w:rsidRPr="006D0278">
        <w:tab/>
      </w:r>
      <w:r w:rsidR="008E706C" w:rsidRPr="006D0278">
        <w:t xml:space="preserve"> </w:t>
      </w:r>
      <w:r w:rsidR="00CF0008" w:rsidRPr="006D0278">
        <w:t>2</w:t>
      </w:r>
      <w:r w:rsidR="00CF0008">
        <w:t>1</w:t>
      </w:r>
      <w:r w:rsidR="00B566F0">
        <w:t>0</w:t>
      </w:r>
    </w:p>
    <w:p w:rsidR="00F90AB7" w:rsidRPr="006D0278" w:rsidRDefault="008E706C" w:rsidP="00F90AB7">
      <w:pPr>
        <w:pStyle w:val="En-tte"/>
        <w:tabs>
          <w:tab w:val="clear" w:pos="4536"/>
          <w:tab w:val="clear" w:pos="9072"/>
          <w:tab w:val="left" w:pos="1080"/>
          <w:tab w:val="left" w:pos="2520"/>
          <w:tab w:val="left" w:pos="3240"/>
        </w:tabs>
        <w:ind w:left="720"/>
        <w:jc w:val="both"/>
      </w:pPr>
      <w:r w:rsidRPr="006D0278">
        <w:t xml:space="preserve">Franstalige: </w:t>
      </w:r>
      <w:r w:rsidR="00F90AB7" w:rsidRPr="006D0278">
        <w:tab/>
      </w:r>
      <w:r w:rsidR="00F90AB7" w:rsidRPr="006D0278">
        <w:tab/>
      </w:r>
      <w:r w:rsidR="00EB0DB9">
        <w:t xml:space="preserve"> </w:t>
      </w:r>
      <w:r w:rsidR="00B566F0">
        <w:t>346</w:t>
      </w:r>
    </w:p>
    <w:p w:rsidR="00F90AB7" w:rsidRPr="006D0278" w:rsidRDefault="008E706C" w:rsidP="00F90AB7">
      <w:pPr>
        <w:pStyle w:val="En-tte"/>
        <w:tabs>
          <w:tab w:val="clear" w:pos="4536"/>
          <w:tab w:val="clear" w:pos="9072"/>
          <w:tab w:val="left" w:pos="1440"/>
          <w:tab w:val="left" w:pos="3240"/>
        </w:tabs>
        <w:ind w:firstLine="720"/>
        <w:jc w:val="both"/>
      </w:pPr>
      <w:r w:rsidRPr="006D0278">
        <w:t xml:space="preserve">Totaal N+F: </w:t>
      </w:r>
      <w:r w:rsidR="00F90AB7" w:rsidRPr="006D0278">
        <w:tab/>
      </w:r>
      <w:r w:rsidR="00A67D59">
        <w:t xml:space="preserve"> </w:t>
      </w:r>
      <w:r w:rsidR="00B566F0">
        <w:t>556</w:t>
      </w:r>
    </w:p>
    <w:p w:rsidR="00C70196" w:rsidRPr="006D0278" w:rsidRDefault="00C70196" w:rsidP="00F90AB7">
      <w:pPr>
        <w:pStyle w:val="En-tte"/>
        <w:tabs>
          <w:tab w:val="clear" w:pos="4536"/>
          <w:tab w:val="clear" w:pos="9072"/>
          <w:tab w:val="left" w:pos="360"/>
          <w:tab w:val="left" w:pos="3240"/>
        </w:tabs>
        <w:ind w:left="720" w:hanging="1080"/>
        <w:jc w:val="both"/>
      </w:pPr>
    </w:p>
    <w:p w:rsidR="000322D0" w:rsidRPr="006D0278" w:rsidRDefault="000322D0" w:rsidP="0067158C">
      <w:pPr>
        <w:pStyle w:val="Titre2"/>
        <w:ind w:left="720" w:firstLine="0"/>
        <w:rPr>
          <w:b w:val="0"/>
          <w:bCs w:val="0"/>
          <w:u w:val="single"/>
          <w:lang w:val="nl-NL"/>
        </w:rPr>
      </w:pPr>
    </w:p>
    <w:p w:rsidR="00C70196" w:rsidRPr="006D0278" w:rsidRDefault="008E706C" w:rsidP="004044F5">
      <w:pPr>
        <w:ind w:firstLine="720"/>
        <w:rPr>
          <w:u w:val="single"/>
          <w:lang w:val="nl-NL"/>
        </w:rPr>
      </w:pPr>
      <w:r w:rsidRPr="006D0278">
        <w:rPr>
          <w:u w:val="single"/>
          <w:lang w:val="nl-NL"/>
        </w:rPr>
        <w:t xml:space="preserve">1.2. Aantal dossiers ontvangen per maand in </w:t>
      </w:r>
      <w:r w:rsidR="00CF0008" w:rsidRPr="006D0278">
        <w:rPr>
          <w:u w:val="single"/>
          <w:lang w:val="nl-NL"/>
        </w:rPr>
        <w:t>201</w:t>
      </w:r>
      <w:r w:rsidR="00B566F0">
        <w:rPr>
          <w:u w:val="single"/>
          <w:lang w:val="nl-NL"/>
        </w:rPr>
        <w:t>4</w:t>
      </w:r>
    </w:p>
    <w:p w:rsidR="0034772F" w:rsidRPr="006D0278" w:rsidRDefault="00C70196" w:rsidP="00C70196">
      <w:pPr>
        <w:tabs>
          <w:tab w:val="left" w:pos="360"/>
          <w:tab w:val="left" w:pos="2700"/>
          <w:tab w:val="left" w:pos="5040"/>
          <w:tab w:val="left" w:pos="7020"/>
        </w:tabs>
        <w:jc w:val="both"/>
        <w:rPr>
          <w:lang w:val="nl-NL"/>
        </w:rPr>
      </w:pPr>
      <w:r w:rsidRPr="006D0278">
        <w:rPr>
          <w:lang w:val="nl-NL"/>
        </w:rPr>
        <w:tab/>
      </w:r>
      <w:r w:rsidRPr="006D0278">
        <w:rPr>
          <w:lang w:val="nl-NL"/>
        </w:rPr>
        <w:tab/>
      </w:r>
    </w:p>
    <w:p w:rsidR="00F90AB7" w:rsidRPr="006D0278" w:rsidRDefault="00CD6D65" w:rsidP="00F90AB7">
      <w:pPr>
        <w:tabs>
          <w:tab w:val="left" w:pos="360"/>
          <w:tab w:val="left" w:pos="2700"/>
          <w:tab w:val="left" w:pos="5040"/>
          <w:tab w:val="left" w:pos="7020"/>
        </w:tabs>
        <w:jc w:val="both"/>
        <w:rPr>
          <w:lang w:val="nl-NL"/>
        </w:rPr>
      </w:pPr>
      <w:r w:rsidRPr="006D0278">
        <w:rPr>
          <w:lang w:val="nl-NL"/>
        </w:rPr>
        <w:tab/>
      </w:r>
      <w:r w:rsidRPr="006D0278">
        <w:rPr>
          <w:lang w:val="nl-NL"/>
        </w:rPr>
        <w:tab/>
      </w:r>
      <w:r w:rsidR="00F90AB7" w:rsidRPr="006D0278">
        <w:rPr>
          <w:lang w:val="nl-NL"/>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303"/>
        <w:gridCol w:w="2303"/>
        <w:gridCol w:w="2303"/>
      </w:tblGrid>
      <w:tr w:rsidR="00F90AB7" w:rsidRPr="00747098">
        <w:tc>
          <w:tcPr>
            <w:tcW w:w="1475" w:type="dxa"/>
          </w:tcPr>
          <w:p w:rsidR="00F90AB7" w:rsidRPr="006D0278" w:rsidRDefault="00F90AB7" w:rsidP="00E7057F">
            <w:pPr>
              <w:tabs>
                <w:tab w:val="left" w:pos="360"/>
                <w:tab w:val="left" w:pos="2700"/>
                <w:tab w:val="left" w:pos="5040"/>
                <w:tab w:val="left" w:pos="7020"/>
              </w:tabs>
              <w:jc w:val="both"/>
              <w:rPr>
                <w:lang w:val="nl-NL"/>
              </w:rPr>
            </w:pPr>
          </w:p>
        </w:tc>
        <w:tc>
          <w:tcPr>
            <w:tcW w:w="2303" w:type="dxa"/>
          </w:tcPr>
          <w:p w:rsidR="00F90AB7" w:rsidRPr="00747098" w:rsidRDefault="008E706C" w:rsidP="00E7057F">
            <w:pPr>
              <w:tabs>
                <w:tab w:val="left" w:pos="360"/>
                <w:tab w:val="left" w:pos="2700"/>
                <w:tab w:val="left" w:pos="5040"/>
                <w:tab w:val="left" w:pos="7020"/>
              </w:tabs>
              <w:jc w:val="both"/>
              <w:rPr>
                <w:lang w:val="fr-FR"/>
              </w:rPr>
            </w:pPr>
            <w:r>
              <w:rPr>
                <w:lang w:val="fr-BE"/>
              </w:rPr>
              <w:t xml:space="preserve">Franstalige </w:t>
            </w:r>
          </w:p>
        </w:tc>
        <w:tc>
          <w:tcPr>
            <w:tcW w:w="2303" w:type="dxa"/>
          </w:tcPr>
          <w:p w:rsidR="00F90AB7" w:rsidRPr="00747098" w:rsidRDefault="008E706C" w:rsidP="00E7057F">
            <w:pPr>
              <w:tabs>
                <w:tab w:val="left" w:pos="360"/>
                <w:tab w:val="left" w:pos="2700"/>
                <w:tab w:val="left" w:pos="5040"/>
                <w:tab w:val="left" w:pos="7020"/>
              </w:tabs>
              <w:jc w:val="both"/>
              <w:rPr>
                <w:lang w:val="fr-FR"/>
              </w:rPr>
            </w:pPr>
            <w:r>
              <w:rPr>
                <w:lang w:val="fr-BE"/>
              </w:rPr>
              <w:t xml:space="preserve">Nederlandstalige </w:t>
            </w:r>
          </w:p>
        </w:tc>
        <w:tc>
          <w:tcPr>
            <w:tcW w:w="2303" w:type="dxa"/>
          </w:tcPr>
          <w:p w:rsidR="00F90AB7" w:rsidRPr="00747098" w:rsidRDefault="008E706C" w:rsidP="00E7057F">
            <w:pPr>
              <w:tabs>
                <w:tab w:val="left" w:pos="360"/>
                <w:tab w:val="left" w:pos="2700"/>
                <w:tab w:val="left" w:pos="5040"/>
                <w:tab w:val="left" w:pos="7020"/>
              </w:tabs>
              <w:jc w:val="center"/>
              <w:rPr>
                <w:b/>
                <w:lang w:val="fr-FR"/>
              </w:rPr>
            </w:pPr>
            <w:r>
              <w:rPr>
                <w:b/>
                <w:lang w:val="fr-BE"/>
              </w:rPr>
              <w:t>Totaal Nl + Fr</w:t>
            </w: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jc w:val="both"/>
              <w:rPr>
                <w:lang w:val="fr-FR"/>
              </w:rPr>
            </w:pPr>
            <w:r>
              <w:rPr>
                <w:lang w:val="fr-BE"/>
              </w:rPr>
              <w:t>Januari:</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45</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14</w:t>
            </w:r>
          </w:p>
        </w:tc>
        <w:tc>
          <w:tcPr>
            <w:tcW w:w="2303" w:type="dxa"/>
            <w:vAlign w:val="bottom"/>
          </w:tcPr>
          <w:p w:rsidR="00B566F0" w:rsidRPr="003F5E7D" w:rsidRDefault="00B566F0" w:rsidP="002F4F24">
            <w:pPr>
              <w:jc w:val="right"/>
              <w:rPr>
                <w:b/>
                <w:color w:val="000000"/>
                <w:sz w:val="22"/>
                <w:szCs w:val="22"/>
              </w:rPr>
            </w:pPr>
            <w:r w:rsidRPr="003F5E7D">
              <w:rPr>
                <w:b/>
                <w:color w:val="000000"/>
                <w:sz w:val="22"/>
                <w:szCs w:val="22"/>
              </w:rPr>
              <w:t>59</w:t>
            </w: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jc w:val="both"/>
              <w:rPr>
                <w:lang w:val="fr-FR"/>
              </w:rPr>
            </w:pPr>
            <w:r>
              <w:rPr>
                <w:lang w:val="fr-BE"/>
              </w:rPr>
              <w:t>Februari</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35</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17</w:t>
            </w:r>
          </w:p>
        </w:tc>
        <w:tc>
          <w:tcPr>
            <w:tcW w:w="2303" w:type="dxa"/>
            <w:vAlign w:val="bottom"/>
          </w:tcPr>
          <w:p w:rsidR="00B566F0" w:rsidRPr="003F5E7D" w:rsidRDefault="00B566F0" w:rsidP="002F4F24">
            <w:pPr>
              <w:jc w:val="right"/>
              <w:rPr>
                <w:b/>
                <w:color w:val="000000"/>
                <w:sz w:val="22"/>
                <w:szCs w:val="22"/>
              </w:rPr>
            </w:pPr>
            <w:r w:rsidRPr="003F5E7D">
              <w:rPr>
                <w:b/>
                <w:color w:val="000000"/>
                <w:sz w:val="22"/>
                <w:szCs w:val="22"/>
              </w:rPr>
              <w:t>52</w:t>
            </w: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jc w:val="both"/>
              <w:rPr>
                <w:lang w:val="fr-FR"/>
              </w:rPr>
            </w:pPr>
            <w:r>
              <w:rPr>
                <w:lang w:val="fr-BE"/>
              </w:rPr>
              <w:t>Maart</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22</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25</w:t>
            </w:r>
          </w:p>
        </w:tc>
        <w:tc>
          <w:tcPr>
            <w:tcW w:w="2303" w:type="dxa"/>
            <w:vAlign w:val="bottom"/>
          </w:tcPr>
          <w:p w:rsidR="00B566F0" w:rsidRPr="003F5E7D" w:rsidRDefault="00B566F0" w:rsidP="002F4F24">
            <w:pPr>
              <w:jc w:val="right"/>
              <w:rPr>
                <w:b/>
                <w:color w:val="000000"/>
                <w:sz w:val="22"/>
                <w:szCs w:val="22"/>
              </w:rPr>
            </w:pPr>
            <w:r w:rsidRPr="003F5E7D">
              <w:rPr>
                <w:b/>
                <w:color w:val="000000"/>
                <w:sz w:val="22"/>
                <w:szCs w:val="22"/>
              </w:rPr>
              <w:t>47</w:t>
            </w: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jc w:val="both"/>
              <w:rPr>
                <w:lang w:val="fr-FR"/>
              </w:rPr>
            </w:pPr>
            <w:r>
              <w:rPr>
                <w:lang w:val="fr-BE"/>
              </w:rPr>
              <w:t>April</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27</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22</w:t>
            </w:r>
          </w:p>
        </w:tc>
        <w:tc>
          <w:tcPr>
            <w:tcW w:w="2303" w:type="dxa"/>
            <w:vAlign w:val="bottom"/>
          </w:tcPr>
          <w:p w:rsidR="00B566F0" w:rsidRPr="003F5E7D" w:rsidRDefault="00B566F0" w:rsidP="002F4F24">
            <w:pPr>
              <w:jc w:val="right"/>
              <w:rPr>
                <w:b/>
                <w:color w:val="000000"/>
                <w:sz w:val="22"/>
                <w:szCs w:val="22"/>
              </w:rPr>
            </w:pPr>
            <w:r w:rsidRPr="003F5E7D">
              <w:rPr>
                <w:b/>
                <w:color w:val="000000"/>
                <w:sz w:val="22"/>
                <w:szCs w:val="22"/>
              </w:rPr>
              <w:t>49</w:t>
            </w: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jc w:val="both"/>
              <w:rPr>
                <w:lang w:val="fr-FR"/>
              </w:rPr>
            </w:pPr>
            <w:r>
              <w:rPr>
                <w:lang w:val="fr-BE"/>
              </w:rPr>
              <w:t>Mei</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21</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10</w:t>
            </w:r>
          </w:p>
        </w:tc>
        <w:tc>
          <w:tcPr>
            <w:tcW w:w="2303" w:type="dxa"/>
            <w:vAlign w:val="bottom"/>
          </w:tcPr>
          <w:p w:rsidR="00B566F0" w:rsidRPr="003F5E7D" w:rsidRDefault="00B566F0" w:rsidP="002F4F24">
            <w:pPr>
              <w:jc w:val="right"/>
              <w:rPr>
                <w:b/>
                <w:color w:val="000000"/>
                <w:sz w:val="22"/>
                <w:szCs w:val="22"/>
              </w:rPr>
            </w:pPr>
            <w:r w:rsidRPr="003F5E7D">
              <w:rPr>
                <w:b/>
                <w:color w:val="000000"/>
                <w:sz w:val="22"/>
                <w:szCs w:val="22"/>
              </w:rPr>
              <w:t>31</w:t>
            </w: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jc w:val="both"/>
              <w:rPr>
                <w:lang w:val="fr-FR"/>
              </w:rPr>
            </w:pPr>
            <w:r>
              <w:rPr>
                <w:lang w:val="fr-BE"/>
              </w:rPr>
              <w:t>Juni</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27</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13</w:t>
            </w:r>
          </w:p>
        </w:tc>
        <w:tc>
          <w:tcPr>
            <w:tcW w:w="2303" w:type="dxa"/>
            <w:vAlign w:val="bottom"/>
          </w:tcPr>
          <w:p w:rsidR="00B566F0" w:rsidRPr="003F5E7D" w:rsidRDefault="00B566F0" w:rsidP="002F4F24">
            <w:pPr>
              <w:jc w:val="right"/>
              <w:rPr>
                <w:b/>
                <w:color w:val="000000"/>
                <w:sz w:val="22"/>
                <w:szCs w:val="22"/>
              </w:rPr>
            </w:pPr>
            <w:r w:rsidRPr="003F5E7D">
              <w:rPr>
                <w:b/>
                <w:color w:val="000000"/>
                <w:sz w:val="22"/>
                <w:szCs w:val="22"/>
              </w:rPr>
              <w:t>40</w:t>
            </w: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jc w:val="both"/>
              <w:rPr>
                <w:lang w:val="fr-FR"/>
              </w:rPr>
            </w:pPr>
            <w:r>
              <w:rPr>
                <w:lang w:val="fr-BE"/>
              </w:rPr>
              <w:t>Juli</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27</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18</w:t>
            </w:r>
          </w:p>
        </w:tc>
        <w:tc>
          <w:tcPr>
            <w:tcW w:w="2303" w:type="dxa"/>
            <w:vAlign w:val="bottom"/>
          </w:tcPr>
          <w:p w:rsidR="00B566F0" w:rsidRPr="003F5E7D" w:rsidRDefault="00B566F0" w:rsidP="002F4F24">
            <w:pPr>
              <w:jc w:val="right"/>
              <w:rPr>
                <w:b/>
                <w:color w:val="000000"/>
                <w:sz w:val="22"/>
                <w:szCs w:val="22"/>
              </w:rPr>
            </w:pPr>
            <w:r w:rsidRPr="003F5E7D">
              <w:rPr>
                <w:b/>
                <w:color w:val="000000"/>
                <w:sz w:val="22"/>
                <w:szCs w:val="22"/>
              </w:rPr>
              <w:t>45</w:t>
            </w: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jc w:val="both"/>
              <w:rPr>
                <w:lang w:val="fr-FR"/>
              </w:rPr>
            </w:pPr>
            <w:r>
              <w:rPr>
                <w:lang w:val="fr-BE"/>
              </w:rPr>
              <w:t>Augustus</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25</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13</w:t>
            </w:r>
          </w:p>
        </w:tc>
        <w:tc>
          <w:tcPr>
            <w:tcW w:w="2303" w:type="dxa"/>
            <w:vAlign w:val="bottom"/>
          </w:tcPr>
          <w:p w:rsidR="00B566F0" w:rsidRPr="003F5E7D" w:rsidRDefault="00B566F0" w:rsidP="002F4F24">
            <w:pPr>
              <w:jc w:val="right"/>
              <w:rPr>
                <w:b/>
                <w:color w:val="000000"/>
                <w:sz w:val="22"/>
                <w:szCs w:val="22"/>
              </w:rPr>
            </w:pPr>
            <w:r w:rsidRPr="003F5E7D">
              <w:rPr>
                <w:b/>
                <w:color w:val="000000"/>
                <w:sz w:val="22"/>
                <w:szCs w:val="22"/>
              </w:rPr>
              <w:t>38</w:t>
            </w: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jc w:val="both"/>
              <w:rPr>
                <w:lang w:val="fr-FR"/>
              </w:rPr>
            </w:pPr>
            <w:r>
              <w:rPr>
                <w:lang w:val="fr-BE"/>
              </w:rPr>
              <w:t>September</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37</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27</w:t>
            </w:r>
          </w:p>
        </w:tc>
        <w:tc>
          <w:tcPr>
            <w:tcW w:w="2303" w:type="dxa"/>
            <w:vAlign w:val="bottom"/>
          </w:tcPr>
          <w:p w:rsidR="00B566F0" w:rsidRPr="003F5E7D" w:rsidRDefault="00B566F0" w:rsidP="002F4F24">
            <w:pPr>
              <w:jc w:val="right"/>
              <w:rPr>
                <w:b/>
                <w:color w:val="000000"/>
                <w:sz w:val="22"/>
                <w:szCs w:val="22"/>
              </w:rPr>
            </w:pPr>
            <w:r w:rsidRPr="003F5E7D">
              <w:rPr>
                <w:b/>
                <w:color w:val="000000"/>
                <w:sz w:val="22"/>
                <w:szCs w:val="22"/>
              </w:rPr>
              <w:t>64</w:t>
            </w: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jc w:val="both"/>
              <w:rPr>
                <w:lang w:val="fr-FR"/>
              </w:rPr>
            </w:pPr>
            <w:r>
              <w:rPr>
                <w:lang w:val="fr-BE"/>
              </w:rPr>
              <w:t>Oktober </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38</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22</w:t>
            </w:r>
          </w:p>
        </w:tc>
        <w:tc>
          <w:tcPr>
            <w:tcW w:w="2303" w:type="dxa"/>
            <w:vAlign w:val="bottom"/>
          </w:tcPr>
          <w:p w:rsidR="00B566F0" w:rsidRPr="003F5E7D" w:rsidRDefault="00B566F0" w:rsidP="002F4F24">
            <w:pPr>
              <w:jc w:val="right"/>
              <w:rPr>
                <w:b/>
                <w:color w:val="000000"/>
                <w:sz w:val="22"/>
                <w:szCs w:val="22"/>
              </w:rPr>
            </w:pPr>
            <w:r w:rsidRPr="003F5E7D">
              <w:rPr>
                <w:b/>
                <w:color w:val="000000"/>
                <w:sz w:val="22"/>
                <w:szCs w:val="22"/>
              </w:rPr>
              <w:t>60</w:t>
            </w: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jc w:val="both"/>
              <w:rPr>
                <w:lang w:val="fr-FR"/>
              </w:rPr>
            </w:pPr>
            <w:r>
              <w:rPr>
                <w:lang w:val="fr-BE"/>
              </w:rPr>
              <w:t xml:space="preserve">November </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22</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11</w:t>
            </w:r>
          </w:p>
        </w:tc>
        <w:tc>
          <w:tcPr>
            <w:tcW w:w="2303" w:type="dxa"/>
            <w:vAlign w:val="bottom"/>
          </w:tcPr>
          <w:p w:rsidR="00B566F0" w:rsidRPr="003F5E7D" w:rsidRDefault="00B566F0" w:rsidP="002F4F24">
            <w:pPr>
              <w:jc w:val="right"/>
              <w:rPr>
                <w:b/>
                <w:color w:val="000000"/>
                <w:sz w:val="22"/>
                <w:szCs w:val="22"/>
              </w:rPr>
            </w:pPr>
            <w:r w:rsidRPr="003F5E7D">
              <w:rPr>
                <w:b/>
                <w:color w:val="000000"/>
                <w:sz w:val="22"/>
                <w:szCs w:val="22"/>
              </w:rPr>
              <w:t>33</w:t>
            </w: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jc w:val="both"/>
              <w:rPr>
                <w:lang w:val="fr-FR"/>
              </w:rPr>
            </w:pPr>
            <w:r>
              <w:rPr>
                <w:lang w:val="fr-FR"/>
              </w:rPr>
              <w:t>December</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20</w:t>
            </w:r>
          </w:p>
        </w:tc>
        <w:tc>
          <w:tcPr>
            <w:tcW w:w="2303" w:type="dxa"/>
            <w:vAlign w:val="bottom"/>
          </w:tcPr>
          <w:p w:rsidR="00B566F0" w:rsidRPr="003F5E7D" w:rsidRDefault="00B566F0" w:rsidP="002F4F24">
            <w:pPr>
              <w:jc w:val="right"/>
              <w:rPr>
                <w:color w:val="000000"/>
                <w:sz w:val="22"/>
                <w:szCs w:val="22"/>
              </w:rPr>
            </w:pPr>
            <w:r w:rsidRPr="003F5E7D">
              <w:rPr>
                <w:color w:val="000000"/>
                <w:sz w:val="22"/>
                <w:szCs w:val="22"/>
              </w:rPr>
              <w:t>18</w:t>
            </w:r>
          </w:p>
        </w:tc>
        <w:tc>
          <w:tcPr>
            <w:tcW w:w="2303" w:type="dxa"/>
            <w:vAlign w:val="bottom"/>
          </w:tcPr>
          <w:p w:rsidR="00B566F0" w:rsidRPr="003F5E7D" w:rsidRDefault="00B566F0" w:rsidP="002F4F24">
            <w:pPr>
              <w:jc w:val="right"/>
              <w:rPr>
                <w:b/>
                <w:color w:val="000000"/>
                <w:sz w:val="22"/>
                <w:szCs w:val="22"/>
              </w:rPr>
            </w:pPr>
            <w:r w:rsidRPr="003F5E7D">
              <w:rPr>
                <w:b/>
                <w:color w:val="000000"/>
                <w:sz w:val="22"/>
                <w:szCs w:val="22"/>
              </w:rPr>
              <w:t>38</w:t>
            </w:r>
          </w:p>
        </w:tc>
      </w:tr>
      <w:tr w:rsidR="00B566F0" w:rsidRPr="00747098">
        <w:tc>
          <w:tcPr>
            <w:tcW w:w="1475" w:type="dxa"/>
          </w:tcPr>
          <w:p w:rsidR="00B566F0" w:rsidRPr="00747098" w:rsidRDefault="00B566F0" w:rsidP="00E7057F">
            <w:pPr>
              <w:tabs>
                <w:tab w:val="left" w:pos="360"/>
                <w:tab w:val="left" w:pos="2700"/>
                <w:tab w:val="left" w:pos="5040"/>
                <w:tab w:val="left" w:pos="7020"/>
              </w:tabs>
              <w:rPr>
                <w:b/>
                <w:lang w:val="fr-FR"/>
              </w:rPr>
            </w:pPr>
          </w:p>
        </w:tc>
        <w:tc>
          <w:tcPr>
            <w:tcW w:w="2303" w:type="dxa"/>
          </w:tcPr>
          <w:p w:rsidR="00B566F0" w:rsidRPr="003F5E7D" w:rsidRDefault="00B566F0" w:rsidP="002F4F24">
            <w:pPr>
              <w:tabs>
                <w:tab w:val="left" w:pos="360"/>
                <w:tab w:val="left" w:pos="2700"/>
                <w:tab w:val="left" w:pos="5040"/>
                <w:tab w:val="left" w:pos="7020"/>
              </w:tabs>
              <w:jc w:val="both"/>
              <w:rPr>
                <w:b/>
                <w:lang w:val="fr-FR"/>
              </w:rPr>
            </w:pPr>
          </w:p>
        </w:tc>
        <w:tc>
          <w:tcPr>
            <w:tcW w:w="2303" w:type="dxa"/>
          </w:tcPr>
          <w:p w:rsidR="00B566F0" w:rsidRPr="003F5E7D" w:rsidRDefault="00B566F0" w:rsidP="002F4F24">
            <w:pPr>
              <w:tabs>
                <w:tab w:val="left" w:pos="360"/>
                <w:tab w:val="left" w:pos="2700"/>
                <w:tab w:val="left" w:pos="5040"/>
                <w:tab w:val="left" w:pos="7020"/>
              </w:tabs>
              <w:jc w:val="both"/>
              <w:rPr>
                <w:b/>
                <w:lang w:val="fr-FR"/>
              </w:rPr>
            </w:pPr>
          </w:p>
        </w:tc>
        <w:tc>
          <w:tcPr>
            <w:tcW w:w="2303" w:type="dxa"/>
          </w:tcPr>
          <w:p w:rsidR="00B566F0" w:rsidRPr="003F5E7D" w:rsidRDefault="00B566F0" w:rsidP="002F4F24">
            <w:pPr>
              <w:tabs>
                <w:tab w:val="left" w:pos="360"/>
                <w:tab w:val="left" w:pos="2700"/>
                <w:tab w:val="left" w:pos="5040"/>
                <w:tab w:val="left" w:pos="7020"/>
              </w:tabs>
              <w:jc w:val="both"/>
              <w:rPr>
                <w:b/>
                <w:highlight w:val="green"/>
                <w:lang w:val="fr-FR"/>
              </w:rPr>
            </w:pPr>
          </w:p>
        </w:tc>
      </w:tr>
      <w:tr w:rsidR="00B566F0" w:rsidRPr="00747098" w:rsidTr="002F4F24">
        <w:tc>
          <w:tcPr>
            <w:tcW w:w="1475" w:type="dxa"/>
          </w:tcPr>
          <w:p w:rsidR="00B566F0" w:rsidRPr="00747098" w:rsidRDefault="00B566F0" w:rsidP="00E7057F">
            <w:pPr>
              <w:tabs>
                <w:tab w:val="left" w:pos="360"/>
                <w:tab w:val="left" w:pos="2700"/>
                <w:tab w:val="left" w:pos="5040"/>
                <w:tab w:val="left" w:pos="7020"/>
              </w:tabs>
              <w:rPr>
                <w:b/>
                <w:highlight w:val="red"/>
                <w:lang w:val="fr-BE"/>
              </w:rPr>
            </w:pPr>
            <w:r>
              <w:rPr>
                <w:b/>
                <w:lang w:val="fr-BE"/>
              </w:rPr>
              <w:t>Totaal</w:t>
            </w:r>
          </w:p>
        </w:tc>
        <w:tc>
          <w:tcPr>
            <w:tcW w:w="2303" w:type="dxa"/>
            <w:vAlign w:val="center"/>
          </w:tcPr>
          <w:p w:rsidR="00B566F0" w:rsidRPr="003F5E7D" w:rsidRDefault="00B566F0" w:rsidP="002F4F24">
            <w:pPr>
              <w:tabs>
                <w:tab w:val="left" w:pos="360"/>
                <w:tab w:val="left" w:pos="2700"/>
                <w:tab w:val="left" w:pos="5040"/>
                <w:tab w:val="left" w:pos="7020"/>
              </w:tabs>
              <w:jc w:val="right"/>
              <w:rPr>
                <w:b/>
                <w:lang w:val="fr-FR"/>
              </w:rPr>
            </w:pPr>
            <w:r w:rsidRPr="003F5E7D">
              <w:rPr>
                <w:b/>
                <w:lang w:val="fr-FR"/>
              </w:rPr>
              <w:t>346</w:t>
            </w:r>
          </w:p>
        </w:tc>
        <w:tc>
          <w:tcPr>
            <w:tcW w:w="2303" w:type="dxa"/>
            <w:vAlign w:val="center"/>
          </w:tcPr>
          <w:p w:rsidR="00B566F0" w:rsidRPr="003F5E7D" w:rsidRDefault="00B566F0" w:rsidP="002F4F24">
            <w:pPr>
              <w:tabs>
                <w:tab w:val="left" w:pos="360"/>
                <w:tab w:val="left" w:pos="2700"/>
                <w:tab w:val="left" w:pos="5040"/>
                <w:tab w:val="left" w:pos="7020"/>
              </w:tabs>
              <w:jc w:val="right"/>
              <w:rPr>
                <w:b/>
                <w:lang w:val="fr-FR"/>
              </w:rPr>
            </w:pPr>
            <w:r w:rsidRPr="003F5E7D">
              <w:rPr>
                <w:b/>
                <w:lang w:val="fr-FR"/>
              </w:rPr>
              <w:t>210</w:t>
            </w:r>
          </w:p>
        </w:tc>
        <w:tc>
          <w:tcPr>
            <w:tcW w:w="2303" w:type="dxa"/>
            <w:vAlign w:val="center"/>
          </w:tcPr>
          <w:p w:rsidR="00B566F0" w:rsidRPr="003F5E7D" w:rsidRDefault="00B566F0" w:rsidP="002F4F24">
            <w:pPr>
              <w:tabs>
                <w:tab w:val="left" w:pos="360"/>
                <w:tab w:val="left" w:pos="2700"/>
                <w:tab w:val="left" w:pos="5040"/>
                <w:tab w:val="left" w:pos="7020"/>
              </w:tabs>
              <w:jc w:val="right"/>
              <w:rPr>
                <w:b/>
                <w:highlight w:val="green"/>
                <w:lang w:val="fr-FR"/>
              </w:rPr>
            </w:pPr>
            <w:r w:rsidRPr="003F5E7D">
              <w:rPr>
                <w:b/>
                <w:lang w:val="fr-FR"/>
              </w:rPr>
              <w:t>556</w:t>
            </w:r>
          </w:p>
        </w:tc>
      </w:tr>
    </w:tbl>
    <w:p w:rsidR="00F90AB7" w:rsidRDefault="00F90AB7" w:rsidP="00F90AB7">
      <w:pPr>
        <w:tabs>
          <w:tab w:val="left" w:pos="360"/>
          <w:tab w:val="left" w:pos="3420"/>
          <w:tab w:val="left" w:pos="5400"/>
          <w:tab w:val="left" w:pos="7380"/>
        </w:tabs>
        <w:ind w:left="1089"/>
        <w:jc w:val="both"/>
        <w:rPr>
          <w:highlight w:val="yellow"/>
          <w:u w:val="single"/>
          <w:lang w:val="fr-BE"/>
        </w:rPr>
      </w:pPr>
      <w:r>
        <w:rPr>
          <w:lang w:val="fr-BE"/>
        </w:rPr>
        <w:tab/>
      </w:r>
    </w:p>
    <w:p w:rsidR="00807189" w:rsidRDefault="00807189" w:rsidP="00807189">
      <w:pPr>
        <w:tabs>
          <w:tab w:val="left" w:pos="360"/>
        </w:tabs>
        <w:ind w:left="360"/>
        <w:jc w:val="both"/>
        <w:rPr>
          <w:lang w:val="nl-NL"/>
        </w:rPr>
      </w:pPr>
    </w:p>
    <w:p w:rsidR="00F269F4" w:rsidRDefault="00F269F4">
      <w:pPr>
        <w:rPr>
          <w:lang w:val="nl-NL"/>
        </w:rPr>
      </w:pPr>
      <w:r>
        <w:rPr>
          <w:lang w:val="nl-NL"/>
        </w:rPr>
        <w:br w:type="page"/>
      </w:r>
    </w:p>
    <w:p w:rsidR="00D44E86" w:rsidRDefault="00D44E86" w:rsidP="00807189">
      <w:pPr>
        <w:tabs>
          <w:tab w:val="left" w:pos="360"/>
        </w:tabs>
        <w:ind w:left="360"/>
        <w:jc w:val="both"/>
        <w:rPr>
          <w:lang w:val="nl-NL"/>
        </w:rPr>
      </w:pPr>
    </w:p>
    <w:p w:rsidR="00D44E86" w:rsidRDefault="00D44E86" w:rsidP="00807189">
      <w:pPr>
        <w:tabs>
          <w:tab w:val="left" w:pos="360"/>
        </w:tabs>
        <w:ind w:left="360"/>
        <w:jc w:val="both"/>
        <w:rPr>
          <w:lang w:val="nl-NL"/>
        </w:rPr>
      </w:pPr>
    </w:p>
    <w:p w:rsidR="00F93E52" w:rsidRPr="006D0278" w:rsidRDefault="008E706C" w:rsidP="00F93E52">
      <w:pPr>
        <w:pStyle w:val="Titre2"/>
        <w:rPr>
          <w:bCs w:val="0"/>
          <w:lang w:val="nl-NL"/>
        </w:rPr>
      </w:pPr>
      <w:bookmarkStart w:id="10" w:name="_Toc423509507"/>
      <w:r w:rsidRPr="006D0278">
        <w:rPr>
          <w:bCs w:val="0"/>
          <w:lang w:val="nl-NL"/>
        </w:rPr>
        <w:t>2.</w:t>
      </w:r>
      <w:r w:rsidRPr="006D0278">
        <w:rPr>
          <w:bCs w:val="0"/>
          <w:u w:val="single"/>
          <w:lang w:val="nl-NL"/>
        </w:rPr>
        <w:t xml:space="preserve"> Aantal dossiers ontvangen van 2004 tot </w:t>
      </w:r>
      <w:r w:rsidR="00257C37" w:rsidRPr="006D0278">
        <w:rPr>
          <w:bCs w:val="0"/>
          <w:u w:val="single"/>
          <w:lang w:val="nl-NL"/>
        </w:rPr>
        <w:t>201</w:t>
      </w:r>
      <w:r w:rsidR="00B566F0">
        <w:rPr>
          <w:bCs w:val="0"/>
          <w:u w:val="single"/>
          <w:lang w:val="nl-NL"/>
        </w:rPr>
        <w:t>4</w:t>
      </w:r>
      <w:bookmarkEnd w:id="10"/>
    </w:p>
    <w:p w:rsidR="00F93E52" w:rsidRPr="006D0278" w:rsidRDefault="00F93E52" w:rsidP="00F93E52">
      <w:pPr>
        <w:jc w:val="both"/>
        <w:rPr>
          <w:lang w:val="nl-NL"/>
        </w:rPr>
      </w:pPr>
    </w:p>
    <w:p w:rsidR="00104172" w:rsidRPr="006D0278" w:rsidRDefault="00B91448" w:rsidP="009B5D1A">
      <w:pPr>
        <w:ind w:left="720"/>
        <w:rPr>
          <w:lang w:val="nl-NL"/>
        </w:rPr>
      </w:pPr>
      <w:r>
        <w:rPr>
          <w:noProof/>
          <w:lang w:val="fr-BE" w:eastAsia="fr-BE"/>
        </w:rPr>
        <w:drawing>
          <wp:anchor distT="0" distB="0" distL="114300" distR="114300" simplePos="0" relativeHeight="251657216" behindDoc="0" locked="0" layoutInCell="1" allowOverlap="1" wp14:anchorId="14381903" wp14:editId="472444B5">
            <wp:simplePos x="0" y="0"/>
            <wp:positionH relativeFrom="column">
              <wp:posOffset>-31115</wp:posOffset>
            </wp:positionH>
            <wp:positionV relativeFrom="paragraph">
              <wp:posOffset>160655</wp:posOffset>
            </wp:positionV>
            <wp:extent cx="6096000" cy="4770120"/>
            <wp:effectExtent l="0" t="0" r="0" b="0"/>
            <wp:wrapNone/>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B566F0" w:rsidRDefault="00B566F0" w:rsidP="00B566F0">
      <w:pPr>
        <w:rPr>
          <w:lang w:val="nl-NL"/>
        </w:rPr>
      </w:pPr>
    </w:p>
    <w:p w:rsidR="00B566F0" w:rsidRDefault="00B566F0" w:rsidP="00B566F0">
      <w:pPr>
        <w:rPr>
          <w:lang w:val="nl-NL"/>
        </w:rPr>
      </w:pPr>
    </w:p>
    <w:p w:rsidR="00B566F0" w:rsidRDefault="00B566F0" w:rsidP="00B566F0">
      <w:pPr>
        <w:rPr>
          <w:lang w:val="nl-NL"/>
        </w:rPr>
      </w:pPr>
    </w:p>
    <w:p w:rsidR="00B566F0" w:rsidRDefault="00B566F0" w:rsidP="00B566F0">
      <w:pPr>
        <w:rPr>
          <w:lang w:val="nl-NL"/>
        </w:rPr>
      </w:pPr>
    </w:p>
    <w:p w:rsidR="00B566F0" w:rsidRDefault="00B566F0" w:rsidP="00B566F0">
      <w:pPr>
        <w:rPr>
          <w:rFonts w:eastAsia="Calibri"/>
          <w:lang w:val="nl-NL"/>
        </w:rPr>
      </w:pPr>
    </w:p>
    <w:p w:rsidR="00B566F0" w:rsidRDefault="00B566F0" w:rsidP="00B566F0">
      <w:pPr>
        <w:rPr>
          <w:rFonts w:eastAsia="Calibri"/>
          <w:lang w:val="nl-NL"/>
        </w:rPr>
      </w:pPr>
    </w:p>
    <w:p w:rsidR="00B566F0" w:rsidRDefault="00B566F0" w:rsidP="00B566F0">
      <w:pPr>
        <w:rPr>
          <w:rFonts w:eastAsia="Calibri"/>
          <w:lang w:val="nl-NL"/>
        </w:rPr>
      </w:pPr>
    </w:p>
    <w:p w:rsidR="00761AE2" w:rsidRPr="00B566F0" w:rsidRDefault="00761AE2" w:rsidP="00B566F0">
      <w:pPr>
        <w:rPr>
          <w:rFonts w:eastAsia="Calibri"/>
          <w:highlight w:val="yellow"/>
          <w:lang w:val="nl-NL"/>
        </w:rPr>
      </w:pPr>
      <w:r>
        <w:rPr>
          <w:rFonts w:eastAsia="Calibri"/>
          <w:lang w:val="nl-NL"/>
        </w:rPr>
        <w:t xml:space="preserve">Het totaal aantal ontvangen en behandelde dossiers van 2004 tot </w:t>
      </w:r>
      <w:r w:rsidR="00257C37">
        <w:rPr>
          <w:rFonts w:eastAsia="Calibri"/>
          <w:lang w:val="nl-NL"/>
        </w:rPr>
        <w:t>201</w:t>
      </w:r>
      <w:r w:rsidR="00B566F0">
        <w:rPr>
          <w:rFonts w:eastAsia="Calibri"/>
          <w:lang w:val="nl-NL"/>
        </w:rPr>
        <w:t>4</w:t>
      </w:r>
      <w:r w:rsidR="00257C37">
        <w:rPr>
          <w:rFonts w:eastAsia="Calibri"/>
          <w:lang w:val="nl-NL"/>
        </w:rPr>
        <w:t xml:space="preserve"> </w:t>
      </w:r>
      <w:r>
        <w:rPr>
          <w:rFonts w:eastAsia="Calibri"/>
          <w:lang w:val="nl-NL"/>
        </w:rPr>
        <w:t xml:space="preserve">bedraagt </w:t>
      </w:r>
      <w:r w:rsidR="00257C37">
        <w:rPr>
          <w:rFonts w:eastAsia="Calibri"/>
          <w:lang w:val="nl-NL"/>
        </w:rPr>
        <w:t>5</w:t>
      </w:r>
      <w:r w:rsidR="00B566F0">
        <w:rPr>
          <w:rFonts w:eastAsia="Calibri"/>
          <w:lang w:val="nl-NL"/>
        </w:rPr>
        <w:t>798</w:t>
      </w:r>
      <w:r>
        <w:rPr>
          <w:rFonts w:eastAsia="Calibri"/>
          <w:lang w:val="nl-NL"/>
        </w:rPr>
        <w:t>.</w:t>
      </w:r>
    </w:p>
    <w:p w:rsidR="00EB0F0F" w:rsidRDefault="00EB0F0F" w:rsidP="00F93E52">
      <w:pPr>
        <w:pStyle w:val="Titre2"/>
        <w:rPr>
          <w:lang w:val="nl-NL"/>
        </w:rPr>
      </w:pPr>
    </w:p>
    <w:p w:rsidR="00F269F4" w:rsidRDefault="00F269F4">
      <w:pPr>
        <w:rPr>
          <w:highlight w:val="yellow"/>
          <w:lang w:val="nl-NL"/>
        </w:rPr>
      </w:pPr>
      <w:r>
        <w:rPr>
          <w:highlight w:val="yellow"/>
          <w:lang w:val="nl-NL"/>
        </w:rPr>
        <w:br w:type="page"/>
      </w:r>
    </w:p>
    <w:p w:rsidR="00FA670A" w:rsidRPr="00F269F4" w:rsidRDefault="00FA670A" w:rsidP="00F269F4">
      <w:pPr>
        <w:pStyle w:val="Paragraphedeliste"/>
        <w:numPr>
          <w:ilvl w:val="0"/>
          <w:numId w:val="31"/>
        </w:numPr>
        <w:rPr>
          <w:lang w:val="nl-NL"/>
        </w:rPr>
      </w:pPr>
      <w:r w:rsidRPr="00F269F4">
        <w:rPr>
          <w:lang w:val="nl-NL"/>
        </w:rPr>
        <w:lastRenderedPageBreak/>
        <w:t>Het aantal dossiers in 2014 neemt dus toe in vergelijking met de twee voorgaande jaren en behaalt het tweede hoogste aantal sinds 2004 (het grootste aantal dossiers dateert van 2011).</w:t>
      </w:r>
    </w:p>
    <w:p w:rsidR="00EB0F0F" w:rsidRPr="00655650" w:rsidRDefault="00EB0F0F" w:rsidP="00EB0F0F">
      <w:pPr>
        <w:rPr>
          <w:lang w:val="nl-NL"/>
        </w:rPr>
      </w:pPr>
    </w:p>
    <w:p w:rsidR="00EB0F0F" w:rsidRPr="00655650" w:rsidRDefault="001B4CAD" w:rsidP="00EB0F0F">
      <w:pPr>
        <w:rPr>
          <w:lang w:val="nl-NL"/>
        </w:rPr>
      </w:pPr>
      <w:r>
        <w:rPr>
          <w:noProof/>
          <w:lang w:val="fr-BE" w:eastAsia="fr-BE"/>
        </w:rPr>
        <w:drawing>
          <wp:anchor distT="0" distB="0" distL="114300" distR="114300" simplePos="0" relativeHeight="251660288" behindDoc="0" locked="0" layoutInCell="1" allowOverlap="1" wp14:anchorId="7F4CE62B" wp14:editId="4426EA18">
            <wp:simplePos x="0" y="0"/>
            <wp:positionH relativeFrom="column">
              <wp:posOffset>412115</wp:posOffset>
            </wp:positionH>
            <wp:positionV relativeFrom="paragraph">
              <wp:posOffset>33655</wp:posOffset>
            </wp:positionV>
            <wp:extent cx="5024755" cy="3657600"/>
            <wp:effectExtent l="0" t="0" r="0" b="0"/>
            <wp:wrapNone/>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257C37" w:rsidRDefault="00257C37" w:rsidP="00550FA0">
      <w:pPr>
        <w:pStyle w:val="Paragraphedeliste"/>
        <w:numPr>
          <w:ilvl w:val="0"/>
          <w:numId w:val="29"/>
        </w:numPr>
        <w:rPr>
          <w:lang w:val="nl-NL"/>
        </w:rPr>
      </w:pPr>
      <w:r>
        <w:rPr>
          <w:lang w:val="nl-NL"/>
        </w:rPr>
        <w:t>Het gemiddeld aantal dossiers per jaa</w:t>
      </w:r>
      <w:r w:rsidR="009B5D1A">
        <w:rPr>
          <w:lang w:val="nl-NL"/>
        </w:rPr>
        <w:t>r van 2004 tot 2014 bedraagt 527</w:t>
      </w:r>
      <w:r>
        <w:rPr>
          <w:lang w:val="nl-NL"/>
        </w:rPr>
        <w:t xml:space="preserve"> dossiers per jaar</w:t>
      </w:r>
    </w:p>
    <w:p w:rsidR="00EB0F0F" w:rsidRDefault="00EB0F0F" w:rsidP="00EB0F0F">
      <w:pPr>
        <w:rPr>
          <w:lang w:val="nl-NL"/>
        </w:rPr>
      </w:pPr>
    </w:p>
    <w:p w:rsidR="00EB0F0F" w:rsidRPr="00EB0F0F" w:rsidRDefault="001B4CAD" w:rsidP="00EB0F0F">
      <w:pPr>
        <w:rPr>
          <w:lang w:val="nl-NL"/>
        </w:rPr>
      </w:pPr>
      <w:r>
        <w:rPr>
          <w:noProof/>
          <w:lang w:val="fr-BE" w:eastAsia="fr-BE"/>
        </w:rPr>
        <w:drawing>
          <wp:inline distT="0" distB="0" distL="0" distR="0" wp14:anchorId="23EF78E8" wp14:editId="34FE1C1F">
            <wp:extent cx="5571490" cy="396176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1490" cy="3961765"/>
                    </a:xfrm>
                    <a:prstGeom prst="rect">
                      <a:avLst/>
                    </a:prstGeom>
                    <a:noFill/>
                  </pic:spPr>
                </pic:pic>
              </a:graphicData>
            </a:graphic>
          </wp:inline>
        </w:drawing>
      </w:r>
    </w:p>
    <w:p w:rsidR="000743A9" w:rsidRPr="001A3A9B" w:rsidRDefault="008E706C" w:rsidP="00F269F4">
      <w:pPr>
        <w:pStyle w:val="Titre1"/>
        <w:pBdr>
          <w:top w:val="single" w:sz="4" w:space="1" w:color="auto"/>
          <w:left w:val="single" w:sz="4" w:space="4" w:color="auto"/>
          <w:bottom w:val="single" w:sz="4" w:space="1" w:color="auto"/>
          <w:right w:val="single" w:sz="4" w:space="4" w:color="auto"/>
        </w:pBdr>
        <w:rPr>
          <w:sz w:val="28"/>
          <w:szCs w:val="28"/>
          <w:lang w:val="nl-NL"/>
        </w:rPr>
      </w:pPr>
      <w:bookmarkStart w:id="11" w:name="_Toc423509508"/>
      <w:r w:rsidRPr="001A3A9B">
        <w:rPr>
          <w:sz w:val="28"/>
          <w:szCs w:val="28"/>
          <w:lang w:val="nl-NL"/>
        </w:rPr>
        <w:lastRenderedPageBreak/>
        <w:t>II. Procedure van aanvraag tot regeling van een bevoegdheidsconflict</w:t>
      </w:r>
      <w:bookmarkEnd w:id="11"/>
    </w:p>
    <w:p w:rsidR="000743A9" w:rsidRPr="006D0278" w:rsidRDefault="000743A9" w:rsidP="00F93E52">
      <w:pPr>
        <w:pStyle w:val="Titre2"/>
        <w:ind w:left="0" w:firstLine="0"/>
        <w:rPr>
          <w:lang w:val="nl-NL"/>
        </w:rPr>
      </w:pPr>
    </w:p>
    <w:p w:rsidR="000743A9" w:rsidRPr="006D0278" w:rsidRDefault="000743A9" w:rsidP="000743A9">
      <w:pPr>
        <w:ind w:left="1080"/>
        <w:jc w:val="both"/>
        <w:rPr>
          <w:lang w:val="nl-NL"/>
        </w:rPr>
      </w:pPr>
    </w:p>
    <w:p w:rsidR="000743A9" w:rsidRPr="006D0278" w:rsidRDefault="008E706C" w:rsidP="00CC370F">
      <w:pPr>
        <w:pStyle w:val="Titre2"/>
        <w:rPr>
          <w:sz w:val="28"/>
          <w:szCs w:val="28"/>
          <w:lang w:val="nl-NL"/>
        </w:rPr>
      </w:pPr>
      <w:bookmarkStart w:id="12" w:name="_Toc423509509"/>
      <w:r w:rsidRPr="006D0278">
        <w:rPr>
          <w:sz w:val="28"/>
          <w:szCs w:val="28"/>
          <w:lang w:val="nl-NL"/>
        </w:rPr>
        <w:t>1. De aanvragen tot regeling van conflicten ingediend door de OCMW's</w:t>
      </w:r>
      <w:bookmarkEnd w:id="12"/>
    </w:p>
    <w:p w:rsidR="000743A9" w:rsidRPr="006D0278" w:rsidRDefault="000743A9" w:rsidP="000743A9">
      <w:pPr>
        <w:rPr>
          <w:lang w:val="nl-NL"/>
        </w:rPr>
      </w:pPr>
    </w:p>
    <w:p w:rsidR="000743A9" w:rsidRPr="006D0278" w:rsidRDefault="000743A9" w:rsidP="000743A9">
      <w:pPr>
        <w:rPr>
          <w:lang w:val="nl-NL"/>
        </w:rPr>
      </w:pPr>
    </w:p>
    <w:p w:rsidR="000743A9" w:rsidRPr="006D0278" w:rsidRDefault="008E706C" w:rsidP="00CC370F">
      <w:pPr>
        <w:pStyle w:val="Titre3"/>
        <w:spacing w:before="0" w:after="0"/>
        <w:rPr>
          <w:b/>
          <w:sz w:val="24"/>
          <w:u w:val="single"/>
          <w:lang w:val="nl-NL"/>
        </w:rPr>
      </w:pPr>
      <w:bookmarkStart w:id="13" w:name="_Toc423509510"/>
      <w:r w:rsidRPr="006D0278">
        <w:rPr>
          <w:b/>
          <w:sz w:val="24"/>
          <w:u w:val="single"/>
          <w:lang w:val="nl-NL"/>
        </w:rPr>
        <w:t>1. Ontvankelijke en onontvankelijke aanvragen</w:t>
      </w:r>
      <w:bookmarkEnd w:id="13"/>
    </w:p>
    <w:p w:rsidR="000743A9" w:rsidRPr="006D0278" w:rsidRDefault="000743A9" w:rsidP="000743A9">
      <w:pPr>
        <w:rPr>
          <w:lang w:val="nl-NL"/>
        </w:rPr>
      </w:pPr>
    </w:p>
    <w:p w:rsidR="000743A9" w:rsidRPr="006D0278" w:rsidRDefault="008E706C" w:rsidP="000743A9">
      <w:pPr>
        <w:pStyle w:val="Letter"/>
        <w:ind w:left="900"/>
        <w:jc w:val="both"/>
        <w:rPr>
          <w:rFonts w:ascii="Times New Roman" w:hAnsi="Times New Roman"/>
          <w:sz w:val="24"/>
          <w:szCs w:val="24"/>
          <w:lang w:val="nl-NL"/>
        </w:rPr>
      </w:pPr>
      <w:r w:rsidRPr="006D0278">
        <w:rPr>
          <w:rFonts w:ascii="Times New Roman" w:hAnsi="Times New Roman"/>
          <w:sz w:val="24"/>
          <w:szCs w:val="24"/>
          <w:lang w:val="nl-NL"/>
        </w:rPr>
        <w:t xml:space="preserve">De vraag tot regeling van bevoegdheidsconflicten is </w:t>
      </w:r>
      <w:r w:rsidRPr="006D0278">
        <w:rPr>
          <w:rFonts w:ascii="Times New Roman" w:hAnsi="Times New Roman"/>
          <w:b/>
          <w:sz w:val="24"/>
          <w:szCs w:val="24"/>
          <w:lang w:val="nl-NL"/>
        </w:rPr>
        <w:t>ontvankelijk</w:t>
      </w:r>
      <w:r w:rsidRPr="006D0278">
        <w:rPr>
          <w:rFonts w:ascii="Times New Roman" w:hAnsi="Times New Roman"/>
          <w:sz w:val="24"/>
          <w:szCs w:val="24"/>
          <w:lang w:val="nl-NL"/>
        </w:rPr>
        <w:t xml:space="preserve"> indien ze voldoet aan de voorwaarden van </w:t>
      </w:r>
      <w:r w:rsidRPr="006D0278">
        <w:rPr>
          <w:rFonts w:ascii="Times New Roman" w:hAnsi="Times New Roman"/>
          <w:sz w:val="24"/>
          <w:szCs w:val="24"/>
          <w:u w:val="single"/>
          <w:lang w:val="nl-NL"/>
        </w:rPr>
        <w:t>artikel 15, vierde lid, van de wet van 2 april 1965</w:t>
      </w:r>
      <w:r w:rsidRPr="006D0278">
        <w:rPr>
          <w:rFonts w:ascii="Times New Roman" w:hAnsi="Times New Roman"/>
          <w:sz w:val="24"/>
          <w:szCs w:val="24"/>
          <w:lang w:val="nl-NL"/>
        </w:rPr>
        <w:t xml:space="preserve"> betreffende het ten laste nemen van de steun verleend door de openbare centra voor maatschappelijk welzijn, dat </w:t>
      </w:r>
      <w:r w:rsidR="00F9388F" w:rsidRPr="006D0278">
        <w:rPr>
          <w:rFonts w:ascii="Times New Roman" w:hAnsi="Times New Roman"/>
          <w:sz w:val="24"/>
          <w:szCs w:val="24"/>
          <w:lang w:val="nl-NL"/>
        </w:rPr>
        <w:t xml:space="preserve">stelt: </w:t>
      </w:r>
    </w:p>
    <w:p w:rsidR="000743A9" w:rsidRPr="006D0278" w:rsidRDefault="000743A9" w:rsidP="000743A9">
      <w:pPr>
        <w:pStyle w:val="Letter"/>
        <w:ind w:left="900"/>
        <w:jc w:val="both"/>
        <w:rPr>
          <w:rFonts w:ascii="Times New Roman" w:hAnsi="Times New Roman"/>
          <w:sz w:val="24"/>
          <w:szCs w:val="24"/>
          <w:lang w:val="nl-NL"/>
        </w:rPr>
      </w:pPr>
    </w:p>
    <w:p w:rsidR="000743A9" w:rsidRPr="006D0278" w:rsidRDefault="008E706C" w:rsidP="000743A9">
      <w:pPr>
        <w:pStyle w:val="Letter"/>
        <w:pBdr>
          <w:top w:val="dotDash" w:sz="4" w:space="1" w:color="auto"/>
          <w:left w:val="dotDash" w:sz="4" w:space="4" w:color="auto"/>
          <w:bottom w:val="dotDash" w:sz="4" w:space="1" w:color="auto"/>
          <w:right w:val="dotDash" w:sz="4" w:space="4" w:color="auto"/>
        </w:pBdr>
        <w:shd w:val="clear" w:color="auto" w:fill="CCFFFF"/>
        <w:ind w:left="900"/>
        <w:jc w:val="both"/>
        <w:rPr>
          <w:rFonts w:ascii="Times New Roman" w:hAnsi="Times New Roman"/>
          <w:sz w:val="24"/>
          <w:szCs w:val="24"/>
          <w:lang w:val="nl-NL"/>
        </w:rPr>
      </w:pPr>
      <w:r w:rsidRPr="006D0278">
        <w:rPr>
          <w:rFonts w:ascii="Times New Roman" w:hAnsi="Times New Roman"/>
          <w:sz w:val="24"/>
          <w:szCs w:val="24"/>
          <w:lang w:val="nl-NL"/>
        </w:rPr>
        <w:t>"</w:t>
      </w:r>
      <w:r w:rsidRPr="006D0278">
        <w:rPr>
          <w:rFonts w:ascii="Times New Roman" w:hAnsi="Times New Roman"/>
          <w:bCs/>
          <w:i/>
          <w:sz w:val="24"/>
          <w:szCs w:val="24"/>
          <w:lang w:val="nl-NL"/>
        </w:rPr>
        <w:t xml:space="preserve">Onverminderd de definitieve tenlasteneming van de kosten van de dienstverlening, </w:t>
      </w:r>
      <w:r w:rsidRPr="006D0278">
        <w:rPr>
          <w:rFonts w:ascii="Times New Roman" w:hAnsi="Times New Roman"/>
          <w:bCs/>
          <w:i/>
          <w:sz w:val="24"/>
          <w:szCs w:val="24"/>
          <w:u w:val="single"/>
          <w:lang w:val="nl-NL"/>
        </w:rPr>
        <w:t xml:space="preserve"> bepaalt de minister tot wiens bevoegdheid de maatschappelijke integratie behoort, binnen vijf werkdagen, het centrum dat voorlopig moet tussenkomen wanneer twee of meerdere OCMW's achten niet territoriaal bevoegd te zijn om een </w:t>
      </w:r>
      <w:r w:rsidRPr="006D0278">
        <w:rPr>
          <w:rFonts w:ascii="Times New Roman" w:hAnsi="Times New Roman"/>
          <w:bCs/>
          <w:i/>
          <w:sz w:val="24"/>
          <w:szCs w:val="24"/>
          <w:lang w:val="nl-NL"/>
        </w:rPr>
        <w:t>vraag te onderzoeken .</w:t>
      </w:r>
      <w:r w:rsidRPr="006D0278">
        <w:rPr>
          <w:rFonts w:ascii="Times New Roman" w:hAnsi="Times New Roman"/>
          <w:sz w:val="24"/>
          <w:szCs w:val="24"/>
          <w:lang w:val="nl-NL"/>
        </w:rPr>
        <w:t xml:space="preserve">" </w:t>
      </w:r>
    </w:p>
    <w:p w:rsidR="000743A9" w:rsidRPr="006D0278" w:rsidRDefault="000743A9" w:rsidP="000743A9">
      <w:pPr>
        <w:jc w:val="both"/>
        <w:rPr>
          <w:lang w:val="nl-NL"/>
        </w:rPr>
      </w:pPr>
    </w:p>
    <w:p w:rsidR="000743A9" w:rsidRPr="006D0278" w:rsidRDefault="000743A9" w:rsidP="000743A9">
      <w:pPr>
        <w:jc w:val="both"/>
        <w:rPr>
          <w:lang w:val="nl-NL"/>
        </w:rPr>
      </w:pPr>
    </w:p>
    <w:p w:rsidR="000743A9" w:rsidRPr="006D0278" w:rsidRDefault="008E706C" w:rsidP="000743A9">
      <w:pPr>
        <w:ind w:left="900"/>
        <w:jc w:val="both"/>
        <w:rPr>
          <w:lang w:val="nl-NL"/>
        </w:rPr>
      </w:pPr>
      <w:r w:rsidRPr="006D0278">
        <w:rPr>
          <w:lang w:val="nl-NL"/>
        </w:rPr>
        <w:t>De procedure voor de aanvraag van een voorlopige regeling van een bevoegdheidsconflict tussen OCMW’s op basis van artikel 15, vierde lid, van de wet van 2 april 1965, is niet van toepassing indien er geen bevoegdheidsconflict is tussen twee of meer OCMW’s. In dit geval is de aanvraag</w:t>
      </w:r>
      <w:r w:rsidRPr="0020394A">
        <w:rPr>
          <w:b/>
          <w:lang w:val="nl-NL"/>
        </w:rPr>
        <w:t xml:space="preserve"> </w:t>
      </w:r>
      <w:r w:rsidRPr="006D0278">
        <w:rPr>
          <w:b/>
          <w:u w:val="single"/>
          <w:lang w:val="nl-NL"/>
        </w:rPr>
        <w:t>onontvankelijk</w:t>
      </w:r>
      <w:r w:rsidRPr="0020394A">
        <w:rPr>
          <w:lang w:val="nl-NL"/>
        </w:rPr>
        <w:t>.</w:t>
      </w:r>
    </w:p>
    <w:p w:rsidR="000743A9" w:rsidRPr="006D0278" w:rsidRDefault="000743A9" w:rsidP="000743A9">
      <w:pPr>
        <w:jc w:val="both"/>
        <w:rPr>
          <w:lang w:val="nl-NL"/>
        </w:rPr>
      </w:pPr>
    </w:p>
    <w:p w:rsidR="000743A9" w:rsidRPr="006D0278" w:rsidRDefault="000743A9" w:rsidP="000743A9">
      <w:pPr>
        <w:jc w:val="both"/>
        <w:rPr>
          <w:lang w:val="nl-NL"/>
        </w:rPr>
      </w:pPr>
    </w:p>
    <w:p w:rsidR="000743A9" w:rsidRPr="006D0278" w:rsidRDefault="008E706C" w:rsidP="009F2CCA">
      <w:pPr>
        <w:pStyle w:val="Titre4"/>
        <w:ind w:firstLine="360"/>
        <w:rPr>
          <w:b w:val="0"/>
          <w:bCs w:val="0"/>
          <w:u w:val="single"/>
          <w:lang w:val="nl-NL"/>
        </w:rPr>
      </w:pPr>
      <w:bookmarkStart w:id="14" w:name="_Toc423509511"/>
      <w:r w:rsidRPr="006D0278">
        <w:rPr>
          <w:b w:val="0"/>
          <w:bCs w:val="0"/>
          <w:u w:val="single"/>
          <w:lang w:val="nl-NL"/>
        </w:rPr>
        <w:t xml:space="preserve">1.1. Aantal onontvankelijke vragen in </w:t>
      </w:r>
      <w:r w:rsidR="00257C37" w:rsidRPr="006D0278">
        <w:rPr>
          <w:b w:val="0"/>
          <w:bCs w:val="0"/>
          <w:u w:val="single"/>
          <w:lang w:val="nl-NL"/>
        </w:rPr>
        <w:t>201</w:t>
      </w:r>
      <w:r w:rsidR="00BA316D">
        <w:rPr>
          <w:b w:val="0"/>
          <w:bCs w:val="0"/>
          <w:u w:val="single"/>
          <w:lang w:val="nl-NL"/>
        </w:rPr>
        <w:t>4</w:t>
      </w:r>
      <w:bookmarkEnd w:id="14"/>
      <w:r w:rsidR="00257C37" w:rsidRPr="006D0278">
        <w:rPr>
          <w:b w:val="0"/>
          <w:bCs w:val="0"/>
          <w:u w:val="single"/>
          <w:lang w:val="nl-NL"/>
        </w:rPr>
        <w:t xml:space="preserve"> </w:t>
      </w:r>
    </w:p>
    <w:p w:rsidR="000743A9" w:rsidRPr="006D0278" w:rsidRDefault="000743A9" w:rsidP="000743A9">
      <w:pPr>
        <w:pStyle w:val="Opmaakprofiel1"/>
        <w:ind w:firstLine="720"/>
        <w:rPr>
          <w:u w:val="none"/>
        </w:rPr>
      </w:pPr>
    </w:p>
    <w:p w:rsidR="000743A9" w:rsidRPr="006D0278" w:rsidRDefault="00BA316D" w:rsidP="000743A9">
      <w:pPr>
        <w:pStyle w:val="Opmaakprofiel1"/>
        <w:ind w:left="720" w:firstLine="720"/>
        <w:rPr>
          <w:u w:val="none"/>
        </w:rPr>
      </w:pPr>
      <w:r>
        <w:rPr>
          <w:u w:val="none"/>
        </w:rPr>
        <w:t>63</w:t>
      </w:r>
      <w:r w:rsidR="008E706C" w:rsidRPr="006D0278">
        <w:rPr>
          <w:u w:val="none"/>
        </w:rPr>
        <w:t xml:space="preserve"> dossiers op </w:t>
      </w:r>
      <w:r w:rsidR="00257C37">
        <w:rPr>
          <w:u w:val="none"/>
        </w:rPr>
        <w:t>5</w:t>
      </w:r>
      <w:r>
        <w:rPr>
          <w:u w:val="none"/>
        </w:rPr>
        <w:t>56</w:t>
      </w:r>
      <w:r w:rsidR="008E706C" w:rsidRPr="006D0278">
        <w:rPr>
          <w:u w:val="none"/>
        </w:rPr>
        <w:t xml:space="preserve">, dat is </w:t>
      </w:r>
      <w:r>
        <w:rPr>
          <w:u w:val="none"/>
        </w:rPr>
        <w:t>11</w:t>
      </w:r>
      <w:r w:rsidR="00257C37" w:rsidRPr="006D0278">
        <w:rPr>
          <w:u w:val="none"/>
        </w:rPr>
        <w:t xml:space="preserve"> </w:t>
      </w:r>
      <w:r w:rsidR="008E706C" w:rsidRPr="006D0278">
        <w:rPr>
          <w:u w:val="none"/>
        </w:rPr>
        <w:t>%</w:t>
      </w:r>
    </w:p>
    <w:p w:rsidR="000743A9" w:rsidRPr="006D0278" w:rsidRDefault="008E706C" w:rsidP="000743A9">
      <w:pPr>
        <w:pStyle w:val="Opmaakprofiel1"/>
        <w:ind w:left="720" w:firstLine="720"/>
        <w:rPr>
          <w:u w:val="none"/>
        </w:rPr>
      </w:pPr>
      <w:r w:rsidRPr="006D0278">
        <w:rPr>
          <w:u w:val="none"/>
        </w:rPr>
        <w:t xml:space="preserve">Nederlandstalige: </w:t>
      </w:r>
      <w:r w:rsidR="00BA316D">
        <w:rPr>
          <w:u w:val="none"/>
        </w:rPr>
        <w:t>30</w:t>
      </w:r>
      <w:r w:rsidRPr="006D0278">
        <w:rPr>
          <w:u w:val="none"/>
        </w:rPr>
        <w:t xml:space="preserve"> dossiers op </w:t>
      </w:r>
      <w:r w:rsidR="008E67A4" w:rsidRPr="006D0278">
        <w:rPr>
          <w:u w:val="none"/>
        </w:rPr>
        <w:t>2</w:t>
      </w:r>
      <w:r w:rsidR="008E67A4">
        <w:rPr>
          <w:u w:val="none"/>
        </w:rPr>
        <w:t>1</w:t>
      </w:r>
      <w:r w:rsidR="00BA316D">
        <w:rPr>
          <w:u w:val="none"/>
        </w:rPr>
        <w:t>0</w:t>
      </w:r>
      <w:r w:rsidRPr="006D0278">
        <w:rPr>
          <w:u w:val="none"/>
        </w:rPr>
        <w:t xml:space="preserve">, dat is </w:t>
      </w:r>
      <w:r w:rsidR="00BA316D">
        <w:rPr>
          <w:u w:val="none"/>
        </w:rPr>
        <w:t>14</w:t>
      </w:r>
      <w:r w:rsidR="008E67A4" w:rsidRPr="006D0278">
        <w:rPr>
          <w:u w:val="none"/>
        </w:rPr>
        <w:t xml:space="preserve"> </w:t>
      </w:r>
      <w:r w:rsidRPr="006D0278">
        <w:rPr>
          <w:u w:val="none"/>
        </w:rPr>
        <w:t>%</w:t>
      </w:r>
    </w:p>
    <w:p w:rsidR="000743A9" w:rsidRPr="006D0278" w:rsidRDefault="008E706C" w:rsidP="000743A9">
      <w:pPr>
        <w:pStyle w:val="Opmaakprofiel1"/>
        <w:ind w:left="720" w:firstLine="720"/>
        <w:rPr>
          <w:u w:val="none"/>
        </w:rPr>
      </w:pPr>
      <w:r w:rsidRPr="006D0278">
        <w:rPr>
          <w:u w:val="none"/>
        </w:rPr>
        <w:t xml:space="preserve">Franstalige: </w:t>
      </w:r>
      <w:r w:rsidR="008E67A4">
        <w:rPr>
          <w:u w:val="none"/>
        </w:rPr>
        <w:t>33</w:t>
      </w:r>
      <w:r w:rsidR="008E67A4" w:rsidRPr="006D0278">
        <w:rPr>
          <w:u w:val="none"/>
        </w:rPr>
        <w:t xml:space="preserve"> </w:t>
      </w:r>
      <w:r w:rsidRPr="006D0278">
        <w:rPr>
          <w:u w:val="none"/>
        </w:rPr>
        <w:t xml:space="preserve">dossiers op </w:t>
      </w:r>
      <w:r w:rsidR="00BA316D">
        <w:rPr>
          <w:u w:val="none"/>
        </w:rPr>
        <w:t>346</w:t>
      </w:r>
      <w:r w:rsidRPr="006D0278">
        <w:rPr>
          <w:u w:val="none"/>
        </w:rPr>
        <w:t xml:space="preserve">, dat is </w:t>
      </w:r>
      <w:r w:rsidR="008E67A4">
        <w:rPr>
          <w:u w:val="none"/>
        </w:rPr>
        <w:t>1</w:t>
      </w:r>
      <w:r w:rsidR="00BA316D">
        <w:rPr>
          <w:u w:val="none"/>
        </w:rPr>
        <w:t>0</w:t>
      </w:r>
      <w:r w:rsidR="008E67A4" w:rsidRPr="006D0278">
        <w:rPr>
          <w:u w:val="none"/>
        </w:rPr>
        <w:t xml:space="preserve"> </w:t>
      </w:r>
      <w:r w:rsidRPr="006D0278">
        <w:rPr>
          <w:u w:val="none"/>
        </w:rPr>
        <w:t>%</w:t>
      </w:r>
    </w:p>
    <w:p w:rsidR="000743A9" w:rsidRPr="006D0278" w:rsidRDefault="000743A9" w:rsidP="000743A9">
      <w:pPr>
        <w:jc w:val="both"/>
        <w:rPr>
          <w:lang w:val="nl-NL"/>
        </w:rPr>
      </w:pPr>
    </w:p>
    <w:p w:rsidR="000743A9" w:rsidRPr="006D0278" w:rsidRDefault="000743A9" w:rsidP="000743A9">
      <w:pPr>
        <w:jc w:val="both"/>
        <w:rPr>
          <w:lang w:val="nl-NL"/>
        </w:rPr>
      </w:pPr>
    </w:p>
    <w:p w:rsidR="000743A9" w:rsidRPr="00CC370F" w:rsidRDefault="008E706C" w:rsidP="009F2CCA">
      <w:pPr>
        <w:pStyle w:val="Titre4"/>
        <w:ind w:firstLine="360"/>
        <w:rPr>
          <w:b w:val="0"/>
          <w:bCs w:val="0"/>
          <w:u w:val="single"/>
        </w:rPr>
      </w:pPr>
      <w:bookmarkStart w:id="15" w:name="_Toc423509512"/>
      <w:r>
        <w:rPr>
          <w:b w:val="0"/>
          <w:bCs w:val="0"/>
          <w:u w:val="single"/>
        </w:rPr>
        <w:t>1.2. Soorten onontvankelijke aanvragen</w:t>
      </w:r>
      <w:bookmarkEnd w:id="15"/>
    </w:p>
    <w:p w:rsidR="000743A9" w:rsidRPr="007B4441" w:rsidRDefault="000743A9" w:rsidP="000743A9">
      <w:pPr>
        <w:rPr>
          <w:lang w:val="fr-FR"/>
        </w:rPr>
      </w:pPr>
    </w:p>
    <w:p w:rsidR="000743A9" w:rsidRPr="006D0278" w:rsidRDefault="008E706C" w:rsidP="000743A9">
      <w:pPr>
        <w:pStyle w:val="Opmaakprofiel1"/>
        <w:numPr>
          <w:ilvl w:val="0"/>
          <w:numId w:val="1"/>
        </w:numPr>
        <w:tabs>
          <w:tab w:val="clear" w:pos="2160"/>
          <w:tab w:val="num" w:pos="1080"/>
        </w:tabs>
        <w:ind w:left="1080" w:firstLine="0"/>
        <w:rPr>
          <w:u w:val="none"/>
        </w:rPr>
      </w:pPr>
      <w:r w:rsidRPr="006D0278">
        <w:rPr>
          <w:u w:val="none"/>
        </w:rPr>
        <w:t>Een gewone adviesaanvraag van het OCMW dat zich niet uitspreekt over zijn bevoegdheid en dat een aanvraag indient om de Dienst Bevoegdheidsconflicten het bevoegde OCMW te laten aanduiden.</w:t>
      </w:r>
    </w:p>
    <w:p w:rsidR="000743A9" w:rsidRPr="006D0278" w:rsidRDefault="000743A9" w:rsidP="000743A9">
      <w:pPr>
        <w:pStyle w:val="Opmaakprofiel1"/>
        <w:ind w:left="1800"/>
        <w:rPr>
          <w:u w:val="none"/>
        </w:rPr>
      </w:pPr>
    </w:p>
    <w:p w:rsidR="000743A9" w:rsidRPr="006D0278" w:rsidRDefault="008E706C" w:rsidP="000743A9">
      <w:pPr>
        <w:pStyle w:val="Opmaakprofiel1"/>
        <w:numPr>
          <w:ilvl w:val="0"/>
          <w:numId w:val="1"/>
        </w:numPr>
        <w:tabs>
          <w:tab w:val="clear" w:pos="2160"/>
          <w:tab w:val="num" w:pos="1080"/>
        </w:tabs>
        <w:ind w:left="1080" w:firstLine="0"/>
        <w:rPr>
          <w:u w:val="none"/>
        </w:rPr>
      </w:pPr>
      <w:r w:rsidRPr="006D0278">
        <w:rPr>
          <w:u w:val="none"/>
        </w:rPr>
        <w:t xml:space="preserve">Een vraag die betrekking heeft op de tenlasteneming van de hospitalisatiekosten door het OCMW van de onderstandsdomicilie. </w:t>
      </w:r>
    </w:p>
    <w:p w:rsidR="000743A9" w:rsidRPr="006D0278" w:rsidRDefault="000743A9" w:rsidP="000743A9">
      <w:pPr>
        <w:pStyle w:val="Opmaakprofiel1"/>
        <w:rPr>
          <w:u w:val="none"/>
        </w:rPr>
      </w:pPr>
    </w:p>
    <w:p w:rsidR="000743A9" w:rsidRPr="006D0278" w:rsidRDefault="008E706C" w:rsidP="000743A9">
      <w:pPr>
        <w:pStyle w:val="Opmaakprofiel1"/>
        <w:numPr>
          <w:ilvl w:val="0"/>
          <w:numId w:val="1"/>
        </w:numPr>
        <w:tabs>
          <w:tab w:val="clear" w:pos="2160"/>
          <w:tab w:val="num" w:pos="1440"/>
        </w:tabs>
        <w:ind w:left="1080" w:firstLine="0"/>
        <w:rPr>
          <w:u w:val="none"/>
        </w:rPr>
      </w:pPr>
      <w:r w:rsidRPr="006D0278">
        <w:rPr>
          <w:u w:val="none"/>
        </w:rPr>
        <w:t>Een aanvraag tot regeling van een bevoegdheidsconflict ingediend door een ziekenhuis, een opvangtehuis of een andere instelling.</w:t>
      </w:r>
    </w:p>
    <w:p w:rsidR="000743A9" w:rsidRPr="006D0278" w:rsidRDefault="008E706C" w:rsidP="000743A9">
      <w:pPr>
        <w:pStyle w:val="Opmaakprofiel1"/>
        <w:ind w:left="1080"/>
        <w:rPr>
          <w:u w:val="none"/>
        </w:rPr>
      </w:pPr>
      <w:r w:rsidRPr="006D0278">
        <w:rPr>
          <w:u w:val="none"/>
        </w:rPr>
        <w:t>Een dergelijke aanvraag is niet ontvankelijk omdat ze ingediend moet worden door een OCMW.</w:t>
      </w:r>
    </w:p>
    <w:p w:rsidR="000743A9" w:rsidRPr="006D0278" w:rsidRDefault="000743A9" w:rsidP="000743A9">
      <w:pPr>
        <w:pStyle w:val="Opmaakprofiel1"/>
        <w:rPr>
          <w:u w:val="none"/>
        </w:rPr>
      </w:pPr>
    </w:p>
    <w:p w:rsidR="000743A9" w:rsidRDefault="008E706C" w:rsidP="000743A9">
      <w:pPr>
        <w:pStyle w:val="Opmaakprofiel1"/>
        <w:numPr>
          <w:ilvl w:val="0"/>
          <w:numId w:val="1"/>
        </w:numPr>
        <w:tabs>
          <w:tab w:val="clear" w:pos="2160"/>
          <w:tab w:val="num" w:pos="1080"/>
        </w:tabs>
        <w:ind w:left="1080" w:firstLine="0"/>
        <w:rPr>
          <w:u w:val="none"/>
        </w:rPr>
      </w:pPr>
      <w:r w:rsidRPr="006D0278">
        <w:rPr>
          <w:u w:val="none"/>
        </w:rPr>
        <w:lastRenderedPageBreak/>
        <w:t>Een aanvraag tot regeling van een bevoegdheidsconflict ingediend door een OCMW zonder gemotiveerde beslissing inzake onbevoegdheid vanwege het OCMW waarmee het indienende OCMW een bevoegdheidsconflict heeft.</w:t>
      </w:r>
    </w:p>
    <w:p w:rsidR="000743A9" w:rsidRDefault="008E706C" w:rsidP="000743A9">
      <w:pPr>
        <w:pStyle w:val="Opmaakprofiel1"/>
        <w:ind w:left="1080"/>
        <w:rPr>
          <w:u w:val="none"/>
        </w:rPr>
      </w:pPr>
      <w:r w:rsidRPr="006D0278">
        <w:rPr>
          <w:u w:val="none"/>
        </w:rPr>
        <w:t xml:space="preserve">Dit is zo in het geval wanneer een eerste OCMW dat denkt onbevoegd te zijn, de steunaanvrager mondeling doorstuurt naar een tweede OCMW zonder een gemotiveerde beslissing inzake onbevoegdheid te nemen. In dit geval moet het tweede OCMW, dat ook denkt onbevoegd te zijn, die vraag doorsturen naar het volgens hem bevoegde OCMW en dit overeenkomstig de procedure beschreven in artikel 18, §4, van de wet van 26 mei 2002 betreffende het recht op maatschappelijke integratie of artikel 58, §3, van de organieke OCMW-wet van 8 juli 1976. Het moet dus geen aanvraag tot regeling van een bevoegdheidsconflict bij de Dienst Bevoegdheidsconflicten indienen als er geen gemotiveerde beslissing tot onbevoegdheid genomen werd door het eerste OCMW. </w:t>
      </w:r>
    </w:p>
    <w:p w:rsidR="00BA316D" w:rsidRDefault="00BA316D" w:rsidP="000743A9">
      <w:pPr>
        <w:pStyle w:val="Opmaakprofiel1"/>
        <w:ind w:left="1080"/>
        <w:rPr>
          <w:u w:val="none"/>
        </w:rPr>
      </w:pPr>
    </w:p>
    <w:p w:rsidR="00FA670A" w:rsidRPr="00655650" w:rsidRDefault="00FA670A" w:rsidP="00BA316D">
      <w:pPr>
        <w:ind w:left="1080"/>
        <w:jc w:val="both"/>
        <w:rPr>
          <w:lang w:val="nl-NL"/>
        </w:rPr>
      </w:pPr>
      <w:r w:rsidRPr="00655650">
        <w:rPr>
          <w:lang w:val="nl-NL"/>
        </w:rPr>
        <w:t xml:space="preserve">Het gebeurt </w:t>
      </w:r>
      <w:r w:rsidR="000072BE" w:rsidRPr="00655650">
        <w:rPr>
          <w:lang w:val="nl-NL"/>
        </w:rPr>
        <w:t xml:space="preserve">vrij </w:t>
      </w:r>
      <w:r w:rsidRPr="00655650">
        <w:rPr>
          <w:lang w:val="nl-NL"/>
        </w:rPr>
        <w:t xml:space="preserve">regelmatig </w:t>
      </w:r>
      <w:r w:rsidR="000072BE" w:rsidRPr="00655650">
        <w:rPr>
          <w:lang w:val="nl-NL"/>
        </w:rPr>
        <w:t>dat een OCMW door een sociale dienst van een ziekenhuis benaderd wordt en dat het OCMW enkel rechtstreeks aan het ziekenhuis antwoordt zich territoriaal niet bevoegd te achten zonder een kennisgeving van onbevoegdheid over te maken aan het bevoegd geacht OCMW.</w:t>
      </w:r>
    </w:p>
    <w:p w:rsidR="000072BE" w:rsidRPr="00655650" w:rsidRDefault="000072BE" w:rsidP="00BA316D">
      <w:pPr>
        <w:ind w:left="1080"/>
        <w:jc w:val="both"/>
        <w:rPr>
          <w:lang w:val="nl-NL"/>
        </w:rPr>
      </w:pPr>
      <w:r w:rsidRPr="00655650">
        <w:rPr>
          <w:lang w:val="nl-NL"/>
        </w:rPr>
        <w:t>Ook in onderhavig geval dient het OCMW dat de initiële vraag via de sociale dienst van het ziekenhuis ontvangt, verplichtend een kennisgeving van onbevoegdheid over maken conform de procedure van artikel 18, §4, van de wet van 26 mei 2002 betreffende het Recht op Maatschappelijke Integratie of van art</w:t>
      </w:r>
      <w:r w:rsidR="00421DE5">
        <w:rPr>
          <w:lang w:val="nl-NL"/>
        </w:rPr>
        <w:t>ikel</w:t>
      </w:r>
      <w:r w:rsidRPr="00655650">
        <w:rPr>
          <w:lang w:val="nl-NL"/>
        </w:rPr>
        <w:t xml:space="preserve"> 58, §3, van de organieke wet  van 8 juli 1976.</w:t>
      </w:r>
    </w:p>
    <w:p w:rsidR="00BA316D" w:rsidRPr="00655650" w:rsidRDefault="00BA316D" w:rsidP="000743A9">
      <w:pPr>
        <w:pStyle w:val="Opmaakprofiel1"/>
        <w:ind w:left="1080"/>
        <w:rPr>
          <w:u w:val="none"/>
        </w:rPr>
      </w:pPr>
    </w:p>
    <w:p w:rsidR="00BA316D" w:rsidRPr="00655650" w:rsidRDefault="00BA316D" w:rsidP="000743A9">
      <w:pPr>
        <w:pStyle w:val="Opmaakprofiel1"/>
        <w:ind w:left="1080"/>
        <w:rPr>
          <w:u w:val="none"/>
        </w:rPr>
      </w:pPr>
    </w:p>
    <w:p w:rsidR="000743A9" w:rsidRPr="006D0278" w:rsidRDefault="008E706C" w:rsidP="00CC370F">
      <w:pPr>
        <w:pStyle w:val="Titre4"/>
        <w:ind w:firstLine="360"/>
        <w:rPr>
          <w:b w:val="0"/>
          <w:bCs w:val="0"/>
          <w:u w:val="single"/>
          <w:lang w:val="nl-NL"/>
        </w:rPr>
      </w:pPr>
      <w:bookmarkStart w:id="16" w:name="_Toc423509513"/>
      <w:r w:rsidRPr="006D0278">
        <w:rPr>
          <w:b w:val="0"/>
          <w:bCs w:val="0"/>
          <w:u w:val="single"/>
          <w:lang w:val="nl-NL"/>
        </w:rPr>
        <w:t>1.3. Adviezen van de Dienst OCMW-Wetgeving - Bevoegdheidsconflicten</w:t>
      </w:r>
      <w:bookmarkEnd w:id="16"/>
    </w:p>
    <w:p w:rsidR="000743A9" w:rsidRPr="006D0278" w:rsidRDefault="000743A9" w:rsidP="000743A9">
      <w:pPr>
        <w:pStyle w:val="Opmaakprofiel1"/>
        <w:rPr>
          <w:u w:val="none"/>
        </w:rPr>
      </w:pPr>
    </w:p>
    <w:p w:rsidR="000743A9" w:rsidRPr="006D0278" w:rsidRDefault="008E706C" w:rsidP="000743A9">
      <w:pPr>
        <w:pStyle w:val="Opmaakprofiel1"/>
        <w:ind w:left="720"/>
        <w:rPr>
          <w:u w:val="none"/>
        </w:rPr>
      </w:pPr>
      <w:r w:rsidRPr="006D0278">
        <w:rPr>
          <w:u w:val="none"/>
        </w:rPr>
        <w:t xml:space="preserve">Bij de onontvankelijke aanvragen wordt er geen tijdelijk bevoegd centrum aangeduid in het kader van de procedure tot oplossing van bevoegdheidsconflicten. </w:t>
      </w:r>
    </w:p>
    <w:p w:rsidR="000743A9" w:rsidRPr="006D0278" w:rsidRDefault="000743A9" w:rsidP="000743A9">
      <w:pPr>
        <w:pStyle w:val="Opmaakprofiel1"/>
        <w:ind w:left="900"/>
        <w:rPr>
          <w:u w:val="none"/>
        </w:rPr>
      </w:pPr>
    </w:p>
    <w:p w:rsidR="000743A9" w:rsidRPr="006D0278" w:rsidRDefault="008E706C" w:rsidP="000743A9">
      <w:pPr>
        <w:pStyle w:val="Opmaakprofiel1"/>
        <w:ind w:left="720"/>
        <w:rPr>
          <w:u w:val="none"/>
        </w:rPr>
      </w:pPr>
      <w:r w:rsidRPr="006D0278">
        <w:rPr>
          <w:u w:val="none"/>
        </w:rPr>
        <w:t xml:space="preserve">In het belang van de steunaanvrager die ondertussen geen hulp krijgt, wordt door de Dienst OCMW-Wetgeving toch zo snel mogelijk een advies inzake de bevoegdheid meegedeeld aan het OCMW dat de aanvraag heeft ingediend. Dit advies kan in geen geval worden beschouwd als een beslissing van de Dienst Bevoegdheidsconflicten tot aanduiding van het bevoegde OCMW. </w:t>
      </w:r>
    </w:p>
    <w:p w:rsidR="00CC370F" w:rsidRDefault="00CC370F" w:rsidP="000743A9">
      <w:pPr>
        <w:jc w:val="both"/>
        <w:rPr>
          <w:lang w:val="nl-NL"/>
        </w:rPr>
      </w:pPr>
    </w:p>
    <w:p w:rsidR="00BA316D" w:rsidRDefault="00BA316D" w:rsidP="000743A9">
      <w:pPr>
        <w:jc w:val="both"/>
        <w:rPr>
          <w:lang w:val="nl-NL"/>
        </w:rPr>
      </w:pPr>
    </w:p>
    <w:p w:rsidR="00F269F4" w:rsidRPr="006D0278" w:rsidRDefault="00F269F4" w:rsidP="000743A9">
      <w:pPr>
        <w:jc w:val="both"/>
        <w:rPr>
          <w:lang w:val="nl-NL"/>
        </w:rPr>
      </w:pPr>
    </w:p>
    <w:p w:rsidR="000743A9" w:rsidRPr="006D0278" w:rsidRDefault="008E706C" w:rsidP="00CC370F">
      <w:pPr>
        <w:pStyle w:val="Titre3"/>
        <w:spacing w:before="0" w:after="0"/>
        <w:rPr>
          <w:b/>
          <w:bCs/>
          <w:sz w:val="24"/>
          <w:u w:val="single"/>
          <w:lang w:val="nl-NL"/>
        </w:rPr>
      </w:pPr>
      <w:bookmarkStart w:id="17" w:name="_Toc423509514"/>
      <w:r w:rsidRPr="006D0278">
        <w:rPr>
          <w:b/>
          <w:bCs/>
          <w:sz w:val="24"/>
          <w:u w:val="single"/>
          <w:lang w:val="nl-NL"/>
        </w:rPr>
        <w:t>2. De aanvragen zonder voorwerp</w:t>
      </w:r>
      <w:bookmarkEnd w:id="17"/>
      <w:r w:rsidRPr="006D0278">
        <w:rPr>
          <w:b/>
          <w:bCs/>
          <w:sz w:val="24"/>
          <w:u w:val="single"/>
          <w:lang w:val="nl-NL"/>
        </w:rPr>
        <w:t xml:space="preserve"> </w:t>
      </w:r>
    </w:p>
    <w:p w:rsidR="000743A9" w:rsidRPr="006D0278" w:rsidRDefault="000743A9" w:rsidP="000743A9">
      <w:pPr>
        <w:pStyle w:val="Corpsdetexte"/>
        <w:tabs>
          <w:tab w:val="left" w:pos="720"/>
        </w:tabs>
        <w:rPr>
          <w:i/>
          <w:lang w:val="nl-NL"/>
        </w:rPr>
      </w:pPr>
    </w:p>
    <w:p w:rsidR="000743A9" w:rsidRPr="006D0278" w:rsidRDefault="008E706C" w:rsidP="000743A9">
      <w:pPr>
        <w:pStyle w:val="Corpsdetexte"/>
        <w:tabs>
          <w:tab w:val="left" w:pos="720"/>
        </w:tabs>
        <w:ind w:left="360"/>
        <w:rPr>
          <w:lang w:val="nl-NL"/>
        </w:rPr>
      </w:pPr>
      <w:r w:rsidRPr="006D0278">
        <w:rPr>
          <w:lang w:val="nl-NL"/>
        </w:rPr>
        <w:t xml:space="preserve"> Dit zijn de dossiers waarin na een vraag om aanvullende informatie bij de betrokken OCMW's één van de betrokken OCMW’s erkent toch bevoegd te zijn om de steunaanvraag te behandelen. De aanvraag tot regeling van een bevoegdheidsconflict is onontvankelijk, aangezien zij zonder voorwerp is.</w:t>
      </w:r>
    </w:p>
    <w:p w:rsidR="000743A9" w:rsidRPr="006D0278" w:rsidRDefault="000743A9" w:rsidP="000743A9">
      <w:pPr>
        <w:rPr>
          <w:lang w:val="nl-NL"/>
        </w:rPr>
      </w:pPr>
      <w:r w:rsidRPr="006D0278">
        <w:rPr>
          <w:lang w:val="nl-NL"/>
        </w:rPr>
        <w:tab/>
      </w:r>
      <w:r w:rsidRPr="006D0278">
        <w:rPr>
          <w:lang w:val="nl-NL"/>
        </w:rPr>
        <w:tab/>
      </w:r>
    </w:p>
    <w:p w:rsidR="000743A9" w:rsidRPr="006D0278" w:rsidRDefault="008E706C" w:rsidP="000743A9">
      <w:pPr>
        <w:ind w:left="360"/>
        <w:jc w:val="both"/>
        <w:rPr>
          <w:lang w:val="nl-NL"/>
        </w:rPr>
      </w:pPr>
      <w:r w:rsidRPr="006D0278">
        <w:rPr>
          <w:lang w:val="nl-NL"/>
        </w:rPr>
        <w:t xml:space="preserve">Er wordt vastgesteld dat in het merendeel van de gevallen het eerste OCMW, dat de steunaanvraag doorstuurde, het OCMW is dat zich toch bevoegd acht na een vraag om aanvullende informatie door de Dienst </w:t>
      </w:r>
      <w:r w:rsidR="00F9388F" w:rsidRPr="006D0278">
        <w:rPr>
          <w:lang w:val="nl-NL"/>
        </w:rPr>
        <w:t xml:space="preserve">Bevoegdheidsconflicten. </w:t>
      </w:r>
    </w:p>
    <w:p w:rsidR="000743A9" w:rsidRPr="006D0278" w:rsidRDefault="000743A9" w:rsidP="000743A9">
      <w:pPr>
        <w:jc w:val="both"/>
        <w:rPr>
          <w:lang w:val="nl-NL"/>
        </w:rPr>
      </w:pPr>
    </w:p>
    <w:p w:rsidR="000743A9" w:rsidRPr="006D0278" w:rsidRDefault="008E706C" w:rsidP="000743A9">
      <w:pPr>
        <w:ind w:left="360"/>
        <w:jc w:val="both"/>
        <w:rPr>
          <w:lang w:val="nl-NL"/>
        </w:rPr>
      </w:pPr>
      <w:r w:rsidRPr="006D0278">
        <w:rPr>
          <w:lang w:val="nl-NL"/>
        </w:rPr>
        <w:lastRenderedPageBreak/>
        <w:t xml:space="preserve">Dit kan onder andere betekenen dat het </w:t>
      </w:r>
      <w:r w:rsidR="007A0619">
        <w:rPr>
          <w:lang w:val="nl-NL"/>
        </w:rPr>
        <w:t>eerste</w:t>
      </w:r>
      <w:r w:rsidRPr="006D0278">
        <w:rPr>
          <w:vertAlign w:val="superscript"/>
          <w:lang w:val="nl-NL"/>
        </w:rPr>
        <w:t xml:space="preserve"> </w:t>
      </w:r>
      <w:r w:rsidRPr="006D0278">
        <w:rPr>
          <w:lang w:val="nl-NL"/>
        </w:rPr>
        <w:t>OCMW de steunaanvraag niet grondig heeft onderzocht alvorens zich onbevoegd te verklaren. De OCMW’s analyseren niet altijd grondig alle feitelijke en wettelijke gegevens voordat ze beslissen dat ze onbevoegd zijn. Dit onderzoek gebeurt vaak slechts naar aanleiding van de vraag om aanvullende informatie vanwege de Dienst Bevoegdheidsconflicten.</w:t>
      </w:r>
    </w:p>
    <w:p w:rsidR="000743A9" w:rsidRPr="006D0278" w:rsidRDefault="000743A9" w:rsidP="000743A9">
      <w:pPr>
        <w:pStyle w:val="Corpsdetexte"/>
        <w:tabs>
          <w:tab w:val="left" w:pos="720"/>
        </w:tabs>
        <w:rPr>
          <w:i/>
          <w:lang w:val="nl-NL"/>
        </w:rPr>
      </w:pPr>
    </w:p>
    <w:p w:rsidR="000743A9" w:rsidRDefault="008B4EA3" w:rsidP="000743A9">
      <w:pPr>
        <w:pStyle w:val="Corpsdetexte"/>
        <w:tabs>
          <w:tab w:val="left" w:pos="720"/>
        </w:tabs>
        <w:rPr>
          <w:u w:val="single"/>
        </w:rPr>
      </w:pPr>
      <w:r w:rsidRPr="006D0278">
        <w:rPr>
          <w:i/>
          <w:lang w:val="nl-NL"/>
        </w:rPr>
        <w:tab/>
      </w:r>
      <w:r w:rsidR="008E706C">
        <w:rPr>
          <w:u w:val="single"/>
        </w:rPr>
        <w:t>Aantal aanvragen zonder voorwerp:</w:t>
      </w:r>
    </w:p>
    <w:p w:rsidR="000743A9" w:rsidRDefault="008E706C" w:rsidP="008B4EA3">
      <w:pPr>
        <w:pStyle w:val="Corpsdetexte"/>
        <w:numPr>
          <w:ilvl w:val="0"/>
          <w:numId w:val="19"/>
        </w:numPr>
        <w:tabs>
          <w:tab w:val="left" w:pos="720"/>
        </w:tabs>
        <w:rPr>
          <w:lang w:val="nl-BE"/>
        </w:rPr>
      </w:pPr>
      <w:r>
        <w:rPr>
          <w:lang w:val="nl-BE"/>
        </w:rPr>
        <w:t>In 2004: 11 dossiers op 524, dat is 2,09 %</w:t>
      </w:r>
    </w:p>
    <w:p w:rsidR="000743A9" w:rsidRDefault="008E706C" w:rsidP="008B4EA3">
      <w:pPr>
        <w:pStyle w:val="Corpsdetexte"/>
        <w:numPr>
          <w:ilvl w:val="0"/>
          <w:numId w:val="19"/>
        </w:numPr>
        <w:tabs>
          <w:tab w:val="left" w:pos="720"/>
        </w:tabs>
        <w:rPr>
          <w:lang w:val="nl-BE"/>
        </w:rPr>
      </w:pPr>
      <w:r>
        <w:rPr>
          <w:lang w:val="nl-BE"/>
        </w:rPr>
        <w:t>In 2005: 29 dossiers op 427, dat is 6,7 %</w:t>
      </w:r>
    </w:p>
    <w:p w:rsidR="000743A9" w:rsidRPr="006D0278" w:rsidRDefault="008E706C" w:rsidP="008B4EA3">
      <w:pPr>
        <w:pStyle w:val="Corpsdetexte"/>
        <w:numPr>
          <w:ilvl w:val="0"/>
          <w:numId w:val="19"/>
        </w:numPr>
        <w:tabs>
          <w:tab w:val="left" w:pos="720"/>
        </w:tabs>
        <w:rPr>
          <w:lang w:val="nl-NL"/>
        </w:rPr>
      </w:pPr>
      <w:r w:rsidRPr="006D0278">
        <w:rPr>
          <w:lang w:val="nl-NL"/>
        </w:rPr>
        <w:t>In 2006: 26 dossiers op 465, dat is 5,6 %</w:t>
      </w:r>
    </w:p>
    <w:p w:rsidR="000743A9" w:rsidRDefault="008E706C" w:rsidP="008B4EA3">
      <w:pPr>
        <w:pStyle w:val="Corpsdetexte"/>
        <w:numPr>
          <w:ilvl w:val="0"/>
          <w:numId w:val="19"/>
        </w:numPr>
        <w:tabs>
          <w:tab w:val="left" w:pos="720"/>
        </w:tabs>
        <w:rPr>
          <w:u w:val="single"/>
          <w:lang w:val="nl-BE"/>
        </w:rPr>
      </w:pPr>
      <w:r>
        <w:rPr>
          <w:lang w:val="nl-BE"/>
        </w:rPr>
        <w:t>In 2007: 28 dossiers op 513, dat is 5,46 %</w:t>
      </w:r>
    </w:p>
    <w:p w:rsidR="000743A9" w:rsidRPr="006D0278" w:rsidRDefault="008E706C" w:rsidP="008B4EA3">
      <w:pPr>
        <w:pStyle w:val="Corpsdetexte"/>
        <w:numPr>
          <w:ilvl w:val="0"/>
          <w:numId w:val="19"/>
        </w:numPr>
        <w:tabs>
          <w:tab w:val="left" w:pos="720"/>
        </w:tabs>
        <w:rPr>
          <w:lang w:val="nl-NL"/>
        </w:rPr>
      </w:pPr>
      <w:r w:rsidRPr="006D0278">
        <w:rPr>
          <w:lang w:val="nl-NL"/>
        </w:rPr>
        <w:t>In 2008: 12 dossiers op 527, dat is 2,27 %</w:t>
      </w:r>
    </w:p>
    <w:p w:rsidR="001D0B69" w:rsidRPr="006D0278" w:rsidRDefault="008E706C" w:rsidP="008B4EA3">
      <w:pPr>
        <w:pStyle w:val="Corpsdetexte"/>
        <w:numPr>
          <w:ilvl w:val="0"/>
          <w:numId w:val="19"/>
        </w:numPr>
        <w:tabs>
          <w:tab w:val="left" w:pos="720"/>
        </w:tabs>
        <w:rPr>
          <w:lang w:val="nl-NL"/>
        </w:rPr>
      </w:pPr>
      <w:r w:rsidRPr="006D0278">
        <w:rPr>
          <w:lang w:val="nl-NL"/>
        </w:rPr>
        <w:t xml:space="preserve">In 2009: 16 dossiers op 545, dat is 2,93 % </w:t>
      </w:r>
    </w:p>
    <w:p w:rsidR="00130B3E" w:rsidRPr="00130B3E" w:rsidRDefault="00130B3E" w:rsidP="00130B3E">
      <w:pPr>
        <w:pStyle w:val="Corpsdetexte"/>
        <w:numPr>
          <w:ilvl w:val="0"/>
          <w:numId w:val="19"/>
        </w:numPr>
        <w:tabs>
          <w:tab w:val="left" w:pos="720"/>
        </w:tabs>
        <w:rPr>
          <w:lang w:val="nl-NL"/>
        </w:rPr>
      </w:pPr>
      <w:r w:rsidRPr="00130B3E">
        <w:rPr>
          <w:lang w:val="nl-NL"/>
        </w:rPr>
        <w:t xml:space="preserve">In 2010: 47 </w:t>
      </w:r>
      <w:r w:rsidR="0020394A">
        <w:rPr>
          <w:lang w:val="nl-NL"/>
        </w:rPr>
        <w:t>dossiers op 490, dat is 9,59 %</w:t>
      </w:r>
    </w:p>
    <w:p w:rsidR="00130B3E" w:rsidRDefault="00130B3E" w:rsidP="00130B3E">
      <w:pPr>
        <w:pStyle w:val="Corpsdetexte"/>
        <w:numPr>
          <w:ilvl w:val="0"/>
          <w:numId w:val="19"/>
        </w:numPr>
        <w:tabs>
          <w:tab w:val="left" w:pos="720"/>
        </w:tabs>
        <w:rPr>
          <w:lang w:val="nl-NL"/>
        </w:rPr>
      </w:pPr>
      <w:r w:rsidRPr="00130B3E">
        <w:rPr>
          <w:lang w:val="nl-NL"/>
        </w:rPr>
        <w:t xml:space="preserve">In 2011: 45 </w:t>
      </w:r>
      <w:r w:rsidR="0020394A">
        <w:rPr>
          <w:lang w:val="nl-NL"/>
        </w:rPr>
        <w:t>dossiers op 618, dat is 7,28 %</w:t>
      </w:r>
    </w:p>
    <w:p w:rsidR="0020394A" w:rsidRDefault="0020394A" w:rsidP="0020394A">
      <w:pPr>
        <w:pStyle w:val="Corpsdetexte"/>
        <w:numPr>
          <w:ilvl w:val="0"/>
          <w:numId w:val="19"/>
        </w:numPr>
        <w:tabs>
          <w:tab w:val="left" w:pos="720"/>
        </w:tabs>
        <w:rPr>
          <w:lang w:val="nl-NL"/>
        </w:rPr>
      </w:pPr>
      <w:r>
        <w:rPr>
          <w:lang w:val="nl-NL"/>
        </w:rPr>
        <w:t>In 2012: 58 dossiers op 545, dat is 11%</w:t>
      </w:r>
      <w:r w:rsidR="008E67A4">
        <w:rPr>
          <w:lang w:val="nl-NL"/>
        </w:rPr>
        <w:t xml:space="preserve"> </w:t>
      </w:r>
    </w:p>
    <w:p w:rsidR="00CD54CE" w:rsidRPr="00F269F4" w:rsidRDefault="008E67A4" w:rsidP="00CD54CE">
      <w:pPr>
        <w:pStyle w:val="Corpsdetexte"/>
        <w:numPr>
          <w:ilvl w:val="0"/>
          <w:numId w:val="19"/>
        </w:numPr>
        <w:tabs>
          <w:tab w:val="left" w:pos="720"/>
        </w:tabs>
        <w:rPr>
          <w:lang w:val="nl-NL"/>
        </w:rPr>
      </w:pPr>
      <w:r w:rsidRPr="00F269F4">
        <w:rPr>
          <w:lang w:val="nl-NL"/>
        </w:rPr>
        <w:t>In 2013: 25 do</w:t>
      </w:r>
      <w:r w:rsidR="00BA316D" w:rsidRPr="00F269F4">
        <w:rPr>
          <w:lang w:val="nl-NL"/>
        </w:rPr>
        <w:t>ssiers op 518, dat is 4,8 %</w:t>
      </w:r>
    </w:p>
    <w:p w:rsidR="00BA316D" w:rsidRPr="00F269F4" w:rsidRDefault="00BA316D" w:rsidP="00655650">
      <w:pPr>
        <w:pStyle w:val="Paragraphedeliste"/>
        <w:numPr>
          <w:ilvl w:val="0"/>
          <w:numId w:val="19"/>
        </w:numPr>
        <w:tabs>
          <w:tab w:val="left" w:pos="720"/>
        </w:tabs>
        <w:rPr>
          <w:lang w:val="nl-NL"/>
        </w:rPr>
      </w:pPr>
      <w:r w:rsidRPr="00F269F4">
        <w:rPr>
          <w:lang w:val="nl-NL"/>
        </w:rPr>
        <w:t xml:space="preserve">In 2014 : 43 dossiers op 556, dat is 7,73% : </w:t>
      </w:r>
      <w:r w:rsidR="000072BE" w:rsidRPr="00F269F4">
        <w:rPr>
          <w:lang w:val="nl-NL"/>
        </w:rPr>
        <w:t>dit aantal neemt opnieuw toe, na een forse daling in 2013</w:t>
      </w:r>
      <w:r w:rsidR="00F269F4">
        <w:rPr>
          <w:lang w:val="nl-NL"/>
        </w:rPr>
        <w:t>.</w:t>
      </w:r>
      <w:r w:rsidR="00421DE5" w:rsidRPr="00F269F4">
        <w:rPr>
          <w:lang w:val="nl-NL"/>
        </w:rPr>
        <w:t xml:space="preserve"> </w:t>
      </w:r>
    </w:p>
    <w:p w:rsidR="00BA316D" w:rsidRPr="00F269F4" w:rsidRDefault="00BA316D" w:rsidP="00BA316D">
      <w:pPr>
        <w:pStyle w:val="Corpsdetexte"/>
        <w:tabs>
          <w:tab w:val="left" w:pos="720"/>
        </w:tabs>
        <w:rPr>
          <w:lang w:val="nl-NL"/>
        </w:rPr>
      </w:pPr>
    </w:p>
    <w:p w:rsidR="00BA316D" w:rsidRPr="00F269F4" w:rsidRDefault="00BA316D" w:rsidP="00BA316D">
      <w:pPr>
        <w:pStyle w:val="Corpsdetexte"/>
        <w:tabs>
          <w:tab w:val="left" w:pos="720"/>
        </w:tabs>
        <w:rPr>
          <w:lang w:val="nl-NL"/>
        </w:rPr>
      </w:pPr>
    </w:p>
    <w:p w:rsidR="00452184" w:rsidRPr="00655650" w:rsidRDefault="00452184" w:rsidP="00CD54CE">
      <w:pPr>
        <w:pStyle w:val="Corpsdetexte"/>
        <w:tabs>
          <w:tab w:val="left" w:pos="720"/>
        </w:tabs>
        <w:rPr>
          <w:highlight w:val="yellow"/>
          <w:lang w:val="nl-NL"/>
        </w:rPr>
      </w:pPr>
    </w:p>
    <w:p w:rsidR="001D07A6" w:rsidRPr="006D0278" w:rsidRDefault="00452184" w:rsidP="00CC370F">
      <w:pPr>
        <w:pStyle w:val="Titre3"/>
        <w:spacing w:before="0" w:after="0"/>
        <w:rPr>
          <w:b/>
          <w:bCs/>
          <w:sz w:val="24"/>
          <w:u w:val="single"/>
          <w:lang w:val="nl-NL"/>
        </w:rPr>
      </w:pPr>
      <w:bookmarkStart w:id="18" w:name="_Toc423509515"/>
      <w:r>
        <w:rPr>
          <w:b/>
          <w:bCs/>
          <w:sz w:val="24"/>
          <w:u w:val="single"/>
          <w:lang w:val="nl-NL"/>
        </w:rPr>
        <w:t xml:space="preserve">3. </w:t>
      </w:r>
      <w:r w:rsidR="008E706C" w:rsidRPr="006D0278">
        <w:rPr>
          <w:b/>
          <w:bCs/>
          <w:sz w:val="24"/>
          <w:u w:val="single"/>
          <w:lang w:val="nl-NL"/>
        </w:rPr>
        <w:t xml:space="preserve">Welk OCMW wordt als bevoegd </w:t>
      </w:r>
      <w:r w:rsidR="00B20820" w:rsidRPr="006D0278">
        <w:rPr>
          <w:b/>
          <w:bCs/>
          <w:sz w:val="24"/>
          <w:u w:val="single"/>
          <w:lang w:val="nl-NL"/>
        </w:rPr>
        <w:t>aangeduid?</w:t>
      </w:r>
      <w:bookmarkEnd w:id="18"/>
    </w:p>
    <w:p w:rsidR="001D07A6" w:rsidRPr="006D0278" w:rsidRDefault="001D07A6" w:rsidP="001D07A6">
      <w:pPr>
        <w:tabs>
          <w:tab w:val="left" w:pos="4860"/>
        </w:tabs>
        <w:jc w:val="both"/>
        <w:rPr>
          <w:b/>
          <w:bCs/>
          <w:lang w:val="nl-NL"/>
        </w:rPr>
      </w:pPr>
    </w:p>
    <w:p w:rsidR="001D07A6" w:rsidRDefault="008E706C" w:rsidP="001D07A6">
      <w:pPr>
        <w:ind w:left="720"/>
        <w:jc w:val="both"/>
        <w:rPr>
          <w:lang w:val="fr-BE"/>
        </w:rPr>
      </w:pPr>
      <w:r w:rsidRPr="006D0278">
        <w:rPr>
          <w:lang w:val="nl-NL"/>
        </w:rPr>
        <w:t>Voor de ontvankelijke aanvragen</w:t>
      </w:r>
      <w:r w:rsidR="001D07A6" w:rsidRPr="009E7711">
        <w:rPr>
          <w:rStyle w:val="Appelnotedebasdep"/>
        </w:rPr>
        <w:footnoteReference w:id="1"/>
      </w:r>
      <w:r w:rsidRPr="006D0278">
        <w:rPr>
          <w:lang w:val="nl-NL"/>
        </w:rPr>
        <w:t xml:space="preserve">, wordt het OCMW dat voorlopig moet tussenkomen aangeduid. </w:t>
      </w:r>
      <w:r>
        <w:rPr>
          <w:lang w:val="fr-BE"/>
        </w:rPr>
        <w:t>Dit geeft het volgende resultaat voor het jaar 201</w:t>
      </w:r>
      <w:r w:rsidR="00A27BDE">
        <w:rPr>
          <w:lang w:val="fr-BE"/>
        </w:rPr>
        <w:t>3</w:t>
      </w:r>
      <w:r>
        <w:rPr>
          <w:lang w:val="fr-BE"/>
        </w:rPr>
        <w:t>:</w:t>
      </w:r>
    </w:p>
    <w:p w:rsidR="001D07A6" w:rsidRDefault="001D07A6" w:rsidP="001D07A6">
      <w:pPr>
        <w:ind w:left="720"/>
        <w:jc w:val="both"/>
        <w:rPr>
          <w:lang w:val="fr-BE"/>
        </w:rPr>
      </w:pPr>
    </w:p>
    <w:p w:rsidR="001D07A6" w:rsidRPr="006D0278" w:rsidRDefault="008E706C" w:rsidP="00CD54CE">
      <w:pPr>
        <w:pStyle w:val="Retraitcorpsdetexte"/>
        <w:numPr>
          <w:ilvl w:val="0"/>
          <w:numId w:val="14"/>
        </w:numPr>
        <w:rPr>
          <w:lang w:val="nl-NL"/>
        </w:rPr>
      </w:pPr>
      <w:r w:rsidRPr="006D0278">
        <w:rPr>
          <w:lang w:val="nl-NL"/>
        </w:rPr>
        <w:t>Het</w:t>
      </w:r>
      <w:r w:rsidR="00B20820">
        <w:rPr>
          <w:lang w:val="nl-NL"/>
        </w:rPr>
        <w:t xml:space="preserve"> </w:t>
      </w:r>
      <w:r w:rsidRPr="006D0278">
        <w:rPr>
          <w:u w:val="single"/>
          <w:lang w:val="nl-NL"/>
        </w:rPr>
        <w:t>eerste OCMW</w:t>
      </w:r>
      <w:r w:rsidRPr="006D0278">
        <w:rPr>
          <w:lang w:val="nl-NL"/>
        </w:rPr>
        <w:t xml:space="preserve"> dat de steunaanvraag wegens onbevoegdheid heeft doorgestuurd naar het tweede OCMW wordt aangeduid als bevoegd OCMW:</w:t>
      </w:r>
    </w:p>
    <w:p w:rsidR="004C674D" w:rsidRDefault="008E67A4" w:rsidP="00F269F4">
      <w:pPr>
        <w:pStyle w:val="Retraitcorpsdetexte"/>
        <w:numPr>
          <w:ilvl w:val="0"/>
          <w:numId w:val="32"/>
        </w:numPr>
        <w:rPr>
          <w:lang w:val="nl-NL"/>
        </w:rPr>
      </w:pPr>
      <w:r>
        <w:rPr>
          <w:lang w:val="nl-NL"/>
        </w:rPr>
        <w:t>27</w:t>
      </w:r>
      <w:r w:rsidR="007029B0">
        <w:rPr>
          <w:lang w:val="nl-NL"/>
        </w:rPr>
        <w:t>7</w:t>
      </w:r>
      <w:r w:rsidRPr="004C674D">
        <w:rPr>
          <w:lang w:val="nl-NL"/>
        </w:rPr>
        <w:t xml:space="preserve"> </w:t>
      </w:r>
      <w:r w:rsidR="008E706C" w:rsidRPr="006D0278">
        <w:rPr>
          <w:lang w:val="nl-NL"/>
        </w:rPr>
        <w:t xml:space="preserve">op </w:t>
      </w:r>
      <w:r>
        <w:rPr>
          <w:lang w:val="nl-NL"/>
        </w:rPr>
        <w:t>4</w:t>
      </w:r>
      <w:r w:rsidR="007029B0">
        <w:rPr>
          <w:lang w:val="nl-NL"/>
        </w:rPr>
        <w:t>9</w:t>
      </w:r>
      <w:r>
        <w:rPr>
          <w:lang w:val="nl-NL"/>
        </w:rPr>
        <w:t>3</w:t>
      </w:r>
      <w:r w:rsidRPr="006D0278">
        <w:rPr>
          <w:lang w:val="nl-NL"/>
        </w:rPr>
        <w:t xml:space="preserve"> </w:t>
      </w:r>
      <w:r w:rsidR="008E706C" w:rsidRPr="006D0278">
        <w:rPr>
          <w:lang w:val="nl-NL"/>
        </w:rPr>
        <w:t>o</w:t>
      </w:r>
      <w:r w:rsidR="00130B3E">
        <w:rPr>
          <w:lang w:val="nl-NL"/>
        </w:rPr>
        <w:t xml:space="preserve">ntvankelijke dossiers, dat is </w:t>
      </w:r>
      <w:r>
        <w:rPr>
          <w:lang w:val="nl-NL"/>
        </w:rPr>
        <w:t>5</w:t>
      </w:r>
      <w:r w:rsidR="007029B0">
        <w:rPr>
          <w:lang w:val="nl-NL"/>
        </w:rPr>
        <w:t>6</w:t>
      </w:r>
      <w:r w:rsidRPr="006D0278">
        <w:rPr>
          <w:lang w:val="nl-NL"/>
        </w:rPr>
        <w:t xml:space="preserve"> </w:t>
      </w:r>
      <w:r w:rsidR="008E706C" w:rsidRPr="006D0278">
        <w:rPr>
          <w:lang w:val="nl-NL"/>
        </w:rPr>
        <w:t>%</w:t>
      </w:r>
    </w:p>
    <w:p w:rsidR="001D07A6" w:rsidRPr="006D0278" w:rsidRDefault="001D07A6" w:rsidP="001D07A6">
      <w:pPr>
        <w:pStyle w:val="Retraitcorpsdetexte"/>
        <w:rPr>
          <w:lang w:val="nl-NL"/>
        </w:rPr>
      </w:pPr>
    </w:p>
    <w:p w:rsidR="001D07A6" w:rsidRPr="006D0278" w:rsidRDefault="008E706C" w:rsidP="001D07A6">
      <w:pPr>
        <w:pStyle w:val="Retraitcorpsdetexte"/>
        <w:numPr>
          <w:ilvl w:val="0"/>
          <w:numId w:val="4"/>
        </w:numPr>
        <w:rPr>
          <w:lang w:val="nl-NL"/>
        </w:rPr>
      </w:pPr>
      <w:r w:rsidRPr="006D0278">
        <w:rPr>
          <w:lang w:val="nl-NL"/>
        </w:rPr>
        <w:t>Het OCMW dat de aanvraag tot regeling van een bevoegdheidsconflict bij de POD heeft ingediend (“</w:t>
      </w:r>
      <w:r w:rsidRPr="006D0278">
        <w:rPr>
          <w:u w:val="single"/>
          <w:lang w:val="nl-NL"/>
        </w:rPr>
        <w:t>het tweede OCMW</w:t>
      </w:r>
      <w:r w:rsidRPr="006D0278">
        <w:rPr>
          <w:lang w:val="nl-NL"/>
        </w:rPr>
        <w:t xml:space="preserve">”), wordt aangeduid als bevoegd OCMW in: </w:t>
      </w:r>
    </w:p>
    <w:p w:rsidR="001D07A6" w:rsidRDefault="008E67A4" w:rsidP="00F269F4">
      <w:pPr>
        <w:pStyle w:val="Retraitcorpsdetexte"/>
        <w:numPr>
          <w:ilvl w:val="0"/>
          <w:numId w:val="32"/>
        </w:numPr>
        <w:rPr>
          <w:lang w:val="nl-NL"/>
        </w:rPr>
      </w:pPr>
      <w:r w:rsidRPr="006D0278">
        <w:rPr>
          <w:lang w:val="nl-NL"/>
        </w:rPr>
        <w:t>1</w:t>
      </w:r>
      <w:r w:rsidR="007029B0">
        <w:rPr>
          <w:lang w:val="nl-NL"/>
        </w:rPr>
        <w:t>4</w:t>
      </w:r>
      <w:r>
        <w:rPr>
          <w:lang w:val="nl-NL"/>
        </w:rPr>
        <w:t>0</w:t>
      </w:r>
      <w:r w:rsidRPr="006D0278">
        <w:rPr>
          <w:lang w:val="nl-NL"/>
        </w:rPr>
        <w:t xml:space="preserve"> </w:t>
      </w:r>
      <w:r w:rsidR="008E706C" w:rsidRPr="006D0278">
        <w:rPr>
          <w:lang w:val="nl-NL"/>
        </w:rPr>
        <w:t xml:space="preserve">op </w:t>
      </w:r>
      <w:r>
        <w:rPr>
          <w:lang w:val="nl-NL"/>
        </w:rPr>
        <w:t>4</w:t>
      </w:r>
      <w:r w:rsidR="007029B0">
        <w:rPr>
          <w:lang w:val="nl-NL"/>
        </w:rPr>
        <w:t>9</w:t>
      </w:r>
      <w:r>
        <w:rPr>
          <w:lang w:val="nl-NL"/>
        </w:rPr>
        <w:t>3</w:t>
      </w:r>
      <w:r w:rsidRPr="006D0278">
        <w:rPr>
          <w:lang w:val="nl-NL"/>
        </w:rPr>
        <w:t xml:space="preserve"> </w:t>
      </w:r>
      <w:r w:rsidR="008E706C" w:rsidRPr="006D0278">
        <w:rPr>
          <w:lang w:val="nl-NL"/>
        </w:rPr>
        <w:t xml:space="preserve">ontvankelijke dossiers, dat is </w:t>
      </w:r>
      <w:r>
        <w:rPr>
          <w:lang w:val="nl-NL"/>
        </w:rPr>
        <w:t>2</w:t>
      </w:r>
      <w:r w:rsidR="007029B0">
        <w:rPr>
          <w:lang w:val="nl-NL"/>
        </w:rPr>
        <w:t>9</w:t>
      </w:r>
      <w:r w:rsidRPr="006D0278">
        <w:rPr>
          <w:lang w:val="nl-NL"/>
        </w:rPr>
        <w:t xml:space="preserve"> </w:t>
      </w:r>
      <w:r w:rsidR="008E706C" w:rsidRPr="006D0278">
        <w:rPr>
          <w:lang w:val="nl-NL"/>
        </w:rPr>
        <w:t xml:space="preserve">% </w:t>
      </w:r>
    </w:p>
    <w:p w:rsidR="004C674D" w:rsidRPr="006D0278" w:rsidRDefault="004C674D" w:rsidP="001D07A6">
      <w:pPr>
        <w:pStyle w:val="Retraitcorpsdetexte"/>
        <w:rPr>
          <w:lang w:val="nl-NL"/>
        </w:rPr>
      </w:pPr>
    </w:p>
    <w:p w:rsidR="001D07A6" w:rsidRPr="006D0278" w:rsidRDefault="008E706C" w:rsidP="001D07A6">
      <w:pPr>
        <w:pStyle w:val="Retraitcorpsdetexte"/>
        <w:numPr>
          <w:ilvl w:val="0"/>
          <w:numId w:val="4"/>
        </w:numPr>
        <w:tabs>
          <w:tab w:val="num" w:pos="1440"/>
        </w:tabs>
        <w:rPr>
          <w:lang w:val="nl-NL"/>
        </w:rPr>
      </w:pPr>
      <w:r w:rsidRPr="006D0278">
        <w:rPr>
          <w:lang w:val="nl-NL"/>
        </w:rPr>
        <w:t xml:space="preserve">Een </w:t>
      </w:r>
      <w:r w:rsidRPr="006D0278">
        <w:rPr>
          <w:u w:val="single"/>
          <w:lang w:val="nl-NL"/>
        </w:rPr>
        <w:t>derde OCMW</w:t>
      </w:r>
      <w:r w:rsidRPr="006D0278">
        <w:rPr>
          <w:lang w:val="nl-NL"/>
        </w:rPr>
        <w:t xml:space="preserve"> wordt aangeduid als bevoegd OCMW in: </w:t>
      </w:r>
    </w:p>
    <w:p w:rsidR="001D07A6" w:rsidRDefault="008E67A4" w:rsidP="00F269F4">
      <w:pPr>
        <w:pStyle w:val="Retraitcorpsdetexte"/>
        <w:numPr>
          <w:ilvl w:val="0"/>
          <w:numId w:val="32"/>
        </w:numPr>
        <w:rPr>
          <w:lang w:val="nl-NL"/>
        </w:rPr>
      </w:pPr>
      <w:r>
        <w:rPr>
          <w:lang w:val="nl-NL"/>
        </w:rPr>
        <w:t>4</w:t>
      </w:r>
      <w:r w:rsidR="007029B0">
        <w:rPr>
          <w:lang w:val="nl-NL"/>
        </w:rPr>
        <w:t>6</w:t>
      </w:r>
      <w:r>
        <w:rPr>
          <w:lang w:val="nl-NL"/>
        </w:rPr>
        <w:t xml:space="preserve"> </w:t>
      </w:r>
      <w:r w:rsidR="008E706C" w:rsidRPr="006D0278">
        <w:rPr>
          <w:lang w:val="nl-NL"/>
        </w:rPr>
        <w:t xml:space="preserve">op  </w:t>
      </w:r>
      <w:r>
        <w:rPr>
          <w:lang w:val="nl-NL"/>
        </w:rPr>
        <w:t>4</w:t>
      </w:r>
      <w:r w:rsidR="007029B0">
        <w:rPr>
          <w:lang w:val="nl-NL"/>
        </w:rPr>
        <w:t>9</w:t>
      </w:r>
      <w:r>
        <w:rPr>
          <w:lang w:val="nl-NL"/>
        </w:rPr>
        <w:t xml:space="preserve">3 </w:t>
      </w:r>
      <w:r w:rsidR="008E706C" w:rsidRPr="006D0278">
        <w:rPr>
          <w:lang w:val="nl-NL"/>
        </w:rPr>
        <w:t xml:space="preserve">ontvankelijke dossiers, dat is </w:t>
      </w:r>
      <w:r w:rsidR="004C674D">
        <w:rPr>
          <w:lang w:val="nl-NL"/>
        </w:rPr>
        <w:t xml:space="preserve"> </w:t>
      </w:r>
      <w:r>
        <w:rPr>
          <w:lang w:val="nl-NL"/>
        </w:rPr>
        <w:t>9</w:t>
      </w:r>
      <w:r w:rsidR="004C674D">
        <w:rPr>
          <w:lang w:val="nl-NL"/>
        </w:rPr>
        <w:t>%</w:t>
      </w:r>
      <w:r w:rsidR="008E706C" w:rsidRPr="006D0278">
        <w:rPr>
          <w:lang w:val="nl-NL"/>
        </w:rPr>
        <w:t xml:space="preserve"> </w:t>
      </w:r>
    </w:p>
    <w:p w:rsidR="008E67A4" w:rsidRDefault="008E67A4" w:rsidP="008E67A4">
      <w:pPr>
        <w:pStyle w:val="Retraitcorpsdetexte"/>
        <w:rPr>
          <w:lang w:val="nl-NL"/>
        </w:rPr>
      </w:pPr>
    </w:p>
    <w:p w:rsidR="008E67A4" w:rsidRPr="006D0278" w:rsidRDefault="008E67A4" w:rsidP="008E67A4">
      <w:pPr>
        <w:pStyle w:val="Retraitcorpsdetexte"/>
        <w:rPr>
          <w:lang w:val="nl-NL"/>
        </w:rPr>
      </w:pPr>
    </w:p>
    <w:p w:rsidR="001D07A6" w:rsidRDefault="008E67A4" w:rsidP="00550FA0">
      <w:pPr>
        <w:pStyle w:val="Retraitcorpsdetexte"/>
        <w:numPr>
          <w:ilvl w:val="0"/>
          <w:numId w:val="4"/>
        </w:numPr>
        <w:rPr>
          <w:lang w:val="nl-NL"/>
        </w:rPr>
      </w:pPr>
      <w:r>
        <w:rPr>
          <w:lang w:val="nl-NL"/>
        </w:rPr>
        <w:t>In bepaalde gevallen worden het eerste, tweede</w:t>
      </w:r>
      <w:r w:rsidR="00CB7855">
        <w:rPr>
          <w:lang w:val="nl-NL"/>
        </w:rPr>
        <w:t xml:space="preserve"> </w:t>
      </w:r>
      <w:r>
        <w:rPr>
          <w:lang w:val="nl-NL"/>
        </w:rPr>
        <w:t>of derde OCMW voor een beperkte periode aangeduid als territoriaal bevoegd OCMW:</w:t>
      </w:r>
    </w:p>
    <w:p w:rsidR="008E67A4" w:rsidRDefault="007029B0" w:rsidP="00F269F4">
      <w:pPr>
        <w:pStyle w:val="Retraitcorpsdetexte"/>
        <w:numPr>
          <w:ilvl w:val="0"/>
          <w:numId w:val="32"/>
        </w:numPr>
        <w:rPr>
          <w:lang w:val="nl-NL"/>
        </w:rPr>
      </w:pPr>
      <w:r>
        <w:rPr>
          <w:lang w:val="nl-NL"/>
        </w:rPr>
        <w:t>30</w:t>
      </w:r>
      <w:r w:rsidR="008E67A4">
        <w:rPr>
          <w:lang w:val="nl-NL"/>
        </w:rPr>
        <w:t xml:space="preserve"> van de 4</w:t>
      </w:r>
      <w:r>
        <w:rPr>
          <w:lang w:val="nl-NL"/>
        </w:rPr>
        <w:t>9</w:t>
      </w:r>
      <w:r w:rsidR="008E67A4">
        <w:rPr>
          <w:lang w:val="nl-NL"/>
        </w:rPr>
        <w:t xml:space="preserve">3 ontvankelijke dossiers, of </w:t>
      </w:r>
      <w:r>
        <w:rPr>
          <w:lang w:val="nl-NL"/>
        </w:rPr>
        <w:t>6</w:t>
      </w:r>
      <w:r w:rsidR="008E67A4">
        <w:rPr>
          <w:lang w:val="nl-NL"/>
        </w:rPr>
        <w:t xml:space="preserve"> %</w:t>
      </w:r>
    </w:p>
    <w:p w:rsidR="001D07A6" w:rsidRPr="006D0278" w:rsidRDefault="001D07A6" w:rsidP="001D07A6">
      <w:pPr>
        <w:pStyle w:val="Retraitcorpsdetexte"/>
        <w:rPr>
          <w:lang w:val="nl-NL"/>
        </w:rPr>
      </w:pPr>
    </w:p>
    <w:p w:rsidR="001D07A6" w:rsidRPr="007029B0" w:rsidRDefault="001D07A6" w:rsidP="001D07A6">
      <w:pPr>
        <w:pStyle w:val="Retraitcorpsdetexte"/>
        <w:rPr>
          <w:lang w:val="nl-NL"/>
        </w:rPr>
      </w:pPr>
    </w:p>
    <w:p w:rsidR="009713CD" w:rsidRPr="007029B0" w:rsidRDefault="009713CD" w:rsidP="001D07A6">
      <w:pPr>
        <w:pStyle w:val="Retraitcorpsdetexte"/>
        <w:rPr>
          <w:lang w:val="nl-NL"/>
        </w:rPr>
      </w:pPr>
    </w:p>
    <w:p w:rsidR="001D07A6" w:rsidRPr="007029B0" w:rsidRDefault="001D07A6" w:rsidP="001D07A6">
      <w:pPr>
        <w:ind w:left="1440"/>
        <w:rPr>
          <w:rFonts w:ascii="Arial" w:hAnsi="Arial" w:cs="Arial"/>
          <w:sz w:val="20"/>
          <w:szCs w:val="20"/>
          <w:lang w:val="nl-NL"/>
        </w:rPr>
      </w:pPr>
    </w:p>
    <w:p w:rsidR="00E9362B" w:rsidRDefault="00E9362B" w:rsidP="001D07A6">
      <w:pPr>
        <w:pStyle w:val="Opmaakprofiel1"/>
        <w:ind w:left="720"/>
        <w:rPr>
          <w:u w:val="none"/>
        </w:rPr>
      </w:pPr>
      <w:r>
        <w:rPr>
          <w:noProof/>
          <w:u w:val="none"/>
          <w:lang w:val="fr-BE" w:eastAsia="fr-BE"/>
        </w:rPr>
        <w:lastRenderedPageBreak/>
        <w:drawing>
          <wp:inline distT="0" distB="0" distL="0" distR="0" wp14:anchorId="1389A1D0" wp14:editId="22116628">
            <wp:extent cx="4324350" cy="2940050"/>
            <wp:effectExtent l="0" t="0" r="0" b="0"/>
            <wp:docPr id="1" name="Graphique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362B" w:rsidRDefault="00E9362B" w:rsidP="001D07A6">
      <w:pPr>
        <w:pStyle w:val="Opmaakprofiel1"/>
        <w:ind w:left="720"/>
        <w:rPr>
          <w:u w:val="none"/>
        </w:rPr>
      </w:pPr>
    </w:p>
    <w:p w:rsidR="00E9362B" w:rsidRDefault="00E9362B" w:rsidP="001D07A6">
      <w:pPr>
        <w:pStyle w:val="Opmaakprofiel1"/>
        <w:ind w:left="720"/>
        <w:rPr>
          <w:u w:val="none"/>
        </w:rPr>
      </w:pPr>
    </w:p>
    <w:p w:rsidR="00E9362B" w:rsidRDefault="00E9362B" w:rsidP="001D07A6">
      <w:pPr>
        <w:pStyle w:val="Opmaakprofiel1"/>
        <w:ind w:left="720"/>
        <w:rPr>
          <w:u w:val="none"/>
        </w:rPr>
      </w:pPr>
    </w:p>
    <w:p w:rsidR="009713CD" w:rsidRPr="006D0278" w:rsidRDefault="008E706C" w:rsidP="001D07A6">
      <w:pPr>
        <w:pStyle w:val="Opmaakprofiel1"/>
        <w:ind w:left="720"/>
        <w:rPr>
          <w:u w:val="none"/>
        </w:rPr>
      </w:pPr>
      <w:r w:rsidRPr="006D0278">
        <w:rPr>
          <w:u w:val="none"/>
        </w:rPr>
        <w:t xml:space="preserve">Zoals voor de voorbije jaren stelt men in </w:t>
      </w:r>
      <w:r w:rsidR="008E67A4" w:rsidRPr="006D0278">
        <w:rPr>
          <w:u w:val="none"/>
        </w:rPr>
        <w:t>201</w:t>
      </w:r>
      <w:r w:rsidR="007029B0">
        <w:rPr>
          <w:u w:val="none"/>
        </w:rPr>
        <w:t>4</w:t>
      </w:r>
      <w:r w:rsidR="008E67A4" w:rsidRPr="006D0278">
        <w:rPr>
          <w:u w:val="none"/>
        </w:rPr>
        <w:t xml:space="preserve"> </w:t>
      </w:r>
      <w:r w:rsidRPr="006D0278">
        <w:rPr>
          <w:u w:val="none"/>
        </w:rPr>
        <w:t xml:space="preserve">eveneens vast dat het eerste OCMW vaker als bevoegd </w:t>
      </w:r>
      <w:r w:rsidR="00B20820">
        <w:rPr>
          <w:u w:val="none"/>
        </w:rPr>
        <w:t xml:space="preserve">centrum </w:t>
      </w:r>
      <w:r w:rsidRPr="006D0278">
        <w:rPr>
          <w:u w:val="none"/>
        </w:rPr>
        <w:t xml:space="preserve">wordt aangeduid dan het tweede. </w:t>
      </w:r>
    </w:p>
    <w:p w:rsidR="001D07A6" w:rsidRPr="006D0278" w:rsidRDefault="008E706C" w:rsidP="001D07A6">
      <w:pPr>
        <w:pStyle w:val="Opmaakprofiel1"/>
        <w:ind w:left="720"/>
        <w:rPr>
          <w:u w:val="none"/>
        </w:rPr>
      </w:pPr>
      <w:r w:rsidRPr="006D0278">
        <w:rPr>
          <w:u w:val="none"/>
        </w:rPr>
        <w:t>Dit kan onder andere betekenen dat het eerste OCMW de steunaanvraag niet grondig heeft onderzocht alvorens zich onbevoegd te verklaren.</w:t>
      </w:r>
    </w:p>
    <w:p w:rsidR="000743A9" w:rsidRPr="006D0278" w:rsidRDefault="000743A9" w:rsidP="00F93E52">
      <w:pPr>
        <w:pStyle w:val="Titre2"/>
        <w:ind w:left="0" w:firstLine="0"/>
        <w:rPr>
          <w:lang w:val="nl-NL"/>
        </w:rPr>
      </w:pPr>
    </w:p>
    <w:p w:rsidR="000743A9" w:rsidRPr="006D0278" w:rsidRDefault="000743A9" w:rsidP="00F93E52">
      <w:pPr>
        <w:pStyle w:val="Titre2"/>
        <w:ind w:left="0" w:firstLine="0"/>
        <w:rPr>
          <w:lang w:val="nl-NL"/>
        </w:rPr>
      </w:pPr>
      <w:r w:rsidRPr="006D0278">
        <w:rPr>
          <w:lang w:val="nl-NL"/>
        </w:rPr>
        <w:br w:type="page"/>
      </w:r>
    </w:p>
    <w:p w:rsidR="00F93E52" w:rsidRPr="006D0278" w:rsidRDefault="008E706C" w:rsidP="00470771">
      <w:pPr>
        <w:pStyle w:val="Titre2"/>
        <w:rPr>
          <w:sz w:val="28"/>
          <w:szCs w:val="28"/>
          <w:lang w:val="nl-NL"/>
        </w:rPr>
      </w:pPr>
      <w:bookmarkStart w:id="19" w:name="_Toc423509516"/>
      <w:r w:rsidRPr="006D0278">
        <w:rPr>
          <w:sz w:val="28"/>
          <w:szCs w:val="28"/>
          <w:lang w:val="nl-NL"/>
        </w:rPr>
        <w:lastRenderedPageBreak/>
        <w:t>2. Opmerkingen</w:t>
      </w:r>
      <w:bookmarkEnd w:id="19"/>
    </w:p>
    <w:p w:rsidR="00F90AB7" w:rsidRPr="006D0278" w:rsidRDefault="00F90AB7" w:rsidP="00F90AB7">
      <w:pPr>
        <w:ind w:left="1080"/>
        <w:jc w:val="both"/>
        <w:rPr>
          <w:lang w:val="nl-NL"/>
        </w:rPr>
      </w:pPr>
    </w:p>
    <w:p w:rsidR="00F90AB7" w:rsidRPr="006D0278" w:rsidRDefault="00F90AB7" w:rsidP="00F90AB7">
      <w:pPr>
        <w:ind w:left="1080"/>
        <w:jc w:val="both"/>
        <w:rPr>
          <w:lang w:val="nl-NL"/>
        </w:rPr>
      </w:pPr>
    </w:p>
    <w:p w:rsidR="00E911E4" w:rsidRPr="006D0278" w:rsidRDefault="008E706C" w:rsidP="00470771">
      <w:pPr>
        <w:pStyle w:val="Titre3"/>
        <w:spacing w:before="0" w:after="0"/>
        <w:rPr>
          <w:b/>
          <w:bCs/>
          <w:sz w:val="24"/>
          <w:u w:val="single"/>
          <w:lang w:val="nl-NL"/>
        </w:rPr>
      </w:pPr>
      <w:bookmarkStart w:id="20" w:name="_Toc423509517"/>
      <w:r w:rsidRPr="006D0278">
        <w:rPr>
          <w:b/>
          <w:bCs/>
          <w:sz w:val="24"/>
          <w:u w:val="single"/>
          <w:lang w:val="nl-NL"/>
        </w:rPr>
        <w:t>1. Onvolledige dossiers</w:t>
      </w:r>
      <w:bookmarkEnd w:id="20"/>
    </w:p>
    <w:p w:rsidR="00E911E4" w:rsidRPr="006D0278" w:rsidRDefault="00E911E4" w:rsidP="00F93E52">
      <w:pPr>
        <w:ind w:left="720"/>
        <w:jc w:val="both"/>
        <w:rPr>
          <w:lang w:val="nl-NL"/>
        </w:rPr>
      </w:pPr>
    </w:p>
    <w:p w:rsidR="00E911E4" w:rsidRPr="006D0278" w:rsidRDefault="008E706C" w:rsidP="008B4EA3">
      <w:pPr>
        <w:jc w:val="both"/>
        <w:rPr>
          <w:b/>
          <w:lang w:val="nl-NL"/>
        </w:rPr>
      </w:pPr>
      <w:r w:rsidRPr="006D0278">
        <w:rPr>
          <w:lang w:val="nl-NL"/>
        </w:rPr>
        <w:t xml:space="preserve">De opmerkingen over de vragen van de OCMW’s tot regeling van bevoegdheidsconflicten die aan bod kwamen in de </w:t>
      </w:r>
      <w:r w:rsidR="00D44E86">
        <w:rPr>
          <w:lang w:val="nl-NL"/>
        </w:rPr>
        <w:t xml:space="preserve">voorgaande </w:t>
      </w:r>
      <w:r w:rsidRPr="006D0278">
        <w:rPr>
          <w:lang w:val="nl-NL"/>
        </w:rPr>
        <w:t>verslagen evenals deze over de behandeling van de dossiers inzake bevoegdheidsconflicten, blijven actueel.</w:t>
      </w:r>
    </w:p>
    <w:p w:rsidR="00E911E4" w:rsidRPr="006D0278" w:rsidRDefault="00E911E4" w:rsidP="00F93E52">
      <w:pPr>
        <w:ind w:left="720"/>
        <w:jc w:val="both"/>
        <w:rPr>
          <w:b/>
          <w:lang w:val="nl-NL"/>
        </w:rPr>
      </w:pPr>
    </w:p>
    <w:p w:rsidR="00E911E4" w:rsidRPr="006D0278" w:rsidRDefault="008E706C" w:rsidP="008B4EA3">
      <w:pPr>
        <w:jc w:val="both"/>
        <w:rPr>
          <w:lang w:val="nl-NL"/>
        </w:rPr>
      </w:pPr>
      <w:r w:rsidRPr="006D0278">
        <w:rPr>
          <w:lang w:val="nl-NL"/>
        </w:rPr>
        <w:t>De bevoegdheidsconflicten tussen OCMW’s zijn vaak te wijten aan de interpretatie van feitelijke gegevens bij de toepassing van bevoegdheidsregels in een concrete situatie, en niet aan onduidelijkheden in de wet. De gegevens die door OCMW’s ter beschikking worden gesteld zijn immers vaak onduidelijk en niet zelden tegenstrijdig.</w:t>
      </w:r>
    </w:p>
    <w:p w:rsidR="00E911E4" w:rsidRPr="006D0278" w:rsidRDefault="00E911E4" w:rsidP="00E911E4">
      <w:pPr>
        <w:ind w:left="720"/>
        <w:jc w:val="both"/>
        <w:rPr>
          <w:lang w:val="nl-NL"/>
        </w:rPr>
      </w:pPr>
    </w:p>
    <w:p w:rsidR="000D259D" w:rsidRPr="006D0278" w:rsidRDefault="008E706C" w:rsidP="008B4EA3">
      <w:pPr>
        <w:jc w:val="both"/>
        <w:rPr>
          <w:lang w:val="nl-NL"/>
        </w:rPr>
      </w:pPr>
      <w:r w:rsidRPr="006D0278">
        <w:rPr>
          <w:lang w:val="nl-NL"/>
        </w:rPr>
        <w:t xml:space="preserve">Het merendeel van de dossiers is immers onvolledig omdat ze niet alle juridische en feitelijke gegevens bevatten en de procedure wordt niet altijd volledig nageleefd. </w:t>
      </w:r>
    </w:p>
    <w:p w:rsidR="000D259D" w:rsidRPr="006D0278" w:rsidRDefault="000D259D" w:rsidP="000D259D">
      <w:pPr>
        <w:ind w:left="1440"/>
        <w:jc w:val="both"/>
        <w:rPr>
          <w:lang w:val="nl-NL"/>
        </w:rPr>
      </w:pPr>
    </w:p>
    <w:p w:rsidR="000D259D" w:rsidRPr="006D0278" w:rsidRDefault="008E706C" w:rsidP="008B4EA3">
      <w:pPr>
        <w:jc w:val="both"/>
        <w:rPr>
          <w:lang w:val="nl-NL"/>
        </w:rPr>
      </w:pPr>
      <w:r w:rsidRPr="006D0278">
        <w:rPr>
          <w:lang w:val="nl-NL"/>
        </w:rPr>
        <w:t xml:space="preserve">De OCMW’s zijn nochtans verplicht hun beslissing motiveren en de redenen vermelden waarom ze menen onbevoegd te zijn. Deze motiveringsplicht die wordt voorgeschreven in artikel 18, §4, van de RMI-wet van 26 mei 2002 en in artikel 58 van de organieke OCMW-wet van 8 juli 1976, heeft net tot doel om snel bevoegdheidsconflicten op te lossen. </w:t>
      </w:r>
    </w:p>
    <w:p w:rsidR="000D259D" w:rsidRPr="006D0278" w:rsidRDefault="000D259D" w:rsidP="000D259D">
      <w:pPr>
        <w:ind w:left="1080"/>
        <w:jc w:val="both"/>
        <w:rPr>
          <w:lang w:val="nl-NL"/>
        </w:rPr>
      </w:pPr>
    </w:p>
    <w:p w:rsidR="000D259D" w:rsidRPr="006D0278" w:rsidRDefault="008E706C" w:rsidP="008B4EA3">
      <w:pPr>
        <w:jc w:val="both"/>
        <w:rPr>
          <w:lang w:val="nl-NL"/>
        </w:rPr>
      </w:pPr>
      <w:r w:rsidRPr="006D0278">
        <w:rPr>
          <w:lang w:val="nl-NL"/>
        </w:rPr>
        <w:t xml:space="preserve"> Hierdoor moet de Dienst Bevoegdheidsconflicten zeer vaak aanvullende informatie vragen aan de betrokken OCMW’s om te kunnen beschikken over alle juridische en feitelijke elementen en om zo een uitspraak te doen met kennis van zaken. </w:t>
      </w:r>
    </w:p>
    <w:p w:rsidR="000D259D" w:rsidRPr="006D0278" w:rsidRDefault="000D259D" w:rsidP="000D259D">
      <w:pPr>
        <w:ind w:left="1440"/>
        <w:jc w:val="both"/>
        <w:rPr>
          <w:b/>
          <w:lang w:val="nl-NL"/>
        </w:rPr>
      </w:pPr>
    </w:p>
    <w:p w:rsidR="000D259D" w:rsidRPr="006D0278" w:rsidRDefault="008E706C" w:rsidP="008B4EA3">
      <w:pPr>
        <w:jc w:val="both"/>
        <w:rPr>
          <w:lang w:val="nl-NL"/>
        </w:rPr>
      </w:pPr>
      <w:r w:rsidRPr="006D0278">
        <w:rPr>
          <w:lang w:val="nl-NL"/>
        </w:rPr>
        <w:t xml:space="preserve">Bovendien informeert de Dienst Bevoegdheidsconflicten voor bepaalde dossiers alle bij het conflict betrokken OCMW’s, die dan allemaal hun argumenten naar voor kunnen </w:t>
      </w:r>
      <w:r w:rsidR="00F9388F" w:rsidRPr="006D0278">
        <w:rPr>
          <w:lang w:val="nl-NL"/>
        </w:rPr>
        <w:t xml:space="preserve">brengen. </w:t>
      </w:r>
      <w:r w:rsidRPr="006D0278">
        <w:rPr>
          <w:lang w:val="nl-NL"/>
        </w:rPr>
        <w:t>Dit kan leiden tot aanzienlijke vertragingen voor de behandeling van de dossiers.</w:t>
      </w:r>
    </w:p>
    <w:p w:rsidR="000D259D" w:rsidRPr="006D0278" w:rsidRDefault="000D259D" w:rsidP="000D259D">
      <w:pPr>
        <w:ind w:left="720"/>
        <w:jc w:val="both"/>
        <w:rPr>
          <w:lang w:val="nl-NL"/>
        </w:rPr>
      </w:pPr>
    </w:p>
    <w:p w:rsidR="000D259D" w:rsidRPr="006D0278" w:rsidRDefault="008E706C" w:rsidP="008B4EA3">
      <w:pPr>
        <w:pStyle w:val="Letter"/>
        <w:jc w:val="both"/>
        <w:rPr>
          <w:rFonts w:ascii="Times New Roman" w:hAnsi="Times New Roman"/>
          <w:sz w:val="24"/>
          <w:szCs w:val="24"/>
          <w:lang w:val="nl-NL"/>
        </w:rPr>
      </w:pPr>
      <w:r w:rsidRPr="006D0278">
        <w:rPr>
          <w:rFonts w:ascii="Times New Roman" w:hAnsi="Times New Roman"/>
          <w:sz w:val="24"/>
          <w:szCs w:val="24"/>
          <w:lang w:val="nl-NL"/>
        </w:rPr>
        <w:t>De Dienst Bevoegdheidsconflicten kan zich voor de snel te nemen beslissing enkel baseren op de gegevens die door de betrokken OCMW’s werden meegedeeld binnen de wettelijke termijn van vijf dagen en moet zijn beslissing baseren op alle juridische en feitelijke elementen waarover hij op dat moment beschikt.</w:t>
      </w:r>
    </w:p>
    <w:p w:rsidR="000D259D" w:rsidRPr="006D0278" w:rsidRDefault="000D259D" w:rsidP="000D259D">
      <w:pPr>
        <w:jc w:val="both"/>
        <w:rPr>
          <w:lang w:val="nl-NL"/>
        </w:rPr>
      </w:pPr>
    </w:p>
    <w:p w:rsidR="00E911E4" w:rsidRPr="006D0278" w:rsidRDefault="00E911E4" w:rsidP="000D259D">
      <w:pPr>
        <w:jc w:val="both"/>
        <w:rPr>
          <w:lang w:val="nl-NL"/>
        </w:rPr>
      </w:pPr>
    </w:p>
    <w:p w:rsidR="00E911E4" w:rsidRPr="006D0278" w:rsidRDefault="008E706C" w:rsidP="00470771">
      <w:pPr>
        <w:pStyle w:val="Titre3"/>
        <w:spacing w:before="0" w:after="0"/>
        <w:rPr>
          <w:b/>
          <w:bCs/>
          <w:sz w:val="24"/>
          <w:u w:val="single"/>
          <w:lang w:val="nl-NL"/>
        </w:rPr>
      </w:pPr>
      <w:bookmarkStart w:id="21" w:name="_Toc423509518"/>
      <w:r w:rsidRPr="006D0278">
        <w:rPr>
          <w:b/>
          <w:bCs/>
          <w:sz w:val="24"/>
          <w:u w:val="single"/>
          <w:lang w:val="nl-NL"/>
        </w:rPr>
        <w:t>2. Behandelingstermijn van de conflicten</w:t>
      </w:r>
      <w:bookmarkEnd w:id="21"/>
    </w:p>
    <w:p w:rsidR="00E911E4" w:rsidRPr="006D0278" w:rsidRDefault="00E911E4" w:rsidP="00E911E4">
      <w:pPr>
        <w:ind w:left="1080"/>
        <w:jc w:val="both"/>
        <w:rPr>
          <w:b/>
          <w:lang w:val="nl-NL"/>
        </w:rPr>
      </w:pPr>
    </w:p>
    <w:p w:rsidR="000D259D" w:rsidRPr="006D0278" w:rsidRDefault="008E706C" w:rsidP="008B4EA3">
      <w:pPr>
        <w:jc w:val="both"/>
        <w:rPr>
          <w:lang w:val="nl-NL"/>
        </w:rPr>
      </w:pPr>
      <w:r w:rsidRPr="006D0278">
        <w:rPr>
          <w:lang w:val="nl-NL"/>
        </w:rPr>
        <w:t>Omdat enerzijds vragen om bijkomende inlichtingen gesteld moeten worden aan de OCMW’s en omdat anderzijds op bepaalde dagen verschillende dossiers tegelijkertijd toekomen, kan er soms sprake zijn van vertragingen in de behandeling van de dossiers.</w:t>
      </w:r>
    </w:p>
    <w:p w:rsidR="00716D4B" w:rsidRPr="006D0278" w:rsidRDefault="00716D4B" w:rsidP="00716D4B">
      <w:pPr>
        <w:ind w:left="720"/>
        <w:jc w:val="both"/>
        <w:rPr>
          <w:lang w:val="nl-NL"/>
        </w:rPr>
      </w:pPr>
    </w:p>
    <w:p w:rsidR="00E911E4" w:rsidRPr="006D0278" w:rsidRDefault="008E706C" w:rsidP="0095252A">
      <w:pPr>
        <w:jc w:val="both"/>
        <w:rPr>
          <w:lang w:val="nl-NL"/>
        </w:rPr>
      </w:pPr>
      <w:r w:rsidRPr="006D0278">
        <w:rPr>
          <w:lang w:val="nl-NL"/>
        </w:rPr>
        <w:t>Onderstaande grafiek toont het percentage van de dossiers aan die werden behandeld binnen de wettelijke termijn van 5 werkdagen, per kwartaal sinds 2006, door de Dienst Bevoegdheidsconflicten.</w:t>
      </w:r>
    </w:p>
    <w:p w:rsidR="00CF1F2D" w:rsidRDefault="00CF1F2D" w:rsidP="0095252A">
      <w:pPr>
        <w:jc w:val="both"/>
        <w:rPr>
          <w:lang w:val="nl-NL"/>
        </w:rPr>
      </w:pPr>
    </w:p>
    <w:p w:rsidR="008B4EA3" w:rsidRPr="006D0278" w:rsidRDefault="008E706C" w:rsidP="0095252A">
      <w:pPr>
        <w:jc w:val="both"/>
        <w:rPr>
          <w:lang w:val="nl-NL"/>
        </w:rPr>
      </w:pPr>
      <w:r w:rsidRPr="006D0278">
        <w:rPr>
          <w:lang w:val="nl-NL"/>
        </w:rPr>
        <w:t xml:space="preserve">Het gemiddelde percentage van dossiers behandeld binnen de termijn bedraagt </w:t>
      </w:r>
      <w:r w:rsidR="00CB7855">
        <w:rPr>
          <w:lang w:val="nl-NL"/>
        </w:rPr>
        <w:t>in 201</w:t>
      </w:r>
      <w:r w:rsidR="00E9362B">
        <w:rPr>
          <w:lang w:val="nl-NL"/>
        </w:rPr>
        <w:t>4,</w:t>
      </w:r>
      <w:r w:rsidR="00CB7855">
        <w:rPr>
          <w:lang w:val="nl-NL"/>
        </w:rPr>
        <w:t xml:space="preserve"> 9</w:t>
      </w:r>
      <w:r w:rsidR="00E9362B">
        <w:rPr>
          <w:lang w:val="nl-NL"/>
        </w:rPr>
        <w:t>5</w:t>
      </w:r>
      <w:r w:rsidR="00CB7855" w:rsidRPr="006D0278">
        <w:rPr>
          <w:lang w:val="nl-NL"/>
        </w:rPr>
        <w:t xml:space="preserve"> </w:t>
      </w:r>
      <w:r w:rsidRPr="006D0278">
        <w:rPr>
          <w:lang w:val="nl-NL"/>
        </w:rPr>
        <w:t>%.</w:t>
      </w:r>
    </w:p>
    <w:p w:rsidR="00861ADD" w:rsidRDefault="00861ADD" w:rsidP="00E911E4">
      <w:pPr>
        <w:ind w:left="1080"/>
        <w:jc w:val="both"/>
        <w:rPr>
          <w:lang w:val="nl-NL"/>
        </w:rPr>
      </w:pPr>
    </w:p>
    <w:p w:rsidR="00CF1F2D" w:rsidRDefault="00CF1F2D" w:rsidP="00E911E4">
      <w:pPr>
        <w:ind w:left="1080"/>
        <w:jc w:val="both"/>
        <w:rPr>
          <w:lang w:val="nl-NL"/>
        </w:rPr>
      </w:pPr>
    </w:p>
    <w:p w:rsidR="005A621C" w:rsidRDefault="00F4134F">
      <w:pPr>
        <w:rPr>
          <w:lang w:val="nl-NL"/>
        </w:rPr>
      </w:pPr>
      <w:r>
        <w:rPr>
          <w:noProof/>
          <w:lang w:val="fr-BE" w:eastAsia="fr-BE"/>
        </w:rPr>
        <mc:AlternateContent>
          <mc:Choice Requires="wps">
            <w:drawing>
              <wp:anchor distT="0" distB="0" distL="114300" distR="114300" simplePos="0" relativeHeight="251664384" behindDoc="0" locked="0" layoutInCell="1" allowOverlap="1" wp14:anchorId="21E8232C" wp14:editId="619A0BC0">
                <wp:simplePos x="0" y="0"/>
                <wp:positionH relativeFrom="column">
                  <wp:posOffset>-263691</wp:posOffset>
                </wp:positionH>
                <wp:positionV relativeFrom="paragraph">
                  <wp:posOffset>147762</wp:posOffset>
                </wp:positionV>
                <wp:extent cx="6377305" cy="326003"/>
                <wp:effectExtent l="0" t="0" r="4445" b="0"/>
                <wp:wrapNone/>
                <wp:docPr id="16" name="Tekstvak 16"/>
                <wp:cNvGraphicFramePr/>
                <a:graphic xmlns:a="http://schemas.openxmlformats.org/drawingml/2006/main">
                  <a:graphicData uri="http://schemas.microsoft.com/office/word/2010/wordprocessingShape">
                    <wps:wsp>
                      <wps:cNvSpPr txBox="1"/>
                      <wps:spPr>
                        <a:xfrm>
                          <a:off x="0" y="0"/>
                          <a:ext cx="6377305" cy="326003"/>
                        </a:xfrm>
                        <a:prstGeom prst="rect">
                          <a:avLst/>
                        </a:prstGeom>
                        <a:solidFill>
                          <a:prstClr val="white"/>
                        </a:solidFill>
                        <a:ln>
                          <a:noFill/>
                        </a:ln>
                        <a:effectLst/>
                      </wps:spPr>
                      <wps:txbx>
                        <w:txbxContent>
                          <w:p w:rsidR="007C0B48" w:rsidRPr="00550FA0" w:rsidRDefault="007C0B48" w:rsidP="00550FA0">
                            <w:pPr>
                              <w:pStyle w:val="Lgende"/>
                              <w:rPr>
                                <w:noProof/>
                                <w:sz w:val="24"/>
                                <w:szCs w:val="24"/>
                                <w:lang w:val="nl-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 o:spid="_x0000_s1030" type="#_x0000_t202" style="position:absolute;margin-left:-20.75pt;margin-top:11.65pt;width:502.15pt;height:25.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" stroked="f">
                <v:textbox inset="0,0,0,0">
                  <w:txbxContent>
                    <w:p w:rsidR="007C0B48" w:rsidRPr="00550FA0" w:rsidRDefault="007C0B48" w:rsidP="00550FA0">
                      <w:pPr>
                        <w:pStyle w:val="Lgende"/>
                        <w:rPr>
                          <w:noProof/>
                          <w:sz w:val="24"/>
                          <w:szCs w:val="24"/>
                          <w:lang w:val="nl-BE"/>
                        </w:rPr>
                      </w:pPr>
                    </w:p>
                  </w:txbxContent>
                </v:textbox>
              </v:shape>
            </w:pict>
          </mc:Fallback>
        </mc:AlternateContent>
      </w:r>
    </w:p>
    <w:p w:rsidR="00F269F4" w:rsidRDefault="00F269F4" w:rsidP="00CF1F2D">
      <w:pPr>
        <w:jc w:val="both"/>
        <w:rPr>
          <w:lang w:val="nl-NL"/>
        </w:rPr>
      </w:pPr>
      <w:r>
        <w:rPr>
          <w:noProof/>
          <w:lang w:val="fr-BE" w:eastAsia="fr-BE"/>
        </w:rPr>
        <w:lastRenderedPageBreak/>
        <w:drawing>
          <wp:inline distT="0" distB="0" distL="0" distR="0" wp14:anchorId="578A50B9">
            <wp:extent cx="6371590" cy="50380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1590" cy="5038090"/>
                    </a:xfrm>
                    <a:prstGeom prst="rect">
                      <a:avLst/>
                    </a:prstGeom>
                    <a:noFill/>
                  </pic:spPr>
                </pic:pic>
              </a:graphicData>
            </a:graphic>
          </wp:inline>
        </w:drawing>
      </w:r>
    </w:p>
    <w:p w:rsidR="00F269F4" w:rsidRDefault="00F269F4" w:rsidP="00CF1F2D">
      <w:pPr>
        <w:jc w:val="both"/>
        <w:rPr>
          <w:lang w:val="nl-NL"/>
        </w:rPr>
      </w:pPr>
    </w:p>
    <w:p w:rsidR="00F269F4" w:rsidRDefault="00F269F4" w:rsidP="00CF1F2D">
      <w:pPr>
        <w:jc w:val="both"/>
        <w:rPr>
          <w:lang w:val="nl-NL"/>
        </w:rPr>
      </w:pPr>
    </w:p>
    <w:p w:rsidR="00F269F4" w:rsidRDefault="00F269F4" w:rsidP="00CF1F2D">
      <w:pPr>
        <w:jc w:val="both"/>
        <w:rPr>
          <w:lang w:val="nl-NL"/>
        </w:rPr>
      </w:pPr>
    </w:p>
    <w:p w:rsidR="00CF1F2D" w:rsidRPr="006D0278" w:rsidRDefault="00CF1F2D" w:rsidP="00CF1F2D">
      <w:pPr>
        <w:jc w:val="both"/>
        <w:rPr>
          <w:lang w:val="nl-NL"/>
        </w:rPr>
      </w:pPr>
      <w:r w:rsidRPr="006D0278">
        <w:rPr>
          <w:lang w:val="nl-NL"/>
        </w:rPr>
        <w:t>Volgens de tevredenheidsenquêtes</w:t>
      </w:r>
      <w:r>
        <w:rPr>
          <w:rStyle w:val="Appelnotedebasdep"/>
          <w:lang w:val="nl-NL"/>
        </w:rPr>
        <w:footnoteReference w:id="2"/>
      </w:r>
      <w:r w:rsidRPr="006D0278">
        <w:rPr>
          <w:lang w:val="nl-NL"/>
        </w:rPr>
        <w:t xml:space="preserve"> die bij de OCMW's werden uitgevoerd, heeft de Dienst Bevoegdheidsconflicten de volgende resultaten behaald:</w:t>
      </w:r>
    </w:p>
    <w:p w:rsidR="00CF1F2D" w:rsidRPr="008B4EA3" w:rsidRDefault="00CF1F2D" w:rsidP="00CF1F2D">
      <w:pPr>
        <w:numPr>
          <w:ilvl w:val="0"/>
          <w:numId w:val="20"/>
        </w:numPr>
      </w:pPr>
      <w:r>
        <w:t>in 2008 =  69 %</w:t>
      </w:r>
    </w:p>
    <w:p w:rsidR="00CF1F2D" w:rsidRDefault="00CF1F2D" w:rsidP="00CF1F2D">
      <w:pPr>
        <w:numPr>
          <w:ilvl w:val="0"/>
          <w:numId w:val="20"/>
        </w:numPr>
      </w:pPr>
      <w:r>
        <w:t>in 2010 =  69 %</w:t>
      </w:r>
    </w:p>
    <w:p w:rsidR="00CF1F2D" w:rsidRDefault="00CF1F2D" w:rsidP="00CF1F2D">
      <w:pPr>
        <w:numPr>
          <w:ilvl w:val="0"/>
          <w:numId w:val="20"/>
        </w:numPr>
      </w:pPr>
      <w:r>
        <w:t>in 2011 =  70%</w:t>
      </w:r>
    </w:p>
    <w:p w:rsidR="00CF1F2D" w:rsidRDefault="00CF1F2D" w:rsidP="00CF1F2D">
      <w:pPr>
        <w:numPr>
          <w:ilvl w:val="0"/>
          <w:numId w:val="20"/>
        </w:numPr>
      </w:pPr>
      <w:r>
        <w:t>in 2012 =  69%</w:t>
      </w:r>
    </w:p>
    <w:p w:rsidR="00CF1F2D" w:rsidRDefault="00CF1F2D" w:rsidP="00CF1F2D">
      <w:pPr>
        <w:numPr>
          <w:ilvl w:val="0"/>
          <w:numId w:val="20"/>
        </w:numPr>
      </w:pPr>
      <w:r>
        <w:t>in 2013 = 70 %</w:t>
      </w:r>
    </w:p>
    <w:p w:rsidR="00935118" w:rsidRPr="008B4EA3" w:rsidRDefault="00935118" w:rsidP="00CF1F2D">
      <w:pPr>
        <w:numPr>
          <w:ilvl w:val="0"/>
          <w:numId w:val="20"/>
        </w:numPr>
      </w:pPr>
      <w:r>
        <w:t>in 2014 = 72%</w:t>
      </w:r>
    </w:p>
    <w:p w:rsidR="00CF1F2D" w:rsidRDefault="00CF1F2D" w:rsidP="00CF1F2D">
      <w:pPr>
        <w:rPr>
          <w:lang w:val="nl-NL"/>
        </w:rPr>
      </w:pPr>
    </w:p>
    <w:p w:rsidR="00F4134F" w:rsidRDefault="00F4134F" w:rsidP="00470771">
      <w:pPr>
        <w:pStyle w:val="Titre3"/>
        <w:spacing w:before="0" w:after="0"/>
        <w:rPr>
          <w:b/>
          <w:bCs/>
          <w:sz w:val="24"/>
          <w:u w:val="single"/>
          <w:lang w:val="nl-NL"/>
        </w:rPr>
      </w:pPr>
    </w:p>
    <w:p w:rsidR="00954E31" w:rsidRPr="006D0278" w:rsidRDefault="005A6A5A" w:rsidP="0022795E">
      <w:pPr>
        <w:ind w:left="1080"/>
        <w:jc w:val="both"/>
        <w:rPr>
          <w:lang w:val="nl-NL"/>
        </w:rPr>
      </w:pPr>
      <w:r w:rsidRPr="006D0278">
        <w:rPr>
          <w:lang w:val="nl-NL"/>
        </w:rPr>
        <w:br w:type="page"/>
      </w:r>
    </w:p>
    <w:p w:rsidR="006C7F98" w:rsidRPr="006D0278" w:rsidRDefault="008E706C" w:rsidP="00F269F4">
      <w:pPr>
        <w:pStyle w:val="Titre1"/>
        <w:pBdr>
          <w:top w:val="single" w:sz="4" w:space="1" w:color="auto"/>
          <w:left w:val="single" w:sz="4" w:space="4" w:color="auto"/>
          <w:bottom w:val="single" w:sz="4" w:space="1" w:color="auto"/>
          <w:right w:val="single" w:sz="4" w:space="4" w:color="auto"/>
        </w:pBdr>
        <w:rPr>
          <w:sz w:val="28"/>
          <w:lang w:val="nl-NL"/>
        </w:rPr>
      </w:pPr>
      <w:bookmarkStart w:id="22" w:name="_Toc423509519"/>
      <w:r w:rsidRPr="006D0278">
        <w:rPr>
          <w:sz w:val="28"/>
          <w:lang w:val="nl-NL"/>
        </w:rPr>
        <w:lastRenderedPageBreak/>
        <w:t>III. Aard van de conflicten</w:t>
      </w:r>
      <w:bookmarkEnd w:id="22"/>
      <w:r w:rsidRPr="006D0278">
        <w:rPr>
          <w:sz w:val="28"/>
          <w:lang w:val="nl-NL"/>
        </w:rPr>
        <w:t xml:space="preserve"> </w:t>
      </w:r>
    </w:p>
    <w:p w:rsidR="00DE06CD" w:rsidRPr="006D0278" w:rsidRDefault="00DE06CD" w:rsidP="00DE06CD">
      <w:pPr>
        <w:ind w:left="720"/>
        <w:rPr>
          <w:lang w:val="nl-NL"/>
        </w:rPr>
      </w:pPr>
    </w:p>
    <w:p w:rsidR="00CD54CE" w:rsidRPr="006D0278" w:rsidRDefault="008E706C" w:rsidP="00470771">
      <w:pPr>
        <w:pStyle w:val="Titre2"/>
        <w:rPr>
          <w:sz w:val="28"/>
          <w:lang w:val="nl-NL"/>
        </w:rPr>
      </w:pPr>
      <w:bookmarkStart w:id="23" w:name="_Toc423509520"/>
      <w:r w:rsidRPr="006D0278">
        <w:rPr>
          <w:sz w:val="28"/>
          <w:lang w:val="nl-NL"/>
        </w:rPr>
        <w:t>1. Statistieken</w:t>
      </w:r>
      <w:bookmarkEnd w:id="23"/>
    </w:p>
    <w:p w:rsidR="00CD54CE" w:rsidRPr="006D0278" w:rsidRDefault="00CD54CE" w:rsidP="00DB7A15">
      <w:pPr>
        <w:ind w:left="720"/>
        <w:jc w:val="both"/>
        <w:rPr>
          <w:lang w:val="nl-NL"/>
        </w:rPr>
      </w:pPr>
    </w:p>
    <w:p w:rsidR="00DB7A15" w:rsidRPr="006D0278" w:rsidRDefault="008E706C" w:rsidP="00DB7A15">
      <w:pPr>
        <w:ind w:left="720"/>
        <w:jc w:val="both"/>
        <w:rPr>
          <w:lang w:val="nl-NL"/>
        </w:rPr>
      </w:pPr>
      <w:r w:rsidRPr="006D0278">
        <w:rPr>
          <w:lang w:val="nl-NL"/>
        </w:rPr>
        <w:t xml:space="preserve">De </w:t>
      </w:r>
      <w:r w:rsidRPr="006D0278">
        <w:rPr>
          <w:u w:val="single"/>
          <w:lang w:val="nl-NL"/>
        </w:rPr>
        <w:t>ontvankelijke</w:t>
      </w:r>
      <w:r w:rsidR="00DB7A15" w:rsidRPr="007B4441">
        <w:rPr>
          <w:rStyle w:val="Appelnotedebasdep"/>
        </w:rPr>
        <w:footnoteReference w:id="3"/>
      </w:r>
      <w:r w:rsidR="002D61BF" w:rsidRPr="002D61BF">
        <w:rPr>
          <w:lang w:val="nl-NL"/>
        </w:rPr>
        <w:t xml:space="preserve"> </w:t>
      </w:r>
      <w:r w:rsidRPr="006D0278">
        <w:rPr>
          <w:lang w:val="nl-NL"/>
        </w:rPr>
        <w:t xml:space="preserve">aanvragen tot regeling van bevoegdheidsconflicten hebben betrekking op de toepassing van de </w:t>
      </w:r>
      <w:r w:rsidR="002D61BF" w:rsidRPr="006D0278">
        <w:rPr>
          <w:lang w:val="nl-NL"/>
        </w:rPr>
        <w:t>bevoegdheidsregels</w:t>
      </w:r>
      <w:r w:rsidRPr="006D0278">
        <w:rPr>
          <w:lang w:val="nl-NL"/>
        </w:rPr>
        <w:t xml:space="preserve"> al naargelang de situatie of het statuut van de steunaanvrager.</w:t>
      </w:r>
    </w:p>
    <w:p w:rsidR="00F55861" w:rsidRPr="006D0278" w:rsidRDefault="00F55861" w:rsidP="00DE06CD">
      <w:pPr>
        <w:ind w:left="720"/>
        <w:rPr>
          <w:lang w:val="nl-NL"/>
        </w:rPr>
      </w:pPr>
    </w:p>
    <w:p w:rsidR="00D83BBC" w:rsidRDefault="008E706C" w:rsidP="00AB1636">
      <w:pPr>
        <w:ind w:left="720"/>
        <w:rPr>
          <w:lang w:val="fr-BE"/>
        </w:rPr>
      </w:pPr>
      <w:r>
        <w:rPr>
          <w:u w:val="single"/>
          <w:lang w:val="fr-BE"/>
        </w:rPr>
        <w:t xml:space="preserve">In </w:t>
      </w:r>
      <w:r w:rsidR="00CB7855">
        <w:rPr>
          <w:u w:val="single"/>
          <w:lang w:val="fr-BE"/>
        </w:rPr>
        <w:t>201</w:t>
      </w:r>
      <w:r w:rsidR="00935118">
        <w:rPr>
          <w:u w:val="single"/>
          <w:lang w:val="fr-BE"/>
        </w:rPr>
        <w:t>4</w:t>
      </w:r>
      <w:r>
        <w:rPr>
          <w:u w:val="single"/>
          <w:lang w:val="fr-BE"/>
        </w:rPr>
        <w:t xml:space="preserve">, op </w:t>
      </w:r>
      <w:r w:rsidR="008D48F1">
        <w:rPr>
          <w:u w:val="single"/>
          <w:lang w:val="fr-BE"/>
        </w:rPr>
        <w:t>4</w:t>
      </w:r>
      <w:r w:rsidR="00935118">
        <w:rPr>
          <w:u w:val="single"/>
          <w:lang w:val="fr-BE"/>
        </w:rPr>
        <w:t>9</w:t>
      </w:r>
      <w:r w:rsidR="00CB7855">
        <w:rPr>
          <w:u w:val="single"/>
          <w:lang w:val="fr-BE"/>
        </w:rPr>
        <w:t>3</w:t>
      </w:r>
      <w:r>
        <w:rPr>
          <w:u w:val="single"/>
          <w:lang w:val="fr-BE"/>
        </w:rPr>
        <w:t xml:space="preserve"> ontvankelijke dossiers</w:t>
      </w:r>
      <w:r>
        <w:rPr>
          <w:lang w:val="fr-BE"/>
        </w:rPr>
        <w:t>:</w:t>
      </w:r>
    </w:p>
    <w:p w:rsidR="009C1E29" w:rsidRDefault="009C1E29" w:rsidP="00C366C8">
      <w:pPr>
        <w:ind w:left="720"/>
        <w:rPr>
          <w:lang w:val="fr-BE"/>
        </w:rPr>
      </w:pPr>
    </w:p>
    <w:tbl>
      <w:tblPr>
        <w:tblW w:w="8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2268"/>
        <w:gridCol w:w="992"/>
      </w:tblGrid>
      <w:tr w:rsidR="00EE5842" w:rsidRPr="00007652" w:rsidTr="00EE5842">
        <w:tc>
          <w:tcPr>
            <w:tcW w:w="4950" w:type="dxa"/>
          </w:tcPr>
          <w:p w:rsidR="00EE5842" w:rsidRPr="00007652" w:rsidRDefault="00EE5842" w:rsidP="009E2F7B">
            <w:pPr>
              <w:rPr>
                <w:lang w:val="fr-BE"/>
              </w:rPr>
            </w:pPr>
            <w:r>
              <w:rPr>
                <w:lang w:val="fr-FR"/>
              </w:rPr>
              <w:t xml:space="preserve">Gewoonlijke verblijfplaats </w:t>
            </w:r>
          </w:p>
        </w:tc>
        <w:tc>
          <w:tcPr>
            <w:tcW w:w="2268" w:type="dxa"/>
          </w:tcPr>
          <w:p w:rsidR="00EE5842" w:rsidRPr="00D97AA9" w:rsidRDefault="00EE5842" w:rsidP="002F4F24">
            <w:pPr>
              <w:rPr>
                <w:lang w:val="fr-BE"/>
              </w:rPr>
            </w:pPr>
            <w:r w:rsidRPr="00D97AA9">
              <w:rPr>
                <w:lang w:val="fr-FR"/>
              </w:rPr>
              <w:t xml:space="preserve">202 dossiers </w:t>
            </w:r>
            <w:r>
              <w:rPr>
                <w:lang w:val="fr-FR"/>
              </w:rPr>
              <w:t>op</w:t>
            </w:r>
            <w:r w:rsidRPr="00D97AA9">
              <w:rPr>
                <w:lang w:val="fr-FR"/>
              </w:rPr>
              <w:t xml:space="preserve"> 493</w:t>
            </w:r>
          </w:p>
        </w:tc>
        <w:tc>
          <w:tcPr>
            <w:tcW w:w="992" w:type="dxa"/>
          </w:tcPr>
          <w:p w:rsidR="00EE5842" w:rsidRPr="00D97AA9" w:rsidRDefault="00EE5842" w:rsidP="002F4F24">
            <w:pPr>
              <w:rPr>
                <w:lang w:val="fr-BE"/>
              </w:rPr>
            </w:pPr>
            <w:r w:rsidRPr="00D97AA9">
              <w:rPr>
                <w:lang w:val="fr-FR"/>
              </w:rPr>
              <w:t xml:space="preserve"> 41%</w:t>
            </w:r>
          </w:p>
        </w:tc>
      </w:tr>
      <w:tr w:rsidR="00EE5842" w:rsidRPr="00007652" w:rsidTr="00EE5842">
        <w:tc>
          <w:tcPr>
            <w:tcW w:w="4950" w:type="dxa"/>
          </w:tcPr>
          <w:p w:rsidR="00EE5842" w:rsidRPr="00007652" w:rsidRDefault="00EE5842" w:rsidP="009E2F7B">
            <w:pPr>
              <w:rPr>
                <w:lang w:val="fr-BE"/>
              </w:rPr>
            </w:pPr>
            <w:r>
              <w:rPr>
                <w:lang w:val="fr-FR"/>
              </w:rPr>
              <w:t xml:space="preserve">Studenten </w:t>
            </w:r>
          </w:p>
        </w:tc>
        <w:tc>
          <w:tcPr>
            <w:tcW w:w="2268" w:type="dxa"/>
          </w:tcPr>
          <w:p w:rsidR="00EE5842" w:rsidRPr="00D97AA9" w:rsidRDefault="00EE5842" w:rsidP="002F4F24">
            <w:pPr>
              <w:rPr>
                <w:lang w:val="fr-BE"/>
              </w:rPr>
            </w:pPr>
            <w:r w:rsidRPr="00D97AA9">
              <w:rPr>
                <w:lang w:val="fr-BE"/>
              </w:rPr>
              <w:t>139</w:t>
            </w:r>
            <w:r w:rsidRPr="00D97AA9">
              <w:t xml:space="preserve"> </w:t>
            </w:r>
            <w:r w:rsidRPr="00D97AA9">
              <w:rPr>
                <w:lang w:val="fr-BE"/>
              </w:rPr>
              <w:t xml:space="preserve">dossiers </w:t>
            </w:r>
            <w:r>
              <w:rPr>
                <w:lang w:val="fr-BE"/>
              </w:rPr>
              <w:t xml:space="preserve">op </w:t>
            </w:r>
            <w:r w:rsidRPr="00D97AA9">
              <w:rPr>
                <w:lang w:val="fr-BE"/>
              </w:rPr>
              <w:t>493</w:t>
            </w:r>
          </w:p>
        </w:tc>
        <w:tc>
          <w:tcPr>
            <w:tcW w:w="992" w:type="dxa"/>
          </w:tcPr>
          <w:p w:rsidR="00EE5842" w:rsidRPr="00D97AA9" w:rsidRDefault="00EE5842" w:rsidP="002F4F24">
            <w:pPr>
              <w:rPr>
                <w:lang w:val="fr-BE"/>
              </w:rPr>
            </w:pPr>
            <w:r w:rsidRPr="00D97AA9">
              <w:rPr>
                <w:lang w:val="fr-BE"/>
              </w:rPr>
              <w:t xml:space="preserve"> 28%</w:t>
            </w:r>
          </w:p>
        </w:tc>
      </w:tr>
      <w:tr w:rsidR="00EE5842" w:rsidRPr="00007652" w:rsidTr="00EE5842">
        <w:tc>
          <w:tcPr>
            <w:tcW w:w="4950" w:type="dxa"/>
          </w:tcPr>
          <w:p w:rsidR="00EE5842" w:rsidRPr="00007652" w:rsidRDefault="00EE5842" w:rsidP="009E2F7B">
            <w:pPr>
              <w:rPr>
                <w:lang w:val="fr-BE"/>
              </w:rPr>
            </w:pPr>
            <w:r>
              <w:rPr>
                <w:lang w:val="fr-FR"/>
              </w:rPr>
              <w:t xml:space="preserve">Instellingen </w:t>
            </w:r>
          </w:p>
        </w:tc>
        <w:tc>
          <w:tcPr>
            <w:tcW w:w="2268" w:type="dxa"/>
          </w:tcPr>
          <w:p w:rsidR="00EE5842" w:rsidRPr="00D97AA9" w:rsidRDefault="00EE5842" w:rsidP="002F4F24">
            <w:pPr>
              <w:rPr>
                <w:lang w:val="fr-BE"/>
              </w:rPr>
            </w:pPr>
            <w:r w:rsidRPr="00D97AA9">
              <w:rPr>
                <w:lang w:val="fr-BE"/>
              </w:rPr>
              <w:t>11</w:t>
            </w:r>
            <w:r>
              <w:rPr>
                <w:lang w:val="fr-BE"/>
              </w:rPr>
              <w:t>5</w:t>
            </w:r>
            <w:r w:rsidRPr="00D97AA9">
              <w:t xml:space="preserve"> </w:t>
            </w:r>
            <w:r>
              <w:rPr>
                <w:lang w:val="fr-BE"/>
              </w:rPr>
              <w:t>dossiers op</w:t>
            </w:r>
            <w:r w:rsidRPr="00D97AA9">
              <w:rPr>
                <w:lang w:val="fr-BE"/>
              </w:rPr>
              <w:t xml:space="preserve"> 493</w:t>
            </w:r>
          </w:p>
        </w:tc>
        <w:tc>
          <w:tcPr>
            <w:tcW w:w="992" w:type="dxa"/>
          </w:tcPr>
          <w:p w:rsidR="00EE5842" w:rsidRPr="00D97AA9" w:rsidRDefault="00EE5842" w:rsidP="002F4F24">
            <w:pPr>
              <w:rPr>
                <w:lang w:val="fr-BE"/>
              </w:rPr>
            </w:pPr>
            <w:r w:rsidRPr="00D97AA9">
              <w:rPr>
                <w:lang w:val="fr-BE"/>
              </w:rPr>
              <w:t xml:space="preserve"> 2</w:t>
            </w:r>
            <w:r>
              <w:rPr>
                <w:lang w:val="fr-BE"/>
              </w:rPr>
              <w:t>4</w:t>
            </w:r>
            <w:r w:rsidRPr="00D97AA9">
              <w:rPr>
                <w:lang w:val="fr-BE"/>
              </w:rPr>
              <w:t>%</w:t>
            </w:r>
          </w:p>
        </w:tc>
      </w:tr>
      <w:tr w:rsidR="00EE5842" w:rsidRPr="00007652" w:rsidTr="00EE5842">
        <w:tc>
          <w:tcPr>
            <w:tcW w:w="4950" w:type="dxa"/>
          </w:tcPr>
          <w:p w:rsidR="00EE5842" w:rsidRPr="00007652" w:rsidRDefault="00EE5842" w:rsidP="009E2F7B">
            <w:pPr>
              <w:rPr>
                <w:lang w:val="fr-BE"/>
              </w:rPr>
            </w:pPr>
            <w:r>
              <w:rPr>
                <w:lang w:val="fr-FR"/>
              </w:rPr>
              <w:t xml:space="preserve">Asielzoekers </w:t>
            </w:r>
          </w:p>
        </w:tc>
        <w:tc>
          <w:tcPr>
            <w:tcW w:w="2268" w:type="dxa"/>
          </w:tcPr>
          <w:p w:rsidR="00EE5842" w:rsidRPr="00D97AA9" w:rsidRDefault="00EE5842" w:rsidP="002F4F24">
            <w:pPr>
              <w:rPr>
                <w:lang w:val="fr-BE"/>
              </w:rPr>
            </w:pPr>
            <w:r w:rsidRPr="00D97AA9">
              <w:rPr>
                <w:lang w:val="fr-BE"/>
              </w:rPr>
              <w:t>12</w:t>
            </w:r>
            <w:r w:rsidRPr="00D97AA9">
              <w:t xml:space="preserve"> </w:t>
            </w:r>
            <w:r w:rsidRPr="00D97AA9">
              <w:rPr>
                <w:lang w:val="fr-BE"/>
              </w:rPr>
              <w:t xml:space="preserve">dossiers </w:t>
            </w:r>
            <w:r>
              <w:rPr>
                <w:lang w:val="fr-BE"/>
              </w:rPr>
              <w:t>op</w:t>
            </w:r>
            <w:r w:rsidRPr="00D97AA9">
              <w:rPr>
                <w:lang w:val="fr-BE"/>
              </w:rPr>
              <w:t xml:space="preserve"> 493</w:t>
            </w:r>
          </w:p>
        </w:tc>
        <w:tc>
          <w:tcPr>
            <w:tcW w:w="992" w:type="dxa"/>
          </w:tcPr>
          <w:p w:rsidR="00EE5842" w:rsidRPr="00D97AA9" w:rsidRDefault="00EE5842" w:rsidP="002F4F24">
            <w:pPr>
              <w:rPr>
                <w:lang w:val="fr-BE"/>
              </w:rPr>
            </w:pPr>
            <w:r w:rsidRPr="00D97AA9">
              <w:rPr>
                <w:lang w:val="fr-BE"/>
              </w:rPr>
              <w:t xml:space="preserve"> 2%</w:t>
            </w:r>
          </w:p>
        </w:tc>
      </w:tr>
      <w:tr w:rsidR="00EE5842" w:rsidRPr="00007652" w:rsidTr="00EE5842">
        <w:tc>
          <w:tcPr>
            <w:tcW w:w="4950" w:type="dxa"/>
          </w:tcPr>
          <w:p w:rsidR="00EE5842" w:rsidRPr="00007652" w:rsidRDefault="00EE5842" w:rsidP="009E2F7B">
            <w:pPr>
              <w:rPr>
                <w:lang w:val="fr-BE"/>
              </w:rPr>
            </w:pPr>
            <w:r>
              <w:rPr>
                <w:lang w:val="fr-FR"/>
              </w:rPr>
              <w:t xml:space="preserve">Daklozen </w:t>
            </w:r>
          </w:p>
        </w:tc>
        <w:tc>
          <w:tcPr>
            <w:tcW w:w="2268" w:type="dxa"/>
          </w:tcPr>
          <w:p w:rsidR="00EE5842" w:rsidRPr="00D97AA9" w:rsidRDefault="00EE5842" w:rsidP="002F4F24">
            <w:pPr>
              <w:rPr>
                <w:lang w:val="fr-BE"/>
              </w:rPr>
            </w:pPr>
            <w:r w:rsidRPr="00D97AA9">
              <w:rPr>
                <w:lang w:val="fr-BE"/>
              </w:rPr>
              <w:t>16</w:t>
            </w:r>
            <w:r w:rsidRPr="00D97AA9">
              <w:t xml:space="preserve"> </w:t>
            </w:r>
            <w:r w:rsidRPr="00D97AA9">
              <w:rPr>
                <w:lang w:val="fr-BE"/>
              </w:rPr>
              <w:t xml:space="preserve">dossiers </w:t>
            </w:r>
            <w:r>
              <w:rPr>
                <w:lang w:val="fr-BE"/>
              </w:rPr>
              <w:t>op</w:t>
            </w:r>
            <w:r w:rsidRPr="00D97AA9">
              <w:rPr>
                <w:lang w:val="fr-BE"/>
              </w:rPr>
              <w:t xml:space="preserve"> 493</w:t>
            </w:r>
          </w:p>
        </w:tc>
        <w:tc>
          <w:tcPr>
            <w:tcW w:w="992" w:type="dxa"/>
          </w:tcPr>
          <w:p w:rsidR="00EE5842" w:rsidRPr="00FF610C" w:rsidRDefault="00EE5842" w:rsidP="002F4F24">
            <w:pPr>
              <w:rPr>
                <w:lang w:val="fr-BE"/>
              </w:rPr>
            </w:pPr>
            <w:r w:rsidRPr="00D97AA9">
              <w:rPr>
                <w:lang w:val="fr-BE"/>
              </w:rPr>
              <w:t xml:space="preserve"> 3%</w:t>
            </w:r>
          </w:p>
        </w:tc>
      </w:tr>
      <w:tr w:rsidR="00EE5842" w:rsidRPr="00007652" w:rsidTr="00EE5842">
        <w:tc>
          <w:tcPr>
            <w:tcW w:w="4950" w:type="dxa"/>
          </w:tcPr>
          <w:p w:rsidR="00B80BAB" w:rsidRPr="00655650" w:rsidRDefault="00B80BAB" w:rsidP="006942C1">
            <w:pPr>
              <w:jc w:val="both"/>
              <w:rPr>
                <w:lang w:val="nl-NL"/>
              </w:rPr>
            </w:pPr>
            <w:r w:rsidRPr="00655650">
              <w:rPr>
                <w:lang w:val="nl-NL"/>
              </w:rPr>
              <w:t>Sanctie (art. 58, §3, van de organieke wet van 8 juli 1976 of art. 18, §4 van de wet van 22 mei 2002 betreffende het Recht op Maatschappelijk Integratie)</w:t>
            </w:r>
          </w:p>
        </w:tc>
        <w:tc>
          <w:tcPr>
            <w:tcW w:w="2268" w:type="dxa"/>
          </w:tcPr>
          <w:p w:rsidR="00EE5842" w:rsidRPr="00D97AA9" w:rsidRDefault="00EE5842" w:rsidP="002F4F24">
            <w:pPr>
              <w:rPr>
                <w:lang w:val="fr-BE"/>
              </w:rPr>
            </w:pPr>
            <w:r w:rsidRPr="00D97AA9">
              <w:rPr>
                <w:lang w:val="fr-BE"/>
              </w:rPr>
              <w:t>9 dossiers</w:t>
            </w:r>
            <w:r>
              <w:rPr>
                <w:lang w:val="fr-BE"/>
              </w:rPr>
              <w:t xml:space="preserve"> op</w:t>
            </w:r>
            <w:r w:rsidRPr="00D97AA9">
              <w:rPr>
                <w:lang w:val="fr-BE"/>
              </w:rPr>
              <w:t xml:space="preserve"> 493</w:t>
            </w:r>
          </w:p>
        </w:tc>
        <w:tc>
          <w:tcPr>
            <w:tcW w:w="992" w:type="dxa"/>
          </w:tcPr>
          <w:p w:rsidR="00EE5842" w:rsidRPr="00D97AA9" w:rsidRDefault="00EE5842" w:rsidP="002F4F24">
            <w:pPr>
              <w:rPr>
                <w:lang w:val="fr-BE"/>
              </w:rPr>
            </w:pPr>
            <w:r>
              <w:rPr>
                <w:lang w:val="fr-BE"/>
              </w:rPr>
              <w:t xml:space="preserve"> </w:t>
            </w:r>
            <w:r w:rsidRPr="00D97AA9">
              <w:rPr>
                <w:lang w:val="fr-BE"/>
              </w:rPr>
              <w:t>2%</w:t>
            </w:r>
          </w:p>
        </w:tc>
      </w:tr>
    </w:tbl>
    <w:p w:rsidR="00AB1636" w:rsidRDefault="00AB1636" w:rsidP="00C366C8">
      <w:pPr>
        <w:ind w:firstLine="720"/>
        <w:rPr>
          <w:lang w:val="fr-BE"/>
        </w:rPr>
      </w:pPr>
    </w:p>
    <w:p w:rsidR="00041D9B" w:rsidRDefault="00041D9B" w:rsidP="00041D9B">
      <w:pPr>
        <w:rPr>
          <w:lang w:val="fr-FR"/>
        </w:rPr>
      </w:pPr>
      <w:r>
        <w:rPr>
          <w:lang w:val="fr-FR"/>
        </w:rPr>
        <w:tab/>
      </w:r>
    </w:p>
    <w:p w:rsidR="00505DDA" w:rsidRPr="006D0278" w:rsidRDefault="008E706C" w:rsidP="00572623">
      <w:pPr>
        <w:ind w:left="720"/>
        <w:jc w:val="both"/>
        <w:rPr>
          <w:u w:val="single"/>
          <w:lang w:val="nl-NL"/>
        </w:rPr>
      </w:pPr>
      <w:r w:rsidRPr="006D0278">
        <w:rPr>
          <w:u w:val="single"/>
          <w:lang w:val="nl-NL"/>
        </w:rPr>
        <w:t>Vergelijking tussen het aantal ontvankelijke dossiers ontvangen in 2004, 2005, 2006, 2007, 2008, 2009</w:t>
      </w:r>
      <w:r w:rsidR="00272476">
        <w:rPr>
          <w:u w:val="single"/>
          <w:lang w:val="nl-NL"/>
        </w:rPr>
        <w:t>, 2010</w:t>
      </w:r>
      <w:r w:rsidR="008D48F1">
        <w:rPr>
          <w:u w:val="single"/>
          <w:lang w:val="nl-NL"/>
        </w:rPr>
        <w:t>, 2011</w:t>
      </w:r>
      <w:r w:rsidR="00CB7855">
        <w:rPr>
          <w:u w:val="single"/>
          <w:lang w:val="nl-NL"/>
        </w:rPr>
        <w:t>,</w:t>
      </w:r>
      <w:r w:rsidRPr="006D0278">
        <w:rPr>
          <w:u w:val="single"/>
          <w:lang w:val="nl-NL"/>
        </w:rPr>
        <w:t xml:space="preserve"> 201</w:t>
      </w:r>
      <w:r w:rsidR="008D48F1">
        <w:rPr>
          <w:u w:val="single"/>
          <w:lang w:val="nl-NL"/>
        </w:rPr>
        <w:t>2</w:t>
      </w:r>
      <w:r w:rsidR="00EE5842">
        <w:rPr>
          <w:u w:val="single"/>
          <w:lang w:val="nl-NL"/>
        </w:rPr>
        <w:t xml:space="preserve">, </w:t>
      </w:r>
      <w:r w:rsidR="00CB7855">
        <w:rPr>
          <w:u w:val="single"/>
          <w:lang w:val="nl-NL"/>
        </w:rPr>
        <w:t>2013</w:t>
      </w:r>
      <w:r w:rsidR="00EE5842">
        <w:rPr>
          <w:u w:val="single"/>
          <w:lang w:val="nl-NL"/>
        </w:rPr>
        <w:t xml:space="preserve"> en 2014</w:t>
      </w:r>
    </w:p>
    <w:p w:rsidR="00D77206" w:rsidRDefault="009E2F7B" w:rsidP="002F6832">
      <w:pPr>
        <w:rPr>
          <w:noProof/>
          <w:lang w:val="fr-BE" w:eastAsia="fr-BE"/>
        </w:rPr>
      </w:pPr>
      <w:r w:rsidRPr="004023AA">
        <w:rPr>
          <w:noProof/>
          <w:lang w:val="nl-NL" w:eastAsia="fr-BE"/>
        </w:rPr>
        <w:tab/>
      </w:r>
      <w:r>
        <w:rPr>
          <w:noProof/>
          <w:lang w:val="fr-BE" w:eastAsia="fr-BE"/>
        </w:rPr>
        <w:drawing>
          <wp:inline distT="0" distB="0" distL="0" distR="0" wp14:anchorId="6DC1AA80" wp14:editId="39B6E3F7">
            <wp:extent cx="5137500" cy="3479800"/>
            <wp:effectExtent l="0" t="0" r="6350" b="0"/>
            <wp:docPr id="18" name="Graphique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2F7B" w:rsidRPr="00655650" w:rsidRDefault="00886CE2" w:rsidP="00F269F4">
      <w:pPr>
        <w:ind w:left="720"/>
        <w:jc w:val="both"/>
        <w:rPr>
          <w:noProof/>
          <w:lang w:val="nl-NL" w:eastAsia="fr-BE"/>
        </w:rPr>
      </w:pPr>
      <w:r w:rsidRPr="00655650">
        <w:rPr>
          <w:noProof/>
          <w:lang w:val="nl-NL" w:eastAsia="fr-BE"/>
        </w:rPr>
        <w:t>Men stelt vast dat , net als in de voorgaande jaren, het hoogste percentage conflicten betrekking heeft op de bepaling van het gewoonlijk verblijf, gevolgd door deze die betrekking hebben op studenten, dan gevolgd  door personen verblijvend in instellingen.</w:t>
      </w:r>
    </w:p>
    <w:p w:rsidR="009E2F7B" w:rsidRDefault="009E2F7B" w:rsidP="002F6832">
      <w:pPr>
        <w:rPr>
          <w:lang w:val="nl-NL"/>
        </w:rPr>
      </w:pPr>
    </w:p>
    <w:p w:rsidR="00886CE2" w:rsidRDefault="00886CE2" w:rsidP="00A00B72">
      <w:pPr>
        <w:ind w:left="720"/>
        <w:jc w:val="both"/>
        <w:rPr>
          <w:lang w:val="nl-NL"/>
        </w:rPr>
      </w:pPr>
      <w:r w:rsidRPr="00886CE2">
        <w:rPr>
          <w:lang w:val="nl-NL"/>
        </w:rPr>
        <w:t>Men ziet eveneens dat het percentage van conflicten met betrekking tot de bepaling van het gewoonlijk verblijf, en  deze van  personen verblijvend in instellingen, allen stijgen in vergelijking met het verslag van 2013, daar waar deze met betrekking tot daklozen en van asielzoekers verminderen.</w:t>
      </w:r>
    </w:p>
    <w:p w:rsidR="00886CE2" w:rsidRDefault="00886CE2" w:rsidP="002F6832">
      <w:pPr>
        <w:rPr>
          <w:lang w:val="nl-NL"/>
        </w:rPr>
      </w:pPr>
    </w:p>
    <w:p w:rsidR="008D48F1" w:rsidRPr="00EE5842" w:rsidRDefault="008D48F1" w:rsidP="00B45027">
      <w:pPr>
        <w:ind w:left="720"/>
        <w:jc w:val="both"/>
        <w:rPr>
          <w:lang w:val="nl-NL"/>
        </w:rPr>
      </w:pPr>
    </w:p>
    <w:p w:rsidR="00593BFD" w:rsidRDefault="008E706C" w:rsidP="000A174A">
      <w:pPr>
        <w:ind w:left="720"/>
        <w:jc w:val="both"/>
        <w:rPr>
          <w:u w:val="single"/>
          <w:lang w:val="nl-NL"/>
        </w:rPr>
      </w:pPr>
      <w:r w:rsidRPr="006D0278">
        <w:rPr>
          <w:u w:val="single"/>
          <w:lang w:val="nl-NL"/>
        </w:rPr>
        <w:t>Het totale aantal dossiers per thema sinds 2004</w:t>
      </w:r>
    </w:p>
    <w:p w:rsidR="00181914" w:rsidRPr="006D0278" w:rsidRDefault="00181914" w:rsidP="000A174A">
      <w:pPr>
        <w:ind w:left="720"/>
        <w:jc w:val="both"/>
        <w:rPr>
          <w:u w:val="single"/>
          <w:lang w:val="nl-NL"/>
        </w:rPr>
      </w:pPr>
    </w:p>
    <w:p w:rsidR="0091166D" w:rsidRPr="00181914" w:rsidRDefault="008E706C" w:rsidP="00181914">
      <w:pPr>
        <w:pStyle w:val="Copywritingstijl"/>
        <w:numPr>
          <w:ilvl w:val="0"/>
          <w:numId w:val="8"/>
        </w:numPr>
        <w:shd w:val="clear" w:color="auto" w:fill="FFFFFF" w:themeFill="background1"/>
        <w:tabs>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szCs w:val="24"/>
          <w:lang w:val="fr-FR"/>
        </w:rPr>
      </w:pPr>
      <w:r w:rsidRPr="00181914">
        <w:rPr>
          <w:szCs w:val="24"/>
          <w:lang w:val="fr-FR"/>
        </w:rPr>
        <w:t xml:space="preserve">Gewoonlijke verblijfplaats: </w:t>
      </w:r>
      <w:r w:rsidR="00B55B55" w:rsidRPr="00181914">
        <w:rPr>
          <w:szCs w:val="24"/>
          <w:lang w:val="fr-FR"/>
        </w:rPr>
        <w:t>1</w:t>
      </w:r>
      <w:r w:rsidR="00EE5842">
        <w:rPr>
          <w:szCs w:val="24"/>
          <w:lang w:val="fr-FR"/>
        </w:rPr>
        <w:t>572</w:t>
      </w:r>
      <w:r w:rsidR="00B55B55" w:rsidRPr="00181914">
        <w:rPr>
          <w:szCs w:val="24"/>
          <w:lang w:val="fr-FR"/>
        </w:rPr>
        <w:t xml:space="preserve"> </w:t>
      </w:r>
      <w:r w:rsidRPr="00181914">
        <w:rPr>
          <w:szCs w:val="24"/>
          <w:lang w:val="fr-FR"/>
        </w:rPr>
        <w:t xml:space="preserve">dossiers </w:t>
      </w:r>
    </w:p>
    <w:p w:rsidR="009E2F7B" w:rsidRPr="00181914" w:rsidRDefault="009E2F7B" w:rsidP="00181914">
      <w:pPr>
        <w:pStyle w:val="Copywritingstijl"/>
        <w:numPr>
          <w:ilvl w:val="0"/>
          <w:numId w:val="8"/>
        </w:numPr>
        <w:shd w:val="clear" w:color="auto" w:fill="FFFFFF" w:themeFill="background1"/>
        <w:tabs>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szCs w:val="24"/>
          <w:lang w:val="fr-FR"/>
        </w:rPr>
      </w:pPr>
      <w:r w:rsidRPr="00181914">
        <w:rPr>
          <w:szCs w:val="24"/>
          <w:lang w:val="fr-FR"/>
        </w:rPr>
        <w:t>Studenten: 1</w:t>
      </w:r>
      <w:r w:rsidR="00EE5842">
        <w:rPr>
          <w:szCs w:val="24"/>
          <w:lang w:val="fr-FR"/>
        </w:rPr>
        <w:t>251</w:t>
      </w:r>
      <w:r w:rsidRPr="00181914">
        <w:rPr>
          <w:szCs w:val="24"/>
          <w:lang w:val="fr-FR"/>
        </w:rPr>
        <w:t xml:space="preserve"> dossiers</w:t>
      </w:r>
    </w:p>
    <w:p w:rsidR="0091166D" w:rsidRPr="00181914" w:rsidRDefault="008E706C" w:rsidP="00181914">
      <w:pPr>
        <w:pStyle w:val="Copywritingstijl"/>
        <w:numPr>
          <w:ilvl w:val="0"/>
          <w:numId w:val="8"/>
        </w:numPr>
        <w:shd w:val="clear" w:color="auto" w:fill="FFFFFF" w:themeFill="background1"/>
        <w:tabs>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color w:val="auto"/>
          <w:szCs w:val="24"/>
          <w:lang w:val="fr-FR"/>
        </w:rPr>
      </w:pPr>
      <w:r w:rsidRPr="00181914">
        <w:rPr>
          <w:color w:val="auto"/>
          <w:szCs w:val="24"/>
          <w:lang w:val="fr-FR"/>
        </w:rPr>
        <w:t xml:space="preserve">Instellingen: </w:t>
      </w:r>
      <w:r w:rsidR="00B55B55" w:rsidRPr="00181914">
        <w:rPr>
          <w:color w:val="auto"/>
          <w:szCs w:val="24"/>
          <w:lang w:val="fr-FR"/>
        </w:rPr>
        <w:t>1</w:t>
      </w:r>
      <w:r w:rsidR="00EE5842">
        <w:rPr>
          <w:color w:val="auto"/>
          <w:szCs w:val="24"/>
          <w:lang w:val="fr-FR"/>
        </w:rPr>
        <w:t>192</w:t>
      </w:r>
      <w:r w:rsidR="00B55B55" w:rsidRPr="00181914">
        <w:rPr>
          <w:color w:val="auto"/>
          <w:szCs w:val="24"/>
          <w:lang w:val="fr-FR"/>
        </w:rPr>
        <w:t xml:space="preserve"> </w:t>
      </w:r>
      <w:r w:rsidRPr="00181914">
        <w:rPr>
          <w:color w:val="auto"/>
          <w:szCs w:val="24"/>
          <w:lang w:val="fr-FR"/>
        </w:rPr>
        <w:t xml:space="preserve">dossiers </w:t>
      </w:r>
    </w:p>
    <w:p w:rsidR="0091166D" w:rsidRPr="00181914" w:rsidRDefault="008E706C" w:rsidP="00181914">
      <w:pPr>
        <w:pStyle w:val="Copywritingstijl"/>
        <w:numPr>
          <w:ilvl w:val="0"/>
          <w:numId w:val="8"/>
        </w:numPr>
        <w:shd w:val="clear" w:color="auto" w:fill="FFFFFF" w:themeFill="background1"/>
        <w:tabs>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szCs w:val="24"/>
          <w:lang w:val="fr-FR"/>
        </w:rPr>
      </w:pPr>
      <w:r w:rsidRPr="00181914">
        <w:rPr>
          <w:szCs w:val="24"/>
          <w:lang w:val="fr-FR"/>
        </w:rPr>
        <w:t xml:space="preserve">Asielzoekers: </w:t>
      </w:r>
      <w:r w:rsidR="00EE5842">
        <w:rPr>
          <w:szCs w:val="24"/>
          <w:lang w:val="fr-FR"/>
        </w:rPr>
        <w:t>808</w:t>
      </w:r>
      <w:r w:rsidR="00B55B55" w:rsidRPr="00181914">
        <w:rPr>
          <w:szCs w:val="24"/>
          <w:lang w:val="fr-FR"/>
        </w:rPr>
        <w:t xml:space="preserve"> </w:t>
      </w:r>
      <w:r w:rsidRPr="00181914">
        <w:rPr>
          <w:szCs w:val="24"/>
          <w:lang w:val="fr-FR"/>
        </w:rPr>
        <w:t>dossiers</w:t>
      </w:r>
    </w:p>
    <w:p w:rsidR="0091166D" w:rsidRPr="00181914" w:rsidRDefault="008E706C" w:rsidP="00181914">
      <w:pPr>
        <w:numPr>
          <w:ilvl w:val="0"/>
          <w:numId w:val="8"/>
        </w:numPr>
        <w:shd w:val="clear" w:color="auto" w:fill="FFFFFF" w:themeFill="background1"/>
        <w:rPr>
          <w:lang w:val="fr-BE"/>
        </w:rPr>
      </w:pPr>
      <w:r w:rsidRPr="00181914">
        <w:rPr>
          <w:lang w:val="fr-FR"/>
        </w:rPr>
        <w:t xml:space="preserve">Daklozen: </w:t>
      </w:r>
      <w:r w:rsidR="00B55B55" w:rsidRPr="00181914">
        <w:rPr>
          <w:lang w:val="fr-FR"/>
        </w:rPr>
        <w:t>2</w:t>
      </w:r>
      <w:r w:rsidR="00EE5842">
        <w:rPr>
          <w:lang w:val="fr-FR"/>
        </w:rPr>
        <w:t>43</w:t>
      </w:r>
      <w:r w:rsidR="00B55B55" w:rsidRPr="00181914">
        <w:rPr>
          <w:lang w:val="fr-FR"/>
        </w:rPr>
        <w:t xml:space="preserve"> </w:t>
      </w:r>
      <w:r w:rsidRPr="00181914">
        <w:rPr>
          <w:lang w:val="fr-FR"/>
        </w:rPr>
        <w:t xml:space="preserve">dossiers </w:t>
      </w:r>
    </w:p>
    <w:p w:rsidR="0091166D" w:rsidRDefault="0091166D" w:rsidP="002F6832">
      <w:pPr>
        <w:rPr>
          <w:lang w:val="fr-BE"/>
        </w:rPr>
      </w:pPr>
    </w:p>
    <w:p w:rsidR="0091166D" w:rsidRDefault="00E012DA" w:rsidP="002F6832">
      <w:pPr>
        <w:rPr>
          <w:noProof/>
          <w:lang w:val="fr-BE" w:eastAsia="fr-BE"/>
        </w:rPr>
      </w:pPr>
      <w:r>
        <w:rPr>
          <w:noProof/>
          <w:lang w:val="fr-BE" w:eastAsia="fr-BE"/>
        </w:rPr>
        <w:drawing>
          <wp:anchor distT="0" distB="0" distL="114300" distR="114300" simplePos="0" relativeHeight="251666432" behindDoc="0" locked="0" layoutInCell="1" allowOverlap="1" wp14:anchorId="38545120" wp14:editId="15B8FCAA">
            <wp:simplePos x="0" y="0"/>
            <wp:positionH relativeFrom="column">
              <wp:posOffset>205105</wp:posOffset>
            </wp:positionH>
            <wp:positionV relativeFrom="paragraph">
              <wp:posOffset>125730</wp:posOffset>
            </wp:positionV>
            <wp:extent cx="5568950" cy="3388056"/>
            <wp:effectExtent l="0" t="0" r="0" b="0"/>
            <wp:wrapNone/>
            <wp:docPr id="23" name="Graphique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9E2F7B" w:rsidRDefault="009E2F7B" w:rsidP="009E2F7B">
      <w:pPr>
        <w:ind w:left="708"/>
        <w:rPr>
          <w:lang w:val="fr-BE"/>
        </w:rPr>
      </w:pPr>
    </w:p>
    <w:p w:rsidR="004F5116" w:rsidRDefault="004F5116"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F260A5" w:rsidRDefault="00F260A5" w:rsidP="002F6832">
      <w:pPr>
        <w:rPr>
          <w:lang w:val="fr-BE"/>
        </w:rPr>
      </w:pPr>
    </w:p>
    <w:p w:rsidR="00F260A5" w:rsidRDefault="00F260A5" w:rsidP="002F6832">
      <w:pPr>
        <w:rPr>
          <w:lang w:val="fr-BE"/>
        </w:rPr>
      </w:pPr>
    </w:p>
    <w:p w:rsidR="00805E74" w:rsidRDefault="00F260A5" w:rsidP="002F6832">
      <w:pPr>
        <w:rPr>
          <w:lang w:val="fr-BE"/>
        </w:rPr>
      </w:pPr>
      <w:r>
        <w:rPr>
          <w:lang w:val="fr-BE"/>
        </w:rPr>
        <w:tab/>
      </w:r>
    </w:p>
    <w:p w:rsidR="00075090" w:rsidRDefault="00075090" w:rsidP="00D84B40">
      <w:pPr>
        <w:jc w:val="both"/>
        <w:rPr>
          <w:bCs/>
          <w:lang w:val="nl-NL"/>
        </w:rPr>
      </w:pPr>
    </w:p>
    <w:p w:rsidR="00E012DA" w:rsidRDefault="00E012DA" w:rsidP="00D84B40">
      <w:pPr>
        <w:jc w:val="both"/>
        <w:rPr>
          <w:bCs/>
          <w:lang w:val="nl-NL"/>
        </w:rPr>
      </w:pPr>
    </w:p>
    <w:p w:rsidR="00E012DA" w:rsidRDefault="00E012DA" w:rsidP="00D84B40">
      <w:pPr>
        <w:jc w:val="both"/>
        <w:rPr>
          <w:bCs/>
          <w:lang w:val="nl-NL"/>
        </w:rPr>
      </w:pPr>
    </w:p>
    <w:p w:rsidR="00F260A5" w:rsidRPr="006D0278" w:rsidRDefault="008E706C" w:rsidP="00D84B40">
      <w:pPr>
        <w:jc w:val="both"/>
        <w:rPr>
          <w:lang w:val="nl-NL"/>
        </w:rPr>
      </w:pPr>
      <w:r w:rsidRPr="006D0278">
        <w:rPr>
          <w:bCs/>
          <w:lang w:val="nl-NL"/>
        </w:rPr>
        <w:t>Deze grafiek geeft de aard van de bevoegdheidsconflicten weer die sinds 2004 werden opgelost.</w:t>
      </w:r>
    </w:p>
    <w:p w:rsidR="004E3981" w:rsidRPr="006D0278" w:rsidRDefault="008E706C" w:rsidP="00D84B40">
      <w:pPr>
        <w:numPr>
          <w:ilvl w:val="0"/>
          <w:numId w:val="9"/>
        </w:numPr>
        <w:jc w:val="both"/>
        <w:rPr>
          <w:lang w:val="nl-NL"/>
        </w:rPr>
      </w:pPr>
      <w:r w:rsidRPr="006D0278">
        <w:rPr>
          <w:lang w:val="nl-NL"/>
        </w:rPr>
        <w:t>Over het algemeen wordt vastgesteld dat het grootste aantal conflicten betrekking heeft op de bepaling van de gewoonlijke verblijfplaats, de toepassing van de algemene bevoegdheidsregel.</w:t>
      </w:r>
      <w:r w:rsidR="00B55B55">
        <w:rPr>
          <w:lang w:val="nl-NL"/>
        </w:rPr>
        <w:t xml:space="preserve"> </w:t>
      </w:r>
    </w:p>
    <w:p w:rsidR="004E3981" w:rsidRPr="006D0278" w:rsidRDefault="008E706C" w:rsidP="00D84B40">
      <w:pPr>
        <w:numPr>
          <w:ilvl w:val="0"/>
          <w:numId w:val="9"/>
        </w:numPr>
        <w:jc w:val="both"/>
        <w:rPr>
          <w:lang w:val="nl-NL"/>
        </w:rPr>
      </w:pPr>
      <w:r w:rsidRPr="006D0278">
        <w:rPr>
          <w:lang w:val="nl-NL"/>
        </w:rPr>
        <w:t xml:space="preserve">In tweede positie: </w:t>
      </w:r>
      <w:r w:rsidR="004D4C9B" w:rsidRPr="004D4C9B">
        <w:rPr>
          <w:lang w:val="nl-NL"/>
        </w:rPr>
        <w:t xml:space="preserve">de conflicten over studenten </w:t>
      </w:r>
    </w:p>
    <w:p w:rsidR="004D4C9B" w:rsidRPr="004D4C9B" w:rsidRDefault="008E706C" w:rsidP="00D84B40">
      <w:pPr>
        <w:numPr>
          <w:ilvl w:val="0"/>
          <w:numId w:val="9"/>
        </w:numPr>
        <w:jc w:val="both"/>
        <w:rPr>
          <w:lang w:val="nl-NL"/>
        </w:rPr>
      </w:pPr>
      <w:r w:rsidRPr="006D0278">
        <w:rPr>
          <w:lang w:val="nl-NL"/>
        </w:rPr>
        <w:t>In derde positie:</w:t>
      </w:r>
      <w:r w:rsidR="004D4C9B">
        <w:rPr>
          <w:lang w:val="nl-NL"/>
        </w:rPr>
        <w:t xml:space="preserve"> </w:t>
      </w:r>
      <w:r w:rsidR="004D4C9B" w:rsidRPr="004D4C9B">
        <w:rPr>
          <w:lang w:val="nl-NL"/>
        </w:rPr>
        <w:t>de conflicten met betrekking tot de aanvrager die in een instelling verblijven.</w:t>
      </w:r>
      <w:r w:rsidR="00B55B55">
        <w:rPr>
          <w:lang w:val="nl-NL"/>
        </w:rPr>
        <w:t xml:space="preserve"> </w:t>
      </w:r>
    </w:p>
    <w:p w:rsidR="00AD4B7C" w:rsidRPr="006D0278" w:rsidRDefault="008E706C" w:rsidP="00D84B40">
      <w:pPr>
        <w:numPr>
          <w:ilvl w:val="0"/>
          <w:numId w:val="9"/>
        </w:numPr>
        <w:jc w:val="both"/>
        <w:rPr>
          <w:lang w:val="nl-NL"/>
        </w:rPr>
      </w:pPr>
      <w:r w:rsidRPr="006D0278">
        <w:rPr>
          <w:lang w:val="nl-NL"/>
        </w:rPr>
        <w:t xml:space="preserve">In vierde positie: de conflicten over asielzoekers. </w:t>
      </w:r>
    </w:p>
    <w:p w:rsidR="004E3981" w:rsidRPr="006D0278" w:rsidRDefault="008E706C" w:rsidP="00D84B40">
      <w:pPr>
        <w:numPr>
          <w:ilvl w:val="0"/>
          <w:numId w:val="9"/>
        </w:numPr>
        <w:jc w:val="both"/>
        <w:rPr>
          <w:lang w:val="nl-NL"/>
        </w:rPr>
      </w:pPr>
      <w:r w:rsidRPr="006D0278">
        <w:rPr>
          <w:lang w:val="nl-NL"/>
        </w:rPr>
        <w:t>In laatste positie: de conflicten over daklozen, die weinig talrijk zijn.</w:t>
      </w:r>
      <w:r w:rsidR="00B55B55">
        <w:rPr>
          <w:lang w:val="nl-NL"/>
        </w:rPr>
        <w:t xml:space="preserve"> </w:t>
      </w:r>
    </w:p>
    <w:p w:rsidR="00AD4B7C" w:rsidRPr="006D0278" w:rsidRDefault="0091166D" w:rsidP="00470771">
      <w:pPr>
        <w:pStyle w:val="Titre2"/>
        <w:rPr>
          <w:sz w:val="28"/>
          <w:lang w:val="nl-NL"/>
        </w:rPr>
      </w:pPr>
      <w:r w:rsidRPr="006D0278">
        <w:rPr>
          <w:lang w:val="nl-NL"/>
        </w:rPr>
        <w:br w:type="page"/>
      </w:r>
      <w:bookmarkStart w:id="24" w:name="_Toc423509521"/>
      <w:bookmarkStart w:id="25" w:name="_Toc51469041"/>
      <w:bookmarkStart w:id="26" w:name="_Toc70850286"/>
      <w:r w:rsidR="008E706C" w:rsidRPr="006D0278">
        <w:rPr>
          <w:sz w:val="28"/>
          <w:szCs w:val="28"/>
          <w:lang w:val="nl-NL"/>
        </w:rPr>
        <w:lastRenderedPageBreak/>
        <w:t>2. Conflicten over de bepaling van de gewoonlijke verblijfplaats</w:t>
      </w:r>
      <w:bookmarkEnd w:id="24"/>
    </w:p>
    <w:p w:rsidR="00AD4B7C" w:rsidRPr="006D0278" w:rsidRDefault="00AD4B7C" w:rsidP="00AD4B7C">
      <w:pPr>
        <w:rPr>
          <w:lang w:val="nl-NL"/>
        </w:rPr>
      </w:pPr>
    </w:p>
    <w:p w:rsidR="008D286F" w:rsidRPr="006D0278" w:rsidRDefault="008D286F" w:rsidP="00AD4B7C">
      <w:pPr>
        <w:ind w:left="900"/>
        <w:jc w:val="both"/>
        <w:rPr>
          <w:lang w:val="nl-NL"/>
        </w:rPr>
      </w:pPr>
    </w:p>
    <w:p w:rsidR="00AD4B7C" w:rsidRPr="006D0278" w:rsidRDefault="008E706C" w:rsidP="00AD4B7C">
      <w:pPr>
        <w:ind w:left="900"/>
        <w:jc w:val="both"/>
        <w:rPr>
          <w:lang w:val="nl-NL"/>
        </w:rPr>
      </w:pPr>
      <w:r w:rsidRPr="006D0278">
        <w:rPr>
          <w:lang w:val="nl-NL"/>
        </w:rPr>
        <w:t xml:space="preserve">Deze conflicten hebben betrekking op de toepassing van de algemene bevoegdheidsregel van artikel 1, 1°, van de wet van 02/04/1965 die als bevoegd OCMW </w:t>
      </w:r>
      <w:r w:rsidR="00921B1B" w:rsidRPr="006D0278">
        <w:rPr>
          <w:lang w:val="nl-NL"/>
        </w:rPr>
        <w:t>datgene</w:t>
      </w:r>
      <w:r w:rsidRPr="006D0278">
        <w:rPr>
          <w:lang w:val="nl-NL"/>
        </w:rPr>
        <w:t xml:space="preserve"> aanduidt van de gemeente waar de aanvrager gewoonlijk verblijft. </w:t>
      </w:r>
    </w:p>
    <w:p w:rsidR="0062338E" w:rsidRPr="006D0278" w:rsidRDefault="0062338E" w:rsidP="00AD4B7C">
      <w:pPr>
        <w:ind w:left="900"/>
        <w:jc w:val="both"/>
        <w:rPr>
          <w:lang w:val="nl-NL"/>
        </w:rPr>
      </w:pPr>
    </w:p>
    <w:p w:rsidR="00AD4B7C" w:rsidRPr="006D0278" w:rsidRDefault="008E706C" w:rsidP="00470771">
      <w:pPr>
        <w:pStyle w:val="Titre3"/>
        <w:rPr>
          <w:b/>
          <w:sz w:val="24"/>
          <w:highlight w:val="yellow"/>
          <w:u w:val="single"/>
          <w:lang w:val="nl-NL"/>
        </w:rPr>
      </w:pPr>
      <w:bookmarkStart w:id="27" w:name="_Toc423509522"/>
      <w:r w:rsidRPr="006D0278">
        <w:rPr>
          <w:b/>
          <w:sz w:val="24"/>
          <w:u w:val="single"/>
          <w:lang w:val="nl-NL"/>
        </w:rPr>
        <w:t xml:space="preserve">1. Aantal dossiers in </w:t>
      </w:r>
      <w:r w:rsidR="00B55B55" w:rsidRPr="006D0278">
        <w:rPr>
          <w:b/>
          <w:sz w:val="24"/>
          <w:u w:val="single"/>
          <w:lang w:val="nl-NL"/>
        </w:rPr>
        <w:t>201</w:t>
      </w:r>
      <w:r w:rsidR="004D4093">
        <w:rPr>
          <w:b/>
          <w:sz w:val="24"/>
          <w:u w:val="single"/>
          <w:lang w:val="nl-NL"/>
        </w:rPr>
        <w:t>4</w:t>
      </w:r>
      <w:bookmarkEnd w:id="27"/>
    </w:p>
    <w:p w:rsidR="00AD4B7C" w:rsidRPr="006D0278" w:rsidRDefault="00AD4B7C" w:rsidP="00AD4B7C">
      <w:pPr>
        <w:pStyle w:val="Opmaakprofiel1"/>
        <w:ind w:left="180" w:firstLine="720"/>
        <w:rPr>
          <w:u w:val="none"/>
        </w:rPr>
      </w:pPr>
    </w:p>
    <w:p w:rsidR="00F545CE" w:rsidRPr="006D0278" w:rsidRDefault="004D4093" w:rsidP="00AD4B7C">
      <w:pPr>
        <w:pStyle w:val="Opmaakprofiel1"/>
        <w:ind w:left="720" w:right="-288" w:firstLine="720"/>
        <w:rPr>
          <w:highlight w:val="yellow"/>
          <w:u w:val="none"/>
        </w:rPr>
      </w:pPr>
      <w:r>
        <w:t xml:space="preserve">202 </w:t>
      </w:r>
      <w:r w:rsidR="008E706C" w:rsidRPr="006D0278">
        <w:t xml:space="preserve">dossiers op </w:t>
      </w:r>
      <w:r>
        <w:t>49</w:t>
      </w:r>
      <w:r w:rsidR="00B55B55">
        <w:t>3</w:t>
      </w:r>
      <w:r w:rsidR="00B55B55" w:rsidRPr="006D0278">
        <w:t xml:space="preserve"> </w:t>
      </w:r>
      <w:r w:rsidR="008E706C" w:rsidRPr="006D0278">
        <w:t xml:space="preserve">ontvankelijke dossiers, hetzij </w:t>
      </w:r>
      <w:r>
        <w:t>41</w:t>
      </w:r>
      <w:r w:rsidR="00B55B55" w:rsidRPr="006D0278">
        <w:t xml:space="preserve"> </w:t>
      </w:r>
      <w:r w:rsidR="008E706C" w:rsidRPr="006D0278">
        <w:t>%</w:t>
      </w:r>
    </w:p>
    <w:p w:rsidR="00AD4B7C" w:rsidRPr="006D0278" w:rsidRDefault="008E706C" w:rsidP="00AD4B7C">
      <w:pPr>
        <w:pStyle w:val="Opmaakprofiel1"/>
        <w:ind w:left="720" w:right="-288" w:firstLine="720"/>
        <w:rPr>
          <w:u w:val="none"/>
        </w:rPr>
      </w:pPr>
      <w:r w:rsidRPr="006D0278">
        <w:rPr>
          <w:u w:val="none"/>
        </w:rPr>
        <w:t xml:space="preserve">Nederlandstalige dossiers: </w:t>
      </w:r>
      <w:r w:rsidR="004D4093">
        <w:rPr>
          <w:u w:val="none"/>
        </w:rPr>
        <w:t>91</w:t>
      </w:r>
      <w:r w:rsidR="00B55B55" w:rsidRPr="006D0278">
        <w:rPr>
          <w:u w:val="none"/>
        </w:rPr>
        <w:t xml:space="preserve"> </w:t>
      </w:r>
      <w:r w:rsidRPr="006D0278">
        <w:rPr>
          <w:u w:val="none"/>
        </w:rPr>
        <w:t xml:space="preserve">op </w:t>
      </w:r>
      <w:r w:rsidR="004D4093">
        <w:rPr>
          <w:u w:val="none"/>
        </w:rPr>
        <w:t>180</w:t>
      </w:r>
      <w:r w:rsidR="00B55B55" w:rsidRPr="006D0278">
        <w:rPr>
          <w:u w:val="none"/>
        </w:rPr>
        <w:t xml:space="preserve"> </w:t>
      </w:r>
      <w:r w:rsidR="00CD4352">
        <w:rPr>
          <w:u w:val="none"/>
        </w:rPr>
        <w:t xml:space="preserve">ontvankelijke dossiers, hetzij </w:t>
      </w:r>
      <w:r w:rsidR="004D4093">
        <w:rPr>
          <w:u w:val="none"/>
        </w:rPr>
        <w:t>51</w:t>
      </w:r>
      <w:r w:rsidR="00B55B55" w:rsidRPr="006D0278">
        <w:rPr>
          <w:u w:val="none"/>
        </w:rPr>
        <w:t xml:space="preserve"> </w:t>
      </w:r>
      <w:r w:rsidRPr="006D0278">
        <w:rPr>
          <w:u w:val="none"/>
        </w:rPr>
        <w:t>%</w:t>
      </w:r>
    </w:p>
    <w:p w:rsidR="00AD4B7C" w:rsidRPr="006D0278" w:rsidRDefault="008E706C" w:rsidP="00AD4B7C">
      <w:pPr>
        <w:pStyle w:val="Opmaakprofiel1"/>
        <w:ind w:left="720" w:firstLine="720"/>
        <w:rPr>
          <w:u w:val="none"/>
        </w:rPr>
      </w:pPr>
      <w:r w:rsidRPr="006D0278">
        <w:rPr>
          <w:u w:val="none"/>
        </w:rPr>
        <w:t xml:space="preserve">Franstalige dossiers: </w:t>
      </w:r>
      <w:r w:rsidR="004D4093">
        <w:rPr>
          <w:u w:val="none"/>
        </w:rPr>
        <w:t>111</w:t>
      </w:r>
      <w:r w:rsidR="00B55B55" w:rsidRPr="006D0278">
        <w:rPr>
          <w:u w:val="none"/>
        </w:rPr>
        <w:t xml:space="preserve"> </w:t>
      </w:r>
      <w:r w:rsidRPr="006D0278">
        <w:rPr>
          <w:u w:val="none"/>
        </w:rPr>
        <w:t xml:space="preserve">op </w:t>
      </w:r>
      <w:r w:rsidR="004D4093">
        <w:rPr>
          <w:u w:val="none"/>
        </w:rPr>
        <w:t>313</w:t>
      </w:r>
      <w:r w:rsidR="00B55B55" w:rsidRPr="006D0278">
        <w:rPr>
          <w:u w:val="none"/>
        </w:rPr>
        <w:t xml:space="preserve"> </w:t>
      </w:r>
      <w:r w:rsidRPr="006D0278">
        <w:rPr>
          <w:u w:val="none"/>
        </w:rPr>
        <w:t xml:space="preserve">ontvankelijke dossiers, hetzij </w:t>
      </w:r>
      <w:r w:rsidR="004D4093">
        <w:rPr>
          <w:u w:val="none"/>
        </w:rPr>
        <w:t>35</w:t>
      </w:r>
      <w:r w:rsidR="00B55B55" w:rsidRPr="006D0278">
        <w:rPr>
          <w:u w:val="none"/>
        </w:rPr>
        <w:t xml:space="preserve"> </w:t>
      </w:r>
      <w:r w:rsidRPr="006D0278">
        <w:rPr>
          <w:u w:val="none"/>
        </w:rPr>
        <w:t>%</w:t>
      </w:r>
    </w:p>
    <w:p w:rsidR="00AD4B7C" w:rsidRPr="006D0278" w:rsidRDefault="00AD4B7C" w:rsidP="00AD4B7C">
      <w:pPr>
        <w:pStyle w:val="Titre2"/>
        <w:rPr>
          <w:lang w:val="nl-NL"/>
        </w:rPr>
      </w:pPr>
    </w:p>
    <w:bookmarkEnd w:id="25"/>
    <w:bookmarkEnd w:id="26"/>
    <w:p w:rsidR="00AD4B7C" w:rsidRPr="006D0278" w:rsidRDefault="008E706C" w:rsidP="00AD4B7C">
      <w:pPr>
        <w:pStyle w:val="Corpsdetexte"/>
        <w:ind w:left="1440"/>
        <w:rPr>
          <w:lang w:val="nl-NL"/>
        </w:rPr>
      </w:pPr>
      <w:r w:rsidRPr="006D0278">
        <w:rPr>
          <w:lang w:val="nl-NL"/>
        </w:rPr>
        <w:t>Het aantal dossiers met betrekking tot de toepassing van de bevoegdheidsregel van artikel 1,</w:t>
      </w:r>
      <w:r w:rsidR="00452184">
        <w:rPr>
          <w:lang w:val="nl-NL"/>
        </w:rPr>
        <w:t xml:space="preserve"> </w:t>
      </w:r>
      <w:r w:rsidRPr="006D0278">
        <w:rPr>
          <w:lang w:val="nl-NL"/>
        </w:rPr>
        <w:t>1, is het hoogste in vergelijking met andere problematieken.</w:t>
      </w:r>
    </w:p>
    <w:p w:rsidR="00AD4B7C" w:rsidRPr="006D0278" w:rsidRDefault="00AD4B7C" w:rsidP="00AD4B7C">
      <w:pPr>
        <w:ind w:left="720" w:firstLine="180"/>
        <w:jc w:val="both"/>
        <w:rPr>
          <w:lang w:val="nl-NL"/>
        </w:rPr>
      </w:pPr>
    </w:p>
    <w:p w:rsidR="00AD4B7C" w:rsidRPr="006D0278" w:rsidRDefault="00AD4B7C" w:rsidP="00AD4B7C">
      <w:pPr>
        <w:ind w:left="720" w:firstLine="180"/>
        <w:jc w:val="both"/>
        <w:rPr>
          <w:lang w:val="nl-NL"/>
        </w:rPr>
      </w:pPr>
    </w:p>
    <w:p w:rsidR="00AD4B7C" w:rsidRPr="006D0278" w:rsidRDefault="008E706C" w:rsidP="00470771">
      <w:pPr>
        <w:pStyle w:val="Titre3"/>
        <w:spacing w:before="0" w:after="0"/>
        <w:rPr>
          <w:b/>
          <w:bCs/>
          <w:sz w:val="24"/>
          <w:u w:val="single"/>
          <w:lang w:val="nl-NL"/>
        </w:rPr>
      </w:pPr>
      <w:bookmarkStart w:id="28" w:name="_Toc423509523"/>
      <w:r w:rsidRPr="006D0278">
        <w:rPr>
          <w:b/>
          <w:bCs/>
          <w:sz w:val="24"/>
          <w:u w:val="single"/>
          <w:lang w:val="nl-NL"/>
        </w:rPr>
        <w:t>2. Wettelijke bepaling</w:t>
      </w:r>
      <w:bookmarkEnd w:id="28"/>
    </w:p>
    <w:p w:rsidR="00AD4B7C" w:rsidRPr="006D0278" w:rsidRDefault="00AD4B7C" w:rsidP="00AD4B7C">
      <w:pPr>
        <w:ind w:left="1080"/>
        <w:jc w:val="both"/>
        <w:rPr>
          <w:lang w:val="nl-NL"/>
        </w:rPr>
      </w:pPr>
    </w:p>
    <w:p w:rsidR="00AD4B7C" w:rsidRPr="006D0278" w:rsidRDefault="008E706C" w:rsidP="00AD4B7C">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b/>
          <w:lang w:val="nl-NL"/>
        </w:rPr>
        <w:t>Art. 1, 1°,</w:t>
      </w:r>
      <w:r w:rsidRPr="006D0278">
        <w:rPr>
          <w:lang w:val="nl-NL"/>
        </w:rPr>
        <w:t xml:space="preserve"> van de wet van 2 april 1965 betreffende het ten laste nemen van de steun verleend door de openbare centra voor maatschappelijk welzijn:</w:t>
      </w:r>
    </w:p>
    <w:p w:rsidR="00AD4B7C" w:rsidRPr="006D0278" w:rsidRDefault="008E706C" w:rsidP="00AD4B7C">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bCs/>
          <w:lang w:val="nl-NL"/>
        </w:rPr>
        <w:t>"</w:t>
      </w:r>
      <w:r w:rsidRPr="006D0278">
        <w:rPr>
          <w:bCs/>
          <w:i/>
          <w:lang w:val="nl-NL"/>
        </w:rPr>
        <w:t>steunverlenend openbaar centrum voor maatschappelijk welzijn": het openbaar centrum voor maatschappelijk welzijn van de gemeente op wier grondgebied zich een persoon bevindt die bijstand behoeft, wiens staat van behoeftigheid door dit openbaar centrum voor maatschappelijk welzijn erkend werd en aan wie het centrum steun verleent waarvan de aard en, zo nodig, het bedrag door het centrum beoordeeld en bepaald worden</w:t>
      </w:r>
      <w:r w:rsidRPr="006D0278">
        <w:rPr>
          <w:bCs/>
          <w:lang w:val="nl-NL"/>
        </w:rPr>
        <w:t>"</w:t>
      </w:r>
    </w:p>
    <w:p w:rsidR="00AD4B7C" w:rsidRPr="006D0278" w:rsidRDefault="00AD4B7C" w:rsidP="00AD4B7C">
      <w:pPr>
        <w:ind w:left="720" w:firstLine="180"/>
        <w:jc w:val="both"/>
        <w:rPr>
          <w:lang w:val="nl-NL"/>
        </w:rPr>
      </w:pPr>
    </w:p>
    <w:p w:rsidR="008D286F" w:rsidRPr="006D0278" w:rsidRDefault="008D286F" w:rsidP="00AD4B7C">
      <w:pPr>
        <w:rPr>
          <w:lang w:val="nl-NL"/>
        </w:rPr>
      </w:pPr>
      <w:r w:rsidRPr="006D0278">
        <w:rPr>
          <w:lang w:val="nl-NL"/>
        </w:rPr>
        <w:tab/>
      </w:r>
      <w:r w:rsidRPr="006D0278">
        <w:rPr>
          <w:lang w:val="nl-NL"/>
        </w:rPr>
        <w:tab/>
      </w:r>
    </w:p>
    <w:p w:rsidR="00AD4B7C" w:rsidRPr="006D0278" w:rsidRDefault="008E706C" w:rsidP="00470771">
      <w:pPr>
        <w:pStyle w:val="Titre3"/>
        <w:spacing w:before="0" w:after="0"/>
        <w:rPr>
          <w:b/>
          <w:bCs/>
          <w:sz w:val="24"/>
          <w:u w:val="single"/>
          <w:lang w:val="nl-NL"/>
        </w:rPr>
      </w:pPr>
      <w:bookmarkStart w:id="29" w:name="_Toc423509524"/>
      <w:r w:rsidRPr="006D0278">
        <w:rPr>
          <w:b/>
          <w:bCs/>
          <w:sz w:val="24"/>
          <w:u w:val="single"/>
          <w:lang w:val="nl-NL"/>
        </w:rPr>
        <w:t>3. Opmerkingen over de toepassing van de algemene bevoegdheidsregel</w:t>
      </w:r>
      <w:bookmarkEnd w:id="29"/>
    </w:p>
    <w:p w:rsidR="00AD4B7C" w:rsidRPr="006D0278" w:rsidRDefault="00AD4B7C" w:rsidP="00AD4B7C">
      <w:pPr>
        <w:ind w:left="900"/>
        <w:jc w:val="both"/>
        <w:rPr>
          <w:lang w:val="nl-NL"/>
        </w:rPr>
      </w:pPr>
    </w:p>
    <w:p w:rsidR="00537A63" w:rsidRPr="006D0278" w:rsidRDefault="008E706C" w:rsidP="00E26811">
      <w:pPr>
        <w:pStyle w:val="Titre4"/>
        <w:ind w:left="720"/>
        <w:jc w:val="both"/>
        <w:rPr>
          <w:b w:val="0"/>
          <w:bCs w:val="0"/>
          <w:u w:val="single"/>
          <w:lang w:val="nl-NL"/>
        </w:rPr>
      </w:pPr>
      <w:bookmarkStart w:id="30" w:name="_Toc423509525"/>
      <w:r w:rsidRPr="006D0278">
        <w:rPr>
          <w:b w:val="0"/>
          <w:bCs w:val="0"/>
          <w:u w:val="single"/>
          <w:lang w:val="nl-NL"/>
        </w:rPr>
        <w:t>3.1. De gewoonlijke verblijfplaats wordt bepaald op het ogenblik van de steunaanvraag</w:t>
      </w:r>
      <w:bookmarkEnd w:id="30"/>
    </w:p>
    <w:p w:rsidR="00537A63" w:rsidRPr="006D0278" w:rsidRDefault="00537A63" w:rsidP="00537A63">
      <w:pPr>
        <w:jc w:val="both"/>
        <w:rPr>
          <w:b/>
          <w:lang w:val="nl-NL"/>
        </w:rPr>
      </w:pPr>
    </w:p>
    <w:p w:rsidR="008D286F" w:rsidRPr="006D0278" w:rsidRDefault="008E706C" w:rsidP="00537A63">
      <w:pPr>
        <w:ind w:left="720"/>
        <w:jc w:val="both"/>
        <w:rPr>
          <w:b/>
          <w:lang w:val="nl-NL"/>
        </w:rPr>
      </w:pPr>
      <w:r w:rsidRPr="006D0278">
        <w:rPr>
          <w:lang w:val="nl-NL"/>
        </w:rPr>
        <w:t>De gewoonlijke en effectieve verblijfplaats van de persoon bepaalt het bevoegde OCMW</w:t>
      </w:r>
      <w:r w:rsidR="006B2704">
        <w:rPr>
          <w:lang w:val="nl-NL"/>
        </w:rPr>
        <w:t>.</w:t>
      </w:r>
      <w:r w:rsidRPr="006D0278">
        <w:rPr>
          <w:lang w:val="nl-NL"/>
        </w:rPr>
        <w:t xml:space="preserve"> De gewoonlijke verblijfplaats wordt bepaald op het ogenblik van de steunaanvraag.</w:t>
      </w:r>
    </w:p>
    <w:p w:rsidR="008D286F" w:rsidRPr="006D0278" w:rsidRDefault="008D286F" w:rsidP="008D286F">
      <w:pPr>
        <w:ind w:left="720"/>
        <w:jc w:val="both"/>
        <w:rPr>
          <w:lang w:val="nl-NL"/>
        </w:rPr>
      </w:pPr>
    </w:p>
    <w:p w:rsidR="0062338E" w:rsidRPr="006D0278" w:rsidRDefault="008E706C" w:rsidP="008D286F">
      <w:pPr>
        <w:pStyle w:val="Letter"/>
        <w:ind w:left="720"/>
        <w:jc w:val="both"/>
        <w:rPr>
          <w:rFonts w:ascii="Times New Roman" w:hAnsi="Times New Roman"/>
          <w:sz w:val="24"/>
          <w:szCs w:val="24"/>
          <w:lang w:val="nl-NL"/>
        </w:rPr>
      </w:pPr>
      <w:r w:rsidRPr="006D0278">
        <w:rPr>
          <w:rFonts w:ascii="Times New Roman" w:hAnsi="Times New Roman"/>
          <w:sz w:val="24"/>
          <w:szCs w:val="24"/>
          <w:lang w:val="nl-NL"/>
        </w:rPr>
        <w:t xml:space="preserve">Zoals de Raad van State heeft gepreciseerd, wordt de territoriale bevoegdheid van OCMW’s bepaald op het ogenblik van de steunaanvraag, aangezien </w:t>
      </w:r>
      <w:r w:rsidR="006B2704">
        <w:rPr>
          <w:rFonts w:ascii="Times New Roman" w:hAnsi="Times New Roman"/>
          <w:sz w:val="24"/>
          <w:szCs w:val="24"/>
          <w:lang w:val="nl-NL"/>
        </w:rPr>
        <w:t xml:space="preserve">het ten vroegste </w:t>
      </w:r>
      <w:r w:rsidRPr="006D0278">
        <w:rPr>
          <w:rFonts w:ascii="Times New Roman" w:hAnsi="Times New Roman"/>
          <w:sz w:val="24"/>
          <w:szCs w:val="24"/>
          <w:lang w:val="nl-NL"/>
        </w:rPr>
        <w:t xml:space="preserve">op die datum </w:t>
      </w:r>
      <w:r w:rsidR="006B2704">
        <w:rPr>
          <w:rFonts w:ascii="Times New Roman" w:hAnsi="Times New Roman"/>
          <w:sz w:val="24"/>
          <w:szCs w:val="24"/>
          <w:lang w:val="nl-NL"/>
        </w:rPr>
        <w:t xml:space="preserve">is dat </w:t>
      </w:r>
      <w:r w:rsidRPr="006D0278">
        <w:rPr>
          <w:rFonts w:ascii="Times New Roman" w:hAnsi="Times New Roman"/>
          <w:sz w:val="24"/>
          <w:szCs w:val="24"/>
          <w:lang w:val="nl-NL"/>
        </w:rPr>
        <w:t xml:space="preserve">de toekenning van steun noodzakelijk geworden is. </w:t>
      </w:r>
    </w:p>
    <w:p w:rsidR="0062338E" w:rsidRPr="006D0278" w:rsidRDefault="0062338E" w:rsidP="0062338E">
      <w:pPr>
        <w:pStyle w:val="Letter"/>
        <w:ind w:left="1620"/>
        <w:jc w:val="both"/>
        <w:rPr>
          <w:rFonts w:ascii="Times New Roman" w:hAnsi="Times New Roman"/>
          <w:sz w:val="24"/>
          <w:szCs w:val="24"/>
          <w:lang w:val="nl-NL"/>
        </w:rPr>
      </w:pPr>
    </w:p>
    <w:p w:rsidR="00C626B8" w:rsidRPr="00452184" w:rsidRDefault="008E706C" w:rsidP="00452184">
      <w:pPr>
        <w:ind w:firstLine="720"/>
        <w:rPr>
          <w:i/>
          <w:u w:val="single"/>
          <w:lang w:val="nl-NL"/>
        </w:rPr>
      </w:pPr>
      <w:r w:rsidRPr="00452184">
        <w:rPr>
          <w:i/>
          <w:u w:val="single"/>
          <w:lang w:val="nl-NL"/>
        </w:rPr>
        <w:t>Bijzondere gevallen</w:t>
      </w:r>
    </w:p>
    <w:p w:rsidR="00C626B8" w:rsidRPr="00452184" w:rsidRDefault="00C626B8" w:rsidP="00452184">
      <w:pPr>
        <w:rPr>
          <w:i/>
          <w:u w:val="single"/>
          <w:lang w:val="nl-NL"/>
        </w:rPr>
      </w:pPr>
    </w:p>
    <w:p w:rsidR="00296D5D" w:rsidRPr="00452184" w:rsidRDefault="008E706C" w:rsidP="00452184">
      <w:pPr>
        <w:ind w:firstLine="720"/>
        <w:rPr>
          <w:i/>
          <w:u w:val="single"/>
          <w:lang w:val="nl-NL"/>
        </w:rPr>
      </w:pPr>
      <w:r w:rsidRPr="00452184">
        <w:rPr>
          <w:i/>
          <w:u w:val="single"/>
          <w:lang w:val="nl-NL"/>
        </w:rPr>
        <w:t>A. Verhuis van een gemeente naar een andere</w:t>
      </w:r>
    </w:p>
    <w:p w:rsidR="00296D5D" w:rsidRPr="006D0278" w:rsidRDefault="00296D5D" w:rsidP="008D286F">
      <w:pPr>
        <w:ind w:left="720"/>
        <w:jc w:val="both"/>
        <w:rPr>
          <w:lang w:val="nl-NL"/>
        </w:rPr>
      </w:pPr>
    </w:p>
    <w:p w:rsidR="00296D5D" w:rsidRPr="006D0278" w:rsidRDefault="008E706C" w:rsidP="00296D5D">
      <w:pPr>
        <w:ind w:left="720"/>
        <w:jc w:val="both"/>
        <w:rPr>
          <w:lang w:val="nl-NL"/>
        </w:rPr>
      </w:pPr>
      <w:r w:rsidRPr="006D0278">
        <w:rPr>
          <w:lang w:val="nl-NL"/>
        </w:rPr>
        <w:t>Wanneer een persoon die een gemeente verlaat om zich in een andere gemeente te vestigen en di</w:t>
      </w:r>
      <w:r w:rsidR="00921B1B">
        <w:rPr>
          <w:lang w:val="nl-NL"/>
        </w:rPr>
        <w:t>e</w:t>
      </w:r>
      <w:r w:rsidRPr="006D0278">
        <w:rPr>
          <w:lang w:val="nl-NL"/>
        </w:rPr>
        <w:t xml:space="preserve"> steun vraagt naar aanleiding van de verhuis, meer bepaald steun om een huurwaarborg toe te kennen, zal het OCMW dat bevoegd is om deze steun toe te </w:t>
      </w:r>
      <w:r w:rsidRPr="006D0278">
        <w:rPr>
          <w:lang w:val="nl-NL"/>
        </w:rPr>
        <w:lastRenderedPageBreak/>
        <w:t xml:space="preserve">kennen het OCMW zijn van de gewoonlijke verblijfplaats van deze persoon. Alles zal dus afhangen van het ogenblik waarop de persoon zijn aanvraag zal doen. </w:t>
      </w:r>
    </w:p>
    <w:p w:rsidR="00296D5D" w:rsidRPr="006D0278" w:rsidRDefault="00296D5D" w:rsidP="008D286F">
      <w:pPr>
        <w:ind w:left="720"/>
        <w:jc w:val="both"/>
        <w:rPr>
          <w:lang w:val="nl-NL"/>
        </w:rPr>
      </w:pPr>
    </w:p>
    <w:p w:rsidR="00296D5D" w:rsidRPr="006D0278" w:rsidRDefault="008E706C" w:rsidP="008D286F">
      <w:pPr>
        <w:ind w:left="720"/>
        <w:jc w:val="both"/>
        <w:rPr>
          <w:lang w:val="nl-NL"/>
        </w:rPr>
      </w:pPr>
      <w:r w:rsidRPr="006D0278">
        <w:rPr>
          <w:lang w:val="nl-NL"/>
        </w:rPr>
        <w:t>Indien hij zijn aanvraag doet</w:t>
      </w:r>
      <w:r w:rsidRPr="006D0278">
        <w:rPr>
          <w:u w:val="single"/>
          <w:lang w:val="nl-NL"/>
        </w:rPr>
        <w:t xml:space="preserve"> vooraleer</w:t>
      </w:r>
      <w:r w:rsidRPr="006D0278">
        <w:rPr>
          <w:lang w:val="nl-NL"/>
        </w:rPr>
        <w:t xml:space="preserve"> hij zich in zijn nieuwe woning vestigt, zal hij zich moeten richten tot het OCMW van zijn huidige verblijfplaats en niet tot het OCMW van de gemeente op wier grondgebied zich zijn nieuwe woning bevindt.</w:t>
      </w:r>
    </w:p>
    <w:p w:rsidR="00296D5D" w:rsidRPr="006D0278" w:rsidRDefault="00296D5D" w:rsidP="008D286F">
      <w:pPr>
        <w:ind w:left="720"/>
        <w:jc w:val="both"/>
        <w:rPr>
          <w:lang w:val="nl-NL"/>
        </w:rPr>
      </w:pPr>
    </w:p>
    <w:p w:rsidR="00296D5D" w:rsidRPr="006D0278" w:rsidRDefault="008E706C" w:rsidP="00296D5D">
      <w:pPr>
        <w:ind w:left="720"/>
        <w:jc w:val="both"/>
        <w:rPr>
          <w:color w:val="000000"/>
          <w:lang w:val="nl-NL"/>
        </w:rPr>
      </w:pPr>
      <w:r w:rsidRPr="006D0278">
        <w:rPr>
          <w:color w:val="000000"/>
          <w:lang w:val="nl-NL"/>
        </w:rPr>
        <w:t xml:space="preserve">Wanneer de </w:t>
      </w:r>
      <w:r w:rsidRPr="006D0278">
        <w:rPr>
          <w:lang w:val="nl-NL"/>
        </w:rPr>
        <w:t xml:space="preserve">persoon het OCMW  steun vraagt inzake huurwaarborg, </w:t>
      </w:r>
      <w:r w:rsidRPr="006D0278">
        <w:rPr>
          <w:u w:val="single"/>
          <w:lang w:val="nl-NL"/>
        </w:rPr>
        <w:t xml:space="preserve"> nadat</w:t>
      </w:r>
      <w:r w:rsidRPr="006D0278">
        <w:rPr>
          <w:lang w:val="nl-NL"/>
        </w:rPr>
        <w:t xml:space="preserve"> hij zich in zijn nieuwe woning heeft gevestigd, zal hij zich dus moeten richten tot het gemeente waar zijn nieuwe woning zich bevindt. </w:t>
      </w:r>
      <w:r w:rsidRPr="006D0278">
        <w:rPr>
          <w:color w:val="000000"/>
          <w:lang w:val="nl-NL"/>
        </w:rPr>
        <w:t xml:space="preserve">Wanneer de aanvrager zich in de nieuwe gemeente heeft gevestigd, die voortaan zijn gewoonlijke en effectieve verblijfplaats zal worden, is het OCMW van deze nieuwe gemeente </w:t>
      </w:r>
      <w:r w:rsidR="00951DE5" w:rsidRPr="006D0278">
        <w:rPr>
          <w:color w:val="000000"/>
          <w:lang w:val="nl-NL"/>
        </w:rPr>
        <w:t xml:space="preserve">bevoegd. </w:t>
      </w:r>
    </w:p>
    <w:p w:rsidR="00296D5D" w:rsidRPr="006D0278" w:rsidRDefault="00296D5D" w:rsidP="008D286F">
      <w:pPr>
        <w:ind w:left="720"/>
        <w:jc w:val="both"/>
        <w:rPr>
          <w:lang w:val="nl-NL"/>
        </w:rPr>
      </w:pPr>
    </w:p>
    <w:p w:rsidR="00427D84" w:rsidRPr="006D0278" w:rsidRDefault="008E706C" w:rsidP="00427D84">
      <w:pPr>
        <w:ind w:left="720"/>
        <w:jc w:val="both"/>
        <w:rPr>
          <w:lang w:val="nl-NL"/>
        </w:rPr>
      </w:pPr>
      <w:r w:rsidRPr="006D0278">
        <w:rPr>
          <w:lang w:val="nl-NL"/>
        </w:rPr>
        <w:t>Bepaalde OCMW's verklaren zich, ten onrechte, onbevoegd omdat zij van mening zijn dat het OCMW van de plaats die men verlaat bevoegd is om een huurwaarborg toe te kennen. Welnu, het OCMW van de vroegere verblijfplaats is niet meer bevoegd om een huurwaarborg toe te kennen voor een gebouw dat in een andere gemeente is gevestigd en waarin de aanvrager reeds een bepaalde tijd verblijft. Het OCMW van de gemeente die de betrokkene heeft verlaten is niet meer bevoegd om een huurwaarborg toe te kennen, indien de betrokkene reeds op het grondgebied van een andere gemeente is gevestigd op het ogenblik van zijn steunaanvraag.</w:t>
      </w:r>
    </w:p>
    <w:p w:rsidR="00296D5D" w:rsidRPr="006D0278" w:rsidRDefault="00296D5D" w:rsidP="008D286F">
      <w:pPr>
        <w:ind w:left="720"/>
        <w:jc w:val="both"/>
        <w:rPr>
          <w:lang w:val="nl-NL"/>
        </w:rPr>
      </w:pPr>
    </w:p>
    <w:p w:rsidR="00296D5D" w:rsidRPr="006D0278" w:rsidRDefault="00296D5D" w:rsidP="008D286F">
      <w:pPr>
        <w:ind w:left="720"/>
        <w:jc w:val="both"/>
        <w:rPr>
          <w:lang w:val="nl-NL"/>
        </w:rPr>
      </w:pPr>
    </w:p>
    <w:p w:rsidR="00427D84" w:rsidRPr="001A3A9B" w:rsidRDefault="008E706C" w:rsidP="001A3A9B">
      <w:pPr>
        <w:ind w:firstLine="720"/>
        <w:rPr>
          <w:i/>
          <w:u w:val="single"/>
          <w:lang w:val="nl-NL"/>
        </w:rPr>
      </w:pPr>
      <w:r w:rsidRPr="001A3A9B">
        <w:rPr>
          <w:i/>
          <w:u w:val="single"/>
          <w:lang w:val="nl-NL"/>
        </w:rPr>
        <w:t>B. Achterstallige facturen</w:t>
      </w:r>
    </w:p>
    <w:p w:rsidR="00427D84" w:rsidRPr="006D0278" w:rsidRDefault="00427D84" w:rsidP="00427D84">
      <w:pPr>
        <w:autoSpaceDE w:val="0"/>
        <w:autoSpaceDN w:val="0"/>
        <w:adjustRightInd w:val="0"/>
        <w:jc w:val="both"/>
        <w:rPr>
          <w:lang w:val="nl-NL"/>
        </w:rPr>
      </w:pPr>
    </w:p>
    <w:p w:rsidR="00427D84" w:rsidRPr="006D0278" w:rsidRDefault="008E706C" w:rsidP="00427D84">
      <w:pPr>
        <w:autoSpaceDE w:val="0"/>
        <w:autoSpaceDN w:val="0"/>
        <w:adjustRightInd w:val="0"/>
        <w:ind w:left="720"/>
        <w:jc w:val="both"/>
        <w:rPr>
          <w:lang w:val="nl-NL"/>
        </w:rPr>
      </w:pPr>
      <w:r w:rsidRPr="006D0278">
        <w:rPr>
          <w:lang w:val="nl-NL"/>
        </w:rPr>
        <w:t>Wanneer de persoon een aanvraag tot maatschappelijke dienstverlening indient met het oog op de betaling van een factuur, is het OCMW van de gemeente waar hij gewoonlijk verblijft op het ogenblik van zijn aanvraag bevoegd om zijn aanvraag te onderzoeken.</w:t>
      </w:r>
    </w:p>
    <w:p w:rsidR="00296D5D" w:rsidRPr="006D0278" w:rsidRDefault="00296D5D" w:rsidP="008D286F">
      <w:pPr>
        <w:ind w:left="720"/>
        <w:jc w:val="both"/>
        <w:rPr>
          <w:lang w:val="nl-NL"/>
        </w:rPr>
      </w:pPr>
    </w:p>
    <w:p w:rsidR="00427D84" w:rsidRPr="006D0278" w:rsidRDefault="008E706C" w:rsidP="008D286F">
      <w:pPr>
        <w:ind w:left="720"/>
        <w:jc w:val="both"/>
        <w:rPr>
          <w:lang w:val="nl-NL"/>
        </w:rPr>
      </w:pPr>
      <w:r w:rsidRPr="006D0278">
        <w:rPr>
          <w:lang w:val="nl-NL"/>
        </w:rPr>
        <w:t>Het OCMW van de gemeente waar de persoon verblijft op het ogenblik van de steunaanvraag is bevoegd om de aanvraag tot tenlasteneming te onderzoeken van de achterstallige facturen voor waterverbruik die betrekking hebben op de oude woning gevestigd op het grondgebied van een andere gemeente.</w:t>
      </w:r>
    </w:p>
    <w:p w:rsidR="00427D84" w:rsidRPr="006D0278" w:rsidRDefault="00427D84" w:rsidP="008D286F">
      <w:pPr>
        <w:ind w:left="720"/>
        <w:jc w:val="both"/>
        <w:rPr>
          <w:lang w:val="nl-NL"/>
        </w:rPr>
      </w:pPr>
    </w:p>
    <w:p w:rsidR="009124F3" w:rsidRPr="006D0278" w:rsidRDefault="009124F3" w:rsidP="008D286F">
      <w:pPr>
        <w:ind w:left="720"/>
        <w:jc w:val="both"/>
        <w:rPr>
          <w:i/>
          <w:lang w:val="nl-NL"/>
        </w:rPr>
      </w:pPr>
    </w:p>
    <w:p w:rsidR="009124F3" w:rsidRPr="006D0278" w:rsidRDefault="008E706C" w:rsidP="008D286F">
      <w:pPr>
        <w:ind w:left="720"/>
        <w:jc w:val="both"/>
        <w:rPr>
          <w:i/>
          <w:lang w:val="nl-NL"/>
        </w:rPr>
      </w:pPr>
      <w:r w:rsidRPr="006D0278">
        <w:rPr>
          <w:i/>
          <w:u w:val="single"/>
          <w:lang w:val="nl-NL"/>
        </w:rPr>
        <w:t>Voorbeeld</w:t>
      </w:r>
      <w:r w:rsidRPr="006D0278">
        <w:rPr>
          <w:i/>
          <w:lang w:val="nl-NL"/>
        </w:rPr>
        <w:t xml:space="preserve">: </w:t>
      </w:r>
    </w:p>
    <w:p w:rsidR="009124F3" w:rsidRPr="006D0278" w:rsidRDefault="009124F3" w:rsidP="008D286F">
      <w:pPr>
        <w:ind w:left="720"/>
        <w:jc w:val="both"/>
        <w:rPr>
          <w:i/>
          <w:lang w:val="nl-NL"/>
        </w:rPr>
      </w:pPr>
    </w:p>
    <w:p w:rsidR="00427D84" w:rsidRPr="006D0278" w:rsidRDefault="008E706C" w:rsidP="008D286F">
      <w:pPr>
        <w:ind w:left="720"/>
        <w:jc w:val="both"/>
        <w:rPr>
          <w:i/>
          <w:lang w:val="nl-NL"/>
        </w:rPr>
      </w:pPr>
      <w:r w:rsidRPr="006D0278">
        <w:rPr>
          <w:i/>
          <w:lang w:val="nl-NL"/>
        </w:rPr>
        <w:t>De betrokkene verblijft in gemeente X en heeft een aanvraag tot maatschappelijke dienstverlening ingediend bij het OCMW van gemeente X voor de tenlasteneming van facturen voor de af</w:t>
      </w:r>
      <w:r w:rsidR="00951DE5">
        <w:rPr>
          <w:i/>
          <w:lang w:val="nl-NL"/>
        </w:rPr>
        <w:t>s</w:t>
      </w:r>
      <w:r w:rsidRPr="006D0278">
        <w:rPr>
          <w:i/>
          <w:lang w:val="nl-NL"/>
        </w:rPr>
        <w:t>luiting van water en elektriciteit van een vorige woning die gelegen was in gemeente Y. Het OCMW van gemeente X heeft zich onbevoegd verklaard op basis van artikel 1, 1°, van de wet van 02/04/1965 en heeft de aanvraag bezorgd aan het OCMW van gemeente Y, met als motief dat de betrokkene in gemeente Y verbleef en het energieverbruik betrekking had op de woning gevestigd in gemeente Y. Het OCMW van gemeente X is bevoegd om de steunaanvraag te onderzoeken, aangezien de betrokkene, op het ogenblik van zijn steunaanvraag, zijn gewoonlijke verblijfplaats had in gemeente X.</w:t>
      </w:r>
    </w:p>
    <w:p w:rsidR="00427D84" w:rsidRPr="006D0278" w:rsidRDefault="00427D84" w:rsidP="008D286F">
      <w:pPr>
        <w:ind w:left="720"/>
        <w:jc w:val="both"/>
        <w:rPr>
          <w:lang w:val="nl-NL"/>
        </w:rPr>
      </w:pPr>
    </w:p>
    <w:p w:rsidR="00427D84" w:rsidRPr="006D0278" w:rsidRDefault="00427D84" w:rsidP="008D286F">
      <w:pPr>
        <w:ind w:left="720"/>
        <w:jc w:val="both"/>
        <w:rPr>
          <w:lang w:val="nl-NL"/>
        </w:rPr>
      </w:pPr>
    </w:p>
    <w:p w:rsidR="00296D5D" w:rsidRPr="006D0278" w:rsidRDefault="008E706C" w:rsidP="00470771">
      <w:pPr>
        <w:pStyle w:val="Titre4"/>
        <w:ind w:left="540" w:firstLine="360"/>
        <w:rPr>
          <w:b w:val="0"/>
          <w:bCs w:val="0"/>
          <w:u w:val="single"/>
          <w:lang w:val="nl-NL"/>
        </w:rPr>
      </w:pPr>
      <w:bookmarkStart w:id="31" w:name="_Toc423509526"/>
      <w:r w:rsidRPr="006D0278">
        <w:rPr>
          <w:b w:val="0"/>
          <w:bCs w:val="0"/>
          <w:u w:val="single"/>
          <w:lang w:val="nl-NL"/>
        </w:rPr>
        <w:lastRenderedPageBreak/>
        <w:t>3.2. Bepaling van de gewoonlijke verblijfplaats</w:t>
      </w:r>
      <w:bookmarkEnd w:id="31"/>
    </w:p>
    <w:p w:rsidR="00537A63" w:rsidRPr="006D0278" w:rsidRDefault="00537A63" w:rsidP="00537A63">
      <w:pPr>
        <w:ind w:left="720"/>
        <w:jc w:val="both"/>
        <w:rPr>
          <w:lang w:val="nl-NL"/>
        </w:rPr>
      </w:pPr>
    </w:p>
    <w:p w:rsidR="00427D84" w:rsidRPr="006D0278" w:rsidRDefault="008E706C" w:rsidP="00537A63">
      <w:pPr>
        <w:ind w:left="720"/>
        <w:jc w:val="both"/>
        <w:rPr>
          <w:lang w:val="nl-NL"/>
        </w:rPr>
      </w:pPr>
      <w:r w:rsidRPr="006D0278">
        <w:rPr>
          <w:lang w:val="nl-NL"/>
        </w:rPr>
        <w:t>Het OCMW van de gemeente waar de persoon zijn</w:t>
      </w:r>
      <w:r w:rsidRPr="00CD7A69">
        <w:rPr>
          <w:b/>
          <w:lang w:val="nl-NL"/>
        </w:rPr>
        <w:t xml:space="preserve"> </w:t>
      </w:r>
      <w:r w:rsidRPr="006D0278">
        <w:rPr>
          <w:b/>
          <w:u w:val="single"/>
          <w:lang w:val="nl-NL"/>
        </w:rPr>
        <w:t xml:space="preserve">gewoonlijke en effectieve </w:t>
      </w:r>
      <w:r w:rsidRPr="006D0278">
        <w:rPr>
          <w:lang w:val="nl-NL"/>
        </w:rPr>
        <w:t>verblijfplaats heeft is bevoegd</w:t>
      </w:r>
      <w:r w:rsidR="001D57CE">
        <w:rPr>
          <w:lang w:val="nl-NL"/>
        </w:rPr>
        <w:t xml:space="preserve"> </w:t>
      </w:r>
      <w:r w:rsidRPr="006D0278">
        <w:rPr>
          <w:lang w:val="nl-NL"/>
        </w:rPr>
        <w:t>om hem steun te verlenen.</w:t>
      </w:r>
    </w:p>
    <w:p w:rsidR="00427D84" w:rsidRPr="006D0278" w:rsidRDefault="00427D84" w:rsidP="00427D84">
      <w:pPr>
        <w:ind w:left="720"/>
        <w:jc w:val="both"/>
        <w:rPr>
          <w:lang w:val="nl-NL"/>
        </w:rPr>
      </w:pPr>
    </w:p>
    <w:p w:rsidR="00427D84" w:rsidRPr="006D0278" w:rsidRDefault="008E706C" w:rsidP="00427D84">
      <w:pPr>
        <w:ind w:left="720"/>
        <w:jc w:val="both"/>
        <w:rPr>
          <w:lang w:val="nl-NL"/>
        </w:rPr>
      </w:pPr>
      <w:r w:rsidRPr="006D0278">
        <w:rPr>
          <w:lang w:val="nl-NL"/>
        </w:rPr>
        <w:t xml:space="preserve">De bepaling van de gewoonlijke verblijfplaats van de aanvrager is een </w:t>
      </w:r>
      <w:r w:rsidRPr="006D0278">
        <w:rPr>
          <w:b/>
          <w:u w:val="single"/>
          <w:lang w:val="nl-NL"/>
        </w:rPr>
        <w:t>feitelijke kwestie</w:t>
      </w:r>
      <w:r w:rsidRPr="006D0278">
        <w:rPr>
          <w:lang w:val="nl-NL"/>
        </w:rPr>
        <w:t xml:space="preserve"> en wordt afgeleid uit het geheel van feitelijke omstandigheden. </w:t>
      </w:r>
    </w:p>
    <w:p w:rsidR="00E8676F" w:rsidRPr="006D0278" w:rsidRDefault="00E8676F" w:rsidP="00427D84">
      <w:pPr>
        <w:ind w:left="720"/>
        <w:jc w:val="both"/>
        <w:rPr>
          <w:lang w:val="nl-NL"/>
        </w:rPr>
      </w:pPr>
    </w:p>
    <w:p w:rsidR="00E8676F" w:rsidRPr="006D0278" w:rsidRDefault="008E706C" w:rsidP="00E8676F">
      <w:pPr>
        <w:ind w:left="720"/>
        <w:jc w:val="both"/>
        <w:rPr>
          <w:lang w:val="nl-NL"/>
        </w:rPr>
      </w:pPr>
      <w:r w:rsidRPr="006D0278">
        <w:rPr>
          <w:lang w:val="nl-NL"/>
        </w:rPr>
        <w:t xml:space="preserve">De gemeente waar de persoon gedomicilieerd is (die wil zeggen ingeschreven in de rijksregisters) komt normaal overeen met zijn gewoonlijke verblijfplaats, maar niet noodzakelijk (een persoon kan, bijvoorbeeld, nog steeds gedomicilieerd zijn op een oud adres en feitelijk elders verblijven). De feitelijke </w:t>
      </w:r>
      <w:r w:rsidR="001D57CE">
        <w:rPr>
          <w:lang w:val="nl-NL"/>
        </w:rPr>
        <w:t>situatie</w:t>
      </w:r>
      <w:r w:rsidRPr="006D0278">
        <w:rPr>
          <w:lang w:val="nl-NL"/>
        </w:rPr>
        <w:t xml:space="preserve"> (verblijft de persoon gewoonlijk en effectief op het grondgebied van de gemeente?) </w:t>
      </w:r>
      <w:r w:rsidR="001D57CE">
        <w:rPr>
          <w:lang w:val="nl-NL"/>
        </w:rPr>
        <w:t>primeert</w:t>
      </w:r>
      <w:r w:rsidRPr="006D0278">
        <w:rPr>
          <w:lang w:val="nl-NL"/>
        </w:rPr>
        <w:t xml:space="preserve"> </w:t>
      </w:r>
      <w:r w:rsidR="001D57CE">
        <w:rPr>
          <w:lang w:val="nl-NL"/>
        </w:rPr>
        <w:t>op</w:t>
      </w:r>
      <w:r w:rsidRPr="006D0278">
        <w:rPr>
          <w:lang w:val="nl-NL"/>
        </w:rPr>
        <w:t xml:space="preserve"> de administratieve situatie (inschrijving in de rijksregisters).</w:t>
      </w:r>
    </w:p>
    <w:p w:rsidR="00E8676F" w:rsidRPr="006D0278" w:rsidRDefault="00E8676F" w:rsidP="00E8676F">
      <w:pPr>
        <w:ind w:left="720"/>
        <w:jc w:val="both"/>
        <w:rPr>
          <w:lang w:val="nl-NL"/>
        </w:rPr>
      </w:pPr>
    </w:p>
    <w:p w:rsidR="00E8676F" w:rsidRPr="006D0278" w:rsidRDefault="008E706C" w:rsidP="00E8676F">
      <w:pPr>
        <w:ind w:left="720"/>
        <w:jc w:val="both"/>
        <w:rPr>
          <w:lang w:val="nl-NL"/>
        </w:rPr>
      </w:pPr>
      <w:r w:rsidRPr="006D0278">
        <w:rPr>
          <w:u w:val="single"/>
          <w:lang w:val="nl-NL"/>
        </w:rPr>
        <w:t>De inschrijving in het bevolkingsregister</w:t>
      </w:r>
      <w:r w:rsidRPr="006D0278">
        <w:rPr>
          <w:lang w:val="nl-NL"/>
        </w:rPr>
        <w:t xml:space="preserve"> kan een aanwijzing zijn van een gewoonlijk verblijf in een bepaalde gemeente, maar zij vormt geen bepalend en beslissend element.</w:t>
      </w:r>
    </w:p>
    <w:p w:rsidR="00E8676F" w:rsidRPr="006D0278" w:rsidRDefault="00E8676F" w:rsidP="00E8676F">
      <w:pPr>
        <w:ind w:left="720"/>
        <w:jc w:val="both"/>
        <w:rPr>
          <w:lang w:val="nl-NL"/>
        </w:rPr>
      </w:pPr>
    </w:p>
    <w:p w:rsidR="00E8676F" w:rsidRPr="006D0278" w:rsidRDefault="008E706C" w:rsidP="00E8676F">
      <w:pPr>
        <w:autoSpaceDE w:val="0"/>
        <w:autoSpaceDN w:val="0"/>
        <w:adjustRightInd w:val="0"/>
        <w:ind w:left="720"/>
        <w:jc w:val="both"/>
        <w:rPr>
          <w:u w:val="single"/>
          <w:lang w:val="nl-NL"/>
        </w:rPr>
      </w:pPr>
      <w:r w:rsidRPr="006D0278">
        <w:rPr>
          <w:lang w:val="nl-NL"/>
        </w:rPr>
        <w:t>Het bevoegd OCMW wordt bepaald ten aanzien van de gewoonlijke en effectieve verblijfplaats en niet van de inschrijvingsplaats in de bevolkingsregisters.</w:t>
      </w:r>
    </w:p>
    <w:p w:rsidR="00E8676F" w:rsidRPr="006D0278" w:rsidRDefault="00E8676F" w:rsidP="008D286F">
      <w:pPr>
        <w:pStyle w:val="Letter"/>
        <w:ind w:left="720"/>
        <w:jc w:val="both"/>
        <w:rPr>
          <w:rFonts w:ascii="Times New Roman" w:hAnsi="Times New Roman"/>
          <w:i/>
          <w:sz w:val="24"/>
          <w:szCs w:val="24"/>
          <w:lang w:val="nl-NL"/>
        </w:rPr>
      </w:pPr>
    </w:p>
    <w:p w:rsidR="00AD4B7C" w:rsidRPr="006D0278" w:rsidRDefault="008E706C" w:rsidP="00427D84">
      <w:pPr>
        <w:pStyle w:val="Opmaakprofiel1"/>
        <w:ind w:left="720"/>
        <w:rPr>
          <w:u w:val="none"/>
        </w:rPr>
      </w:pPr>
      <w:r w:rsidRPr="006D0278">
        <w:rPr>
          <w:u w:val="none"/>
        </w:rPr>
        <w:t>De duur van het verblijf vormt geen bepalend element om de gewoonlijke verblijfplaats vast te stellen.</w:t>
      </w:r>
    </w:p>
    <w:p w:rsidR="00AD4B7C" w:rsidRPr="006D0278" w:rsidRDefault="00AD4B7C" w:rsidP="00AD4B7C">
      <w:pPr>
        <w:pStyle w:val="Opmaakprofiel1"/>
        <w:ind w:left="720"/>
        <w:rPr>
          <w:u w:val="none"/>
        </w:rPr>
      </w:pPr>
    </w:p>
    <w:p w:rsidR="00427D84" w:rsidRPr="006D0278" w:rsidRDefault="008E706C" w:rsidP="00427D84">
      <w:pPr>
        <w:pStyle w:val="Opmaakprofiel1"/>
        <w:ind w:left="720"/>
        <w:rPr>
          <w:bCs/>
          <w:i/>
        </w:rPr>
      </w:pPr>
      <w:r w:rsidRPr="006D0278">
        <w:rPr>
          <w:bCs/>
          <w:i/>
        </w:rPr>
        <w:t xml:space="preserve">Voorbeeld: </w:t>
      </w:r>
    </w:p>
    <w:p w:rsidR="00427D84" w:rsidRPr="006D0278" w:rsidRDefault="008E706C" w:rsidP="00427D84">
      <w:pPr>
        <w:pStyle w:val="Opmaakprofiel1"/>
        <w:ind w:left="720"/>
        <w:rPr>
          <w:i/>
          <w:u w:val="none"/>
        </w:rPr>
      </w:pPr>
      <w:r w:rsidRPr="006D0278">
        <w:rPr>
          <w:i/>
          <w:u w:val="none"/>
        </w:rPr>
        <w:t>Een persoon is gedomicilieerd in gemeente X; hij heeft zijn domicilie definitief moeten verlaten en verblijft sinds 2 weken bij een kennis in gemeente Y, in afwachting van het vinden van een andere woning.</w:t>
      </w:r>
    </w:p>
    <w:p w:rsidR="00427D84" w:rsidRPr="006D0278" w:rsidRDefault="008E706C" w:rsidP="00427D84">
      <w:pPr>
        <w:pStyle w:val="Opmaakprofiel1"/>
        <w:ind w:left="720"/>
        <w:rPr>
          <w:i/>
          <w:u w:val="none"/>
        </w:rPr>
      </w:pPr>
      <w:r w:rsidRPr="006D0278">
        <w:rPr>
          <w:i/>
          <w:u w:val="none"/>
        </w:rPr>
        <w:t xml:space="preserve">Zijn gewoonlijke verblijfplaats bevindt zich in gemeente Y, zelfs al verblijft hij er pas twee weken en is hij nog steeds gedomicilieerd in gemeente X. </w:t>
      </w:r>
    </w:p>
    <w:p w:rsidR="00427D84" w:rsidRPr="006D0278" w:rsidRDefault="00427D84" w:rsidP="00AD4B7C">
      <w:pPr>
        <w:pStyle w:val="Opmaakprofiel1"/>
        <w:ind w:left="720"/>
        <w:rPr>
          <w:u w:val="none"/>
        </w:rPr>
      </w:pPr>
    </w:p>
    <w:p w:rsidR="00427D84" w:rsidRPr="006D0278" w:rsidRDefault="00427D84" w:rsidP="00AD4B7C">
      <w:pPr>
        <w:pStyle w:val="Opmaakprofiel1"/>
        <w:ind w:left="720"/>
        <w:rPr>
          <w:u w:val="none"/>
        </w:rPr>
      </w:pPr>
    </w:p>
    <w:p w:rsidR="00537A63" w:rsidRPr="006D0278" w:rsidRDefault="008E706C" w:rsidP="00470771">
      <w:pPr>
        <w:pStyle w:val="Titre4"/>
        <w:ind w:left="540" w:firstLine="360"/>
        <w:rPr>
          <w:b w:val="0"/>
          <w:bCs w:val="0"/>
          <w:u w:val="single"/>
          <w:lang w:val="nl-NL"/>
        </w:rPr>
      </w:pPr>
      <w:bookmarkStart w:id="32" w:name="_Toc423509527"/>
      <w:r w:rsidRPr="006D0278">
        <w:rPr>
          <w:b w:val="0"/>
          <w:bCs w:val="0"/>
          <w:u w:val="single"/>
          <w:lang w:val="nl-NL"/>
        </w:rPr>
        <w:t>3.3. De toevallige verblijfplaats</w:t>
      </w:r>
      <w:bookmarkEnd w:id="32"/>
    </w:p>
    <w:p w:rsidR="00537A63" w:rsidRPr="006D0278" w:rsidRDefault="00537A63" w:rsidP="00537A63">
      <w:pPr>
        <w:pStyle w:val="Opmaakprofiel1"/>
        <w:ind w:left="720"/>
      </w:pPr>
    </w:p>
    <w:p w:rsidR="00AD4B7C" w:rsidRPr="006D0278" w:rsidRDefault="008E706C" w:rsidP="00537A63">
      <w:pPr>
        <w:pStyle w:val="Opmaakprofiel1"/>
        <w:ind w:left="720"/>
        <w:rPr>
          <w:u w:val="none"/>
        </w:rPr>
      </w:pPr>
      <w:r w:rsidRPr="006D0278">
        <w:rPr>
          <w:u w:val="none"/>
        </w:rPr>
        <w:t>De toevallige verblijfplaats is die waar men op doortocht is, die waar de betrokkene regelmatig terugkeert, zonder dat het zijn belangrijkste levensplaats is; wat veronderstelt dat de betrokkene over een andere verblijfplaats beschikt die zijn gewoonlijke verblijfplaats is.</w:t>
      </w:r>
    </w:p>
    <w:p w:rsidR="00AD4B7C" w:rsidRPr="006D0278" w:rsidRDefault="00AD4B7C" w:rsidP="00AD4B7C">
      <w:pPr>
        <w:pStyle w:val="Opmaakprofiel1"/>
        <w:ind w:left="720"/>
        <w:rPr>
          <w:u w:val="none"/>
        </w:rPr>
      </w:pPr>
    </w:p>
    <w:p w:rsidR="00427D84" w:rsidRPr="006D0278" w:rsidRDefault="008E706C" w:rsidP="00427D84">
      <w:pPr>
        <w:ind w:left="720"/>
        <w:jc w:val="both"/>
        <w:rPr>
          <w:lang w:val="nl-NL"/>
        </w:rPr>
      </w:pPr>
      <w:r w:rsidRPr="006D0278">
        <w:rPr>
          <w:lang w:val="nl-NL"/>
        </w:rPr>
        <w:t>Wanneer de persoon</w:t>
      </w:r>
      <w:r w:rsidRPr="006D0278">
        <w:rPr>
          <w:u w:val="single"/>
          <w:lang w:val="nl-NL"/>
        </w:rPr>
        <w:t xml:space="preserve"> op een camping verblijft</w:t>
      </w:r>
      <w:r w:rsidRPr="006D0278">
        <w:rPr>
          <w:lang w:val="nl-NL"/>
        </w:rPr>
        <w:t>, kan die beschouwd worden als een gewoonlijke of toevallige verblijfplaats, volgens de feitelijke omstandigheden.</w:t>
      </w:r>
    </w:p>
    <w:p w:rsidR="00D03B04" w:rsidRDefault="00D03B04" w:rsidP="00427D84">
      <w:pPr>
        <w:ind w:left="720"/>
        <w:rPr>
          <w:b/>
          <w:lang w:val="nl-NL"/>
        </w:rPr>
      </w:pPr>
    </w:p>
    <w:p w:rsidR="00452184" w:rsidRPr="006D0278" w:rsidRDefault="00452184" w:rsidP="00427D84">
      <w:pPr>
        <w:ind w:left="720"/>
        <w:rPr>
          <w:b/>
          <w:lang w:val="nl-NL"/>
        </w:rPr>
      </w:pPr>
    </w:p>
    <w:p w:rsidR="00D03B04" w:rsidRPr="006D0278" w:rsidRDefault="008E706C" w:rsidP="00427D84">
      <w:pPr>
        <w:ind w:left="720"/>
        <w:rPr>
          <w:bCs/>
          <w:i/>
          <w:lang w:val="nl-NL"/>
        </w:rPr>
      </w:pPr>
      <w:r w:rsidRPr="006D0278">
        <w:rPr>
          <w:bCs/>
          <w:i/>
          <w:u w:val="single"/>
          <w:lang w:val="nl-NL"/>
        </w:rPr>
        <w:t>Voorbeeld</w:t>
      </w:r>
      <w:r w:rsidRPr="006D0278">
        <w:rPr>
          <w:bCs/>
          <w:i/>
          <w:lang w:val="nl-NL"/>
        </w:rPr>
        <w:t>:</w:t>
      </w:r>
    </w:p>
    <w:p w:rsidR="00D03B04" w:rsidRPr="006D0278" w:rsidRDefault="00D03B04" w:rsidP="00427D84">
      <w:pPr>
        <w:ind w:left="720"/>
        <w:rPr>
          <w:bCs/>
          <w:lang w:val="nl-NL"/>
        </w:rPr>
      </w:pPr>
    </w:p>
    <w:p w:rsidR="00D03B04" w:rsidRPr="006D0278" w:rsidRDefault="008E706C" w:rsidP="00D03B04">
      <w:pPr>
        <w:ind w:left="720"/>
        <w:jc w:val="both"/>
        <w:rPr>
          <w:b/>
          <w:i/>
          <w:lang w:val="nl-NL"/>
        </w:rPr>
      </w:pPr>
      <w:r w:rsidRPr="006D0278">
        <w:rPr>
          <w:bCs/>
          <w:i/>
          <w:lang w:val="nl-NL"/>
        </w:rPr>
        <w:t>De betrokkene verblijft op een camping die gevestigd is in gemeente X en heeft geen andere verblijfplaats. Het OCMW van gemeente X is bevoegd om de steunaanvraag te onderzoeken, aangezien de betrokkene gewoonlijk op het grondgebied van gemeente X verbleef op het ogenblik van zijn steunaanvraag</w:t>
      </w:r>
      <w:r w:rsidRPr="006D0278">
        <w:rPr>
          <w:b/>
          <w:i/>
          <w:lang w:val="nl-NL"/>
        </w:rPr>
        <w:t>.</w:t>
      </w:r>
    </w:p>
    <w:p w:rsidR="00D03B04" w:rsidRPr="006D0278" w:rsidRDefault="008E706C" w:rsidP="00D03B04">
      <w:pPr>
        <w:spacing w:after="200"/>
        <w:ind w:left="720"/>
        <w:jc w:val="both"/>
        <w:rPr>
          <w:i/>
          <w:lang w:val="nl-NL"/>
        </w:rPr>
      </w:pPr>
      <w:r w:rsidRPr="006D0278">
        <w:rPr>
          <w:i/>
          <w:lang w:val="nl-NL"/>
        </w:rPr>
        <w:lastRenderedPageBreak/>
        <w:t>Als de persoon, echter, over een woning beschikt op het grondgebied van een andere gemeente en enkele weken op de camping doorbrengt, moet zijn aanwezigheid op de camping beschouwd worden als een toevallige aanwezigheid.</w:t>
      </w:r>
    </w:p>
    <w:p w:rsidR="00D03B04" w:rsidRPr="006D0278" w:rsidRDefault="00D03B04" w:rsidP="00D03B04">
      <w:pPr>
        <w:ind w:left="720"/>
        <w:jc w:val="both"/>
        <w:rPr>
          <w:b/>
          <w:bCs/>
          <w:i/>
          <w:lang w:val="nl-NL"/>
        </w:rPr>
      </w:pPr>
    </w:p>
    <w:p w:rsidR="00D03B04" w:rsidRPr="006D0278" w:rsidRDefault="008E706C" w:rsidP="00D03B04">
      <w:pPr>
        <w:ind w:left="720"/>
        <w:jc w:val="both"/>
        <w:rPr>
          <w:b/>
          <w:bCs/>
          <w:i/>
          <w:lang w:val="nl-NL"/>
        </w:rPr>
      </w:pPr>
      <w:r w:rsidRPr="006D0278">
        <w:rPr>
          <w:lang w:val="nl-NL"/>
        </w:rPr>
        <w:t>Hetzelfde geldt voor het</w:t>
      </w:r>
      <w:r w:rsidRPr="006D0278">
        <w:rPr>
          <w:u w:val="single"/>
          <w:lang w:val="nl-NL"/>
        </w:rPr>
        <w:t xml:space="preserve"> verblijf van de persoon in een afkickcentrum of in een </w:t>
      </w:r>
      <w:r w:rsidR="00024247" w:rsidRPr="006D0278">
        <w:rPr>
          <w:u w:val="single"/>
          <w:lang w:val="nl-NL"/>
        </w:rPr>
        <w:t>ziekenhuis</w:t>
      </w:r>
      <w:r w:rsidR="00024247" w:rsidRPr="006D0278">
        <w:rPr>
          <w:lang w:val="nl-NL"/>
        </w:rPr>
        <w:t>;</w:t>
      </w:r>
      <w:r w:rsidRPr="006D0278">
        <w:rPr>
          <w:lang w:val="nl-NL"/>
        </w:rPr>
        <w:t xml:space="preserve"> dit kan beschouwd worden als een gewoonlijk of toevallig verblijf, naar gelang de feitelijke omstandigheden.</w:t>
      </w:r>
    </w:p>
    <w:p w:rsidR="00D03B04" w:rsidRDefault="00D03B04" w:rsidP="00D03B04">
      <w:pPr>
        <w:ind w:left="720"/>
        <w:jc w:val="both"/>
        <w:rPr>
          <w:lang w:val="nl-NL" w:eastAsia="en-GB"/>
        </w:rPr>
      </w:pPr>
    </w:p>
    <w:p w:rsidR="00452184" w:rsidRPr="006D0278" w:rsidRDefault="00452184" w:rsidP="00D03B04">
      <w:pPr>
        <w:ind w:left="720"/>
        <w:jc w:val="both"/>
        <w:rPr>
          <w:lang w:val="nl-NL" w:eastAsia="en-GB"/>
        </w:rPr>
      </w:pPr>
    </w:p>
    <w:p w:rsidR="00D03B04" w:rsidRPr="006D0278" w:rsidRDefault="008E706C" w:rsidP="00D03B04">
      <w:pPr>
        <w:ind w:left="720"/>
        <w:jc w:val="both"/>
        <w:rPr>
          <w:i/>
          <w:lang w:val="nl-NL" w:eastAsia="en-GB"/>
        </w:rPr>
      </w:pPr>
      <w:r w:rsidRPr="006D0278">
        <w:rPr>
          <w:i/>
          <w:u w:val="single"/>
          <w:lang w:val="nl-NL" w:eastAsia="en-GB"/>
        </w:rPr>
        <w:t>Voorbeeld</w:t>
      </w:r>
      <w:r w:rsidRPr="006D0278">
        <w:rPr>
          <w:i/>
          <w:lang w:val="nl-NL" w:eastAsia="en-GB"/>
        </w:rPr>
        <w:t xml:space="preserve">: </w:t>
      </w:r>
    </w:p>
    <w:p w:rsidR="00D03B04" w:rsidRPr="006D0278" w:rsidRDefault="00D03B04" w:rsidP="00D03B04">
      <w:pPr>
        <w:ind w:left="720"/>
        <w:jc w:val="both"/>
        <w:rPr>
          <w:i/>
          <w:lang w:val="nl-NL" w:eastAsia="en-GB"/>
        </w:rPr>
      </w:pPr>
    </w:p>
    <w:p w:rsidR="00D03B04" w:rsidRPr="006D0278" w:rsidRDefault="008E706C" w:rsidP="00D03B04">
      <w:pPr>
        <w:ind w:left="720"/>
        <w:jc w:val="both"/>
        <w:rPr>
          <w:i/>
          <w:lang w:val="nl-NL" w:eastAsia="en-GB"/>
        </w:rPr>
      </w:pPr>
      <w:r w:rsidRPr="006D0278">
        <w:rPr>
          <w:i/>
          <w:lang w:val="nl-NL"/>
        </w:rPr>
        <w:t>De betrokkene beschikt over een verblijf in gemeente X en verbleef er vóór zijn verblijf in het afkickcentrum voor verslaafden, gevestigd in gemeente Y. Hij zal, na zijn verblijf in het afkickcentrum, terugkeren naar zijn woning. In dit geval kan beschouwd worden dat de betrokkene toevallig in gemeente Y verbleef, met het oog op zijn behandeling in het afkickcentrum voor verslaafden en dat hij zijn gewoonlijke verblijfplaats in gemeente X heeft behouden.</w:t>
      </w:r>
    </w:p>
    <w:p w:rsidR="00D03B04" w:rsidRPr="006D0278" w:rsidRDefault="00D03B04" w:rsidP="00D03B04">
      <w:pPr>
        <w:ind w:left="720"/>
        <w:jc w:val="both"/>
        <w:rPr>
          <w:i/>
          <w:lang w:val="nl-NL" w:eastAsia="en-GB"/>
        </w:rPr>
      </w:pPr>
    </w:p>
    <w:p w:rsidR="00D03B04" w:rsidRPr="006D0278" w:rsidRDefault="008E706C" w:rsidP="00D03B04">
      <w:pPr>
        <w:ind w:left="720"/>
        <w:jc w:val="both"/>
        <w:rPr>
          <w:i/>
          <w:lang w:val="nl-NL" w:eastAsia="en-GB"/>
        </w:rPr>
      </w:pPr>
      <w:r w:rsidRPr="006D0278">
        <w:rPr>
          <w:i/>
          <w:lang w:val="nl-NL" w:eastAsia="en-GB"/>
        </w:rPr>
        <w:t xml:space="preserve">Als, op het ogenblik van zijn aanvraag, de betrokkene, daarentegen, noch domicilie, noch hoofdverblijfplaats had op het ogenblik dat hij werd opgenomen in het afkickcentrum, is het OCMW van de gemeente waar het afkickcentrum is gevestigd of waar de betrokkene verblijft, bevoegd. </w:t>
      </w:r>
    </w:p>
    <w:p w:rsidR="00C626B8" w:rsidRPr="006D0278" w:rsidRDefault="00C626B8" w:rsidP="00470771">
      <w:pPr>
        <w:pStyle w:val="Titre2"/>
        <w:rPr>
          <w:sz w:val="28"/>
          <w:lang w:val="nl-NL"/>
        </w:rPr>
      </w:pPr>
      <w:bookmarkStart w:id="33" w:name="_Toc51469040"/>
      <w:bookmarkStart w:id="34" w:name="_Toc70850285"/>
    </w:p>
    <w:p w:rsidR="00C626B8" w:rsidRPr="006D0278" w:rsidRDefault="00C626B8" w:rsidP="00470771">
      <w:pPr>
        <w:pStyle w:val="Titre2"/>
        <w:rPr>
          <w:sz w:val="28"/>
          <w:lang w:val="nl-NL"/>
        </w:rPr>
      </w:pPr>
    </w:p>
    <w:p w:rsidR="00C626B8" w:rsidRPr="006D0278" w:rsidRDefault="00C626B8" w:rsidP="00470771">
      <w:pPr>
        <w:pStyle w:val="Titre2"/>
        <w:rPr>
          <w:sz w:val="28"/>
          <w:lang w:val="nl-NL"/>
        </w:rPr>
      </w:pPr>
    </w:p>
    <w:p w:rsidR="00C86ACC" w:rsidRPr="006D0278" w:rsidRDefault="00C626B8" w:rsidP="00470771">
      <w:pPr>
        <w:pStyle w:val="Titre2"/>
        <w:rPr>
          <w:sz w:val="28"/>
          <w:lang w:val="nl-NL"/>
        </w:rPr>
      </w:pPr>
      <w:r w:rsidRPr="006D0278">
        <w:rPr>
          <w:sz w:val="28"/>
          <w:lang w:val="nl-NL"/>
        </w:rPr>
        <w:br w:type="page"/>
      </w:r>
      <w:bookmarkStart w:id="35" w:name="_Toc423509528"/>
      <w:r w:rsidR="008E706C" w:rsidRPr="006D0278">
        <w:rPr>
          <w:sz w:val="28"/>
          <w:lang w:val="nl-NL"/>
        </w:rPr>
        <w:lastRenderedPageBreak/>
        <w:t xml:space="preserve">3. Conflicten </w:t>
      </w:r>
      <w:r w:rsidR="00024247">
        <w:rPr>
          <w:sz w:val="28"/>
          <w:lang w:val="nl-NL"/>
        </w:rPr>
        <w:t>m.b.t. de hulpaanvrager</w:t>
      </w:r>
      <w:r w:rsidR="008E706C" w:rsidRPr="006D0278">
        <w:rPr>
          <w:sz w:val="28"/>
          <w:lang w:val="nl-NL"/>
        </w:rPr>
        <w:t xml:space="preserve"> die in een instelling verblijft</w:t>
      </w:r>
      <w:bookmarkEnd w:id="35"/>
      <w:r w:rsidR="008E706C" w:rsidRPr="006D0278">
        <w:rPr>
          <w:sz w:val="28"/>
          <w:lang w:val="nl-NL"/>
        </w:rPr>
        <w:t xml:space="preserve"> </w:t>
      </w:r>
    </w:p>
    <w:p w:rsidR="00C86ACC" w:rsidRPr="006D0278" w:rsidRDefault="00C86ACC" w:rsidP="00C86ACC">
      <w:pPr>
        <w:rPr>
          <w:lang w:val="nl-NL"/>
        </w:rPr>
      </w:pPr>
    </w:p>
    <w:p w:rsidR="00C86ACC" w:rsidRPr="006D0278" w:rsidRDefault="008E706C" w:rsidP="000D1800">
      <w:pPr>
        <w:pStyle w:val="Titre3"/>
        <w:rPr>
          <w:b/>
          <w:bCs/>
          <w:sz w:val="24"/>
          <w:u w:val="single"/>
          <w:lang w:val="nl-NL"/>
        </w:rPr>
      </w:pPr>
      <w:bookmarkStart w:id="36" w:name="_Toc423509529"/>
      <w:bookmarkEnd w:id="33"/>
      <w:bookmarkEnd w:id="34"/>
      <w:r w:rsidRPr="006D0278">
        <w:rPr>
          <w:b/>
          <w:bCs/>
          <w:sz w:val="24"/>
          <w:u w:val="single"/>
          <w:lang w:val="nl-NL"/>
        </w:rPr>
        <w:t xml:space="preserve">1. Aantal dossiers in </w:t>
      </w:r>
      <w:r w:rsidR="00B55B55" w:rsidRPr="006D0278">
        <w:rPr>
          <w:b/>
          <w:bCs/>
          <w:sz w:val="24"/>
          <w:u w:val="single"/>
          <w:lang w:val="nl-NL"/>
        </w:rPr>
        <w:t>201</w:t>
      </w:r>
      <w:r w:rsidR="004D4093">
        <w:rPr>
          <w:b/>
          <w:bCs/>
          <w:sz w:val="24"/>
          <w:u w:val="single"/>
          <w:lang w:val="nl-NL"/>
        </w:rPr>
        <w:t>4</w:t>
      </w:r>
      <w:bookmarkEnd w:id="36"/>
      <w:r w:rsidR="00B55B55" w:rsidRPr="006D0278">
        <w:rPr>
          <w:b/>
          <w:bCs/>
          <w:sz w:val="24"/>
          <w:u w:val="single"/>
          <w:lang w:val="nl-NL"/>
        </w:rPr>
        <w:t xml:space="preserve"> </w:t>
      </w:r>
    </w:p>
    <w:p w:rsidR="00C86ACC" w:rsidRPr="006D0278" w:rsidRDefault="00C86ACC" w:rsidP="00C86ACC">
      <w:pPr>
        <w:pStyle w:val="Opmaakprofiel1"/>
        <w:ind w:left="720" w:firstLine="720"/>
        <w:rPr>
          <w:u w:val="none"/>
        </w:rPr>
      </w:pPr>
    </w:p>
    <w:p w:rsidR="00C86ACC" w:rsidRPr="0089115D" w:rsidRDefault="00B55B55" w:rsidP="00C86ACC">
      <w:pPr>
        <w:pStyle w:val="Opmaakprofiel1"/>
        <w:ind w:left="720" w:firstLine="720"/>
      </w:pPr>
      <w:r w:rsidRPr="0089115D">
        <w:t>1</w:t>
      </w:r>
      <w:r w:rsidR="004D4093">
        <w:t>15</w:t>
      </w:r>
      <w:r w:rsidRPr="0089115D">
        <w:t xml:space="preserve"> </w:t>
      </w:r>
      <w:r w:rsidR="008E706C" w:rsidRPr="0089115D">
        <w:t xml:space="preserve">dossiers op </w:t>
      </w:r>
      <w:r w:rsidRPr="0089115D">
        <w:t>4</w:t>
      </w:r>
      <w:r w:rsidR="004D4093">
        <w:t>9</w:t>
      </w:r>
      <w:r w:rsidRPr="0089115D">
        <w:t xml:space="preserve">3 </w:t>
      </w:r>
      <w:r w:rsidR="008E706C" w:rsidRPr="0089115D">
        <w:t xml:space="preserve">ontvankelijke dossiers, hetzij </w:t>
      </w:r>
      <w:r w:rsidR="004D4093">
        <w:t>24</w:t>
      </w:r>
      <w:r w:rsidRPr="0089115D">
        <w:t xml:space="preserve"> </w:t>
      </w:r>
      <w:r w:rsidR="008E706C" w:rsidRPr="0089115D">
        <w:t>%</w:t>
      </w:r>
    </w:p>
    <w:p w:rsidR="00C86ACC" w:rsidRPr="006D0278" w:rsidRDefault="008E706C" w:rsidP="00C86ACC">
      <w:pPr>
        <w:ind w:left="720" w:firstLine="720"/>
        <w:jc w:val="both"/>
        <w:rPr>
          <w:lang w:val="nl-NL"/>
        </w:rPr>
      </w:pPr>
      <w:r w:rsidRPr="006D0278">
        <w:rPr>
          <w:lang w:val="nl-NL"/>
        </w:rPr>
        <w:t xml:space="preserve">Nederlandstalige dossiers: </w:t>
      </w:r>
      <w:r w:rsidR="004D4093">
        <w:rPr>
          <w:lang w:val="nl-NL"/>
        </w:rPr>
        <w:t>43</w:t>
      </w:r>
      <w:r w:rsidR="00B55B55" w:rsidRPr="006D0278">
        <w:rPr>
          <w:lang w:val="nl-NL"/>
        </w:rPr>
        <w:t xml:space="preserve"> </w:t>
      </w:r>
      <w:r w:rsidRPr="006D0278">
        <w:rPr>
          <w:lang w:val="nl-NL"/>
        </w:rPr>
        <w:t xml:space="preserve">op </w:t>
      </w:r>
      <w:r w:rsidR="004D4093">
        <w:rPr>
          <w:lang w:val="nl-NL"/>
        </w:rPr>
        <w:t>180</w:t>
      </w:r>
      <w:r w:rsidR="00B55B55" w:rsidRPr="006D0278">
        <w:rPr>
          <w:lang w:val="nl-NL"/>
        </w:rPr>
        <w:t xml:space="preserve"> </w:t>
      </w:r>
      <w:r w:rsidRPr="006D0278">
        <w:rPr>
          <w:lang w:val="nl-NL"/>
        </w:rPr>
        <w:t xml:space="preserve">ontvankelijke dossiers, hetzij </w:t>
      </w:r>
      <w:r w:rsidR="004D4093">
        <w:rPr>
          <w:lang w:val="nl-NL"/>
        </w:rPr>
        <w:t>24</w:t>
      </w:r>
      <w:r w:rsidRPr="006D0278">
        <w:rPr>
          <w:lang w:val="nl-NL"/>
        </w:rPr>
        <w:t xml:space="preserve"> %</w:t>
      </w:r>
    </w:p>
    <w:p w:rsidR="00C86ACC" w:rsidRPr="006D0278" w:rsidRDefault="008E706C" w:rsidP="00C86ACC">
      <w:pPr>
        <w:ind w:left="720" w:firstLine="720"/>
        <w:jc w:val="both"/>
        <w:rPr>
          <w:lang w:val="nl-NL"/>
        </w:rPr>
      </w:pPr>
      <w:r w:rsidRPr="006D0278">
        <w:rPr>
          <w:lang w:val="nl-NL"/>
        </w:rPr>
        <w:t xml:space="preserve">Franstalige dossiers: </w:t>
      </w:r>
      <w:r w:rsidR="004D4093">
        <w:rPr>
          <w:lang w:val="nl-NL"/>
        </w:rPr>
        <w:t>7</w:t>
      </w:r>
      <w:r w:rsidR="00B55B55">
        <w:rPr>
          <w:lang w:val="nl-NL"/>
        </w:rPr>
        <w:t>0</w:t>
      </w:r>
      <w:r w:rsidR="00B55B55" w:rsidRPr="006D0278">
        <w:rPr>
          <w:lang w:val="nl-NL"/>
        </w:rPr>
        <w:t xml:space="preserve"> </w:t>
      </w:r>
      <w:r w:rsidRPr="006D0278">
        <w:rPr>
          <w:lang w:val="nl-NL"/>
        </w:rPr>
        <w:t xml:space="preserve">op </w:t>
      </w:r>
      <w:r w:rsidR="004D4093">
        <w:rPr>
          <w:lang w:val="nl-NL"/>
        </w:rPr>
        <w:t>313</w:t>
      </w:r>
      <w:r w:rsidR="00B55B55" w:rsidRPr="006D0278">
        <w:rPr>
          <w:lang w:val="nl-NL"/>
        </w:rPr>
        <w:t xml:space="preserve"> </w:t>
      </w:r>
      <w:r w:rsidRPr="006D0278">
        <w:rPr>
          <w:lang w:val="nl-NL"/>
        </w:rPr>
        <w:t xml:space="preserve">ontvankelijke dossiers, hetzij </w:t>
      </w:r>
      <w:r w:rsidR="00CC5422">
        <w:rPr>
          <w:lang w:val="nl-NL"/>
        </w:rPr>
        <w:t>23</w:t>
      </w:r>
      <w:r w:rsidR="00B55B55" w:rsidRPr="006D0278">
        <w:rPr>
          <w:lang w:val="nl-NL"/>
        </w:rPr>
        <w:t xml:space="preserve"> </w:t>
      </w:r>
      <w:r w:rsidRPr="006D0278">
        <w:rPr>
          <w:lang w:val="nl-NL"/>
        </w:rPr>
        <w:t>%</w:t>
      </w:r>
    </w:p>
    <w:p w:rsidR="00C86ACC" w:rsidRPr="006D0278" w:rsidRDefault="00C86ACC" w:rsidP="00C86ACC">
      <w:pPr>
        <w:ind w:left="720"/>
        <w:jc w:val="both"/>
        <w:rPr>
          <w:lang w:val="nl-NL"/>
        </w:rPr>
      </w:pPr>
    </w:p>
    <w:p w:rsidR="00C86ACC" w:rsidRPr="000D1800" w:rsidRDefault="008E706C" w:rsidP="000D1800">
      <w:pPr>
        <w:pStyle w:val="Titre3"/>
        <w:rPr>
          <w:b/>
          <w:bCs/>
          <w:sz w:val="24"/>
          <w:u w:val="single"/>
        </w:rPr>
      </w:pPr>
      <w:bookmarkStart w:id="37" w:name="_Toc162863005"/>
      <w:bookmarkStart w:id="38" w:name="_Toc423509530"/>
      <w:r>
        <w:rPr>
          <w:b/>
          <w:bCs/>
          <w:sz w:val="24"/>
          <w:u w:val="single"/>
        </w:rPr>
        <w:t>2. Wettelijke bepaling</w:t>
      </w:r>
      <w:bookmarkEnd w:id="37"/>
      <w:bookmarkEnd w:id="38"/>
    </w:p>
    <w:p w:rsidR="00C86ACC" w:rsidRDefault="00C86ACC" w:rsidP="00C86ACC">
      <w:pPr>
        <w:ind w:left="1080"/>
        <w:jc w:val="both"/>
        <w:rPr>
          <w:lang w:val="fr-FR"/>
        </w:rPr>
      </w:pPr>
    </w:p>
    <w:tbl>
      <w:tblPr>
        <w:tblW w:w="8930" w:type="dxa"/>
        <w:tblInd w:w="534" w:type="dxa"/>
        <w:tblBorders>
          <w:top w:val="dotDash" w:sz="4" w:space="0" w:color="auto"/>
          <w:left w:val="dotDash" w:sz="4" w:space="0" w:color="auto"/>
          <w:bottom w:val="dotDash" w:sz="4" w:space="0" w:color="auto"/>
          <w:right w:val="dotDash" w:sz="4" w:space="0" w:color="auto"/>
        </w:tblBorders>
        <w:shd w:val="clear" w:color="auto" w:fill="CCFFFF"/>
        <w:tblLook w:val="01E0" w:firstRow="1" w:lastRow="1" w:firstColumn="1" w:lastColumn="1" w:noHBand="0" w:noVBand="0"/>
      </w:tblPr>
      <w:tblGrid>
        <w:gridCol w:w="1014"/>
        <w:gridCol w:w="360"/>
        <w:gridCol w:w="7556"/>
      </w:tblGrid>
      <w:tr w:rsidR="00C86ACC" w:rsidRPr="00655650" w:rsidTr="00521E4E">
        <w:tc>
          <w:tcPr>
            <w:tcW w:w="8930" w:type="dxa"/>
            <w:gridSpan w:val="3"/>
            <w:shd w:val="clear" w:color="auto" w:fill="CCFFFF"/>
          </w:tcPr>
          <w:p w:rsidR="00C86ACC" w:rsidRDefault="008E706C" w:rsidP="00CD7A69">
            <w:pPr>
              <w:jc w:val="both"/>
              <w:rPr>
                <w:shd w:val="clear" w:color="auto" w:fill="CCFFFF"/>
                <w:lang w:val="nl-NL"/>
              </w:rPr>
            </w:pPr>
            <w:r w:rsidRPr="00CD7A69">
              <w:rPr>
                <w:b/>
                <w:shd w:val="clear" w:color="auto" w:fill="CCFFFF"/>
                <w:lang w:val="nl-NL"/>
              </w:rPr>
              <w:t>Art. 2</w:t>
            </w:r>
            <w:r w:rsidRPr="006D0278">
              <w:rPr>
                <w:shd w:val="clear" w:color="auto" w:fill="CCFFFF"/>
                <w:lang w:val="nl-NL"/>
              </w:rPr>
              <w:t xml:space="preserve"> van de wet van 1965 april betreffende het ten laste nemen van de steun verleend door de openbare centra voor maatschappelijk welzijn:</w:t>
            </w:r>
          </w:p>
          <w:p w:rsidR="002F4F24" w:rsidRPr="006D0278" w:rsidRDefault="002F4F24" w:rsidP="00CD7A69">
            <w:pPr>
              <w:jc w:val="both"/>
              <w:rPr>
                <w:lang w:val="nl-NL"/>
              </w:rPr>
            </w:pPr>
          </w:p>
        </w:tc>
      </w:tr>
      <w:tr w:rsidR="00C86ACC" w:rsidRPr="00655650" w:rsidTr="00521E4E">
        <w:tc>
          <w:tcPr>
            <w:tcW w:w="8930" w:type="dxa"/>
            <w:gridSpan w:val="3"/>
            <w:shd w:val="clear" w:color="auto" w:fill="CCFFFF"/>
          </w:tcPr>
          <w:p w:rsidR="00C86ACC" w:rsidRPr="006D0278" w:rsidRDefault="008E706C" w:rsidP="004E3981">
            <w:pPr>
              <w:jc w:val="both"/>
              <w:rPr>
                <w:lang w:val="nl-NL"/>
              </w:rPr>
            </w:pPr>
            <w:r w:rsidRPr="006D0278">
              <w:rPr>
                <w:bCs/>
                <w:shd w:val="clear" w:color="auto" w:fill="CCFFFF"/>
                <w:lang w:val="nl-NL"/>
              </w:rPr>
              <w:t>« </w:t>
            </w:r>
            <w:r w:rsidRPr="006D0278">
              <w:rPr>
                <w:b/>
                <w:bCs/>
                <w:i/>
                <w:shd w:val="clear" w:color="auto" w:fill="CCFFFF"/>
                <w:lang w:val="nl-NL"/>
              </w:rPr>
              <w:t>§ 1</w:t>
            </w:r>
            <w:r w:rsidRPr="006D0278">
              <w:rPr>
                <w:bCs/>
                <w:i/>
                <w:shd w:val="clear" w:color="auto" w:fill="CCFFFF"/>
                <w:lang w:val="nl-NL"/>
              </w:rPr>
              <w:t>. In afwijking van artikel 1, 1°, is het openbaar centrum voor maatschappelijk welzijn van de gemeente waar de betrokkene op het ogenblik van zijn opneming in een instelling of bij een nagenoemd privaat persoon voor zijn hoofdverblijf in het bevolkings- of in het vreemdelingenregister of in het wachtregister was ingeschreven, bevoegd om de noodza</w:t>
            </w:r>
            <w:r w:rsidR="00024247">
              <w:rPr>
                <w:bCs/>
                <w:i/>
                <w:shd w:val="clear" w:color="auto" w:fill="CCFFFF"/>
                <w:lang w:val="nl-NL"/>
              </w:rPr>
              <w:t>ke</w:t>
            </w:r>
            <w:r w:rsidRPr="006D0278">
              <w:rPr>
                <w:bCs/>
                <w:i/>
                <w:shd w:val="clear" w:color="auto" w:fill="CCFFFF"/>
                <w:lang w:val="nl-NL"/>
              </w:rPr>
              <w:t>lijke steun te verlenen, indien de bijstand vereist is</w:t>
            </w:r>
          </w:p>
        </w:tc>
      </w:tr>
      <w:tr w:rsidR="00C86ACC" w:rsidRPr="00655650" w:rsidTr="00521E4E">
        <w:tc>
          <w:tcPr>
            <w:tcW w:w="1014" w:type="dxa"/>
            <w:shd w:val="clear" w:color="auto" w:fill="CCFFFF"/>
          </w:tcPr>
          <w:p w:rsidR="00C86ACC" w:rsidRPr="006D0278" w:rsidRDefault="00C86ACC" w:rsidP="004E3981">
            <w:pPr>
              <w:jc w:val="both"/>
              <w:rPr>
                <w:lang w:val="nl-NL"/>
              </w:rPr>
            </w:pPr>
          </w:p>
        </w:tc>
        <w:tc>
          <w:tcPr>
            <w:tcW w:w="7916" w:type="dxa"/>
            <w:gridSpan w:val="2"/>
            <w:shd w:val="clear" w:color="auto" w:fill="CCFFFF"/>
          </w:tcPr>
          <w:p w:rsidR="00C86ACC" w:rsidRPr="006D0278" w:rsidRDefault="008E706C" w:rsidP="004E3981">
            <w:pPr>
              <w:jc w:val="both"/>
              <w:rPr>
                <w:lang w:val="nl-NL"/>
              </w:rPr>
            </w:pPr>
            <w:r w:rsidRPr="006D0278">
              <w:rPr>
                <w:bCs/>
                <w:i/>
                <w:shd w:val="clear" w:color="auto" w:fill="CCFFFF"/>
                <w:lang w:val="nl-NL"/>
              </w:rPr>
              <w:t>1°</w:t>
            </w:r>
            <w:r w:rsidRPr="006D0278">
              <w:rPr>
                <w:bCs/>
                <w:i/>
                <w:u w:val="single"/>
                <w:shd w:val="clear" w:color="auto" w:fill="CCFFFF"/>
                <w:lang w:val="nl-NL"/>
              </w:rPr>
              <w:t>bij de opname</w:t>
            </w:r>
            <w:r w:rsidR="00024247">
              <w:rPr>
                <w:bCs/>
                <w:i/>
                <w:u w:val="single"/>
                <w:shd w:val="clear" w:color="auto" w:fill="CCFFFF"/>
                <w:lang w:val="nl-NL"/>
              </w:rPr>
              <w:t xml:space="preserve"> of </w:t>
            </w:r>
            <w:r w:rsidRPr="006D0278">
              <w:rPr>
                <w:bCs/>
                <w:i/>
                <w:u w:val="single"/>
                <w:shd w:val="clear" w:color="auto" w:fill="CCFFFF"/>
                <w:lang w:val="nl-NL"/>
              </w:rPr>
              <w:t>tijdens het verblijf</w:t>
            </w:r>
            <w:r w:rsidRPr="006D0278">
              <w:rPr>
                <w:bCs/>
                <w:i/>
                <w:shd w:val="clear" w:color="auto" w:fill="CCFFFF"/>
                <w:lang w:val="nl-NL"/>
              </w:rPr>
              <w:t xml:space="preserve"> van een persoon:</w:t>
            </w:r>
          </w:p>
        </w:tc>
      </w:tr>
      <w:tr w:rsidR="00C86ACC" w:rsidRPr="00655650" w:rsidTr="00521E4E">
        <w:tc>
          <w:tcPr>
            <w:tcW w:w="1014" w:type="dxa"/>
            <w:shd w:val="clear" w:color="auto" w:fill="CCFFFF"/>
          </w:tcPr>
          <w:p w:rsidR="00C86ACC" w:rsidRPr="006D0278" w:rsidRDefault="00C86ACC" w:rsidP="004E3981">
            <w:pPr>
              <w:jc w:val="both"/>
              <w:rPr>
                <w:lang w:val="nl-NL"/>
              </w:rPr>
            </w:pPr>
          </w:p>
        </w:tc>
        <w:tc>
          <w:tcPr>
            <w:tcW w:w="360" w:type="dxa"/>
            <w:shd w:val="clear" w:color="auto" w:fill="CCFFFF"/>
          </w:tcPr>
          <w:p w:rsidR="00C86ACC" w:rsidRPr="006D0278" w:rsidRDefault="00C86ACC" w:rsidP="004E3981">
            <w:pPr>
              <w:jc w:val="both"/>
              <w:rPr>
                <w:lang w:val="nl-NL"/>
              </w:rPr>
            </w:pPr>
          </w:p>
        </w:tc>
        <w:tc>
          <w:tcPr>
            <w:tcW w:w="7556" w:type="dxa"/>
            <w:shd w:val="clear" w:color="auto" w:fill="CCFFFF"/>
          </w:tcPr>
          <w:p w:rsidR="00C86ACC" w:rsidRPr="006D0278" w:rsidRDefault="008E706C" w:rsidP="00DA101F">
            <w:pPr>
              <w:numPr>
                <w:ilvl w:val="0"/>
                <w:numId w:val="5"/>
              </w:numPr>
              <w:tabs>
                <w:tab w:val="clear" w:pos="2520"/>
                <w:tab w:val="num" w:pos="432"/>
              </w:tabs>
              <w:ind w:left="432"/>
              <w:jc w:val="both"/>
              <w:rPr>
                <w:bCs/>
                <w:i/>
                <w:iCs/>
                <w:shd w:val="clear" w:color="auto" w:fill="CCFFFF"/>
                <w:lang w:val="nl-NL"/>
              </w:rPr>
            </w:pPr>
            <w:r w:rsidRPr="006D0278">
              <w:rPr>
                <w:bCs/>
                <w:i/>
                <w:shd w:val="clear" w:color="auto" w:fill="CCFFFF"/>
                <w:lang w:val="nl-NL"/>
              </w:rPr>
              <w:t>hetzij in een psychiatrisch ziekenhuis;</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shd w:val="clear" w:color="auto" w:fill="CCFFFF"/>
                <w:lang w:val="nl-NL"/>
              </w:rPr>
              <w:t>hetzij in een erkende instelling voor gehandicapten;</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shd w:val="clear" w:color="auto" w:fill="CCFFFF"/>
                <w:lang w:val="nl-NL"/>
              </w:rPr>
              <w:t>hetzij, zo het gaat om een minderjarige, in een instelling voor kinderen of bij een privaat persoon die hem onder bezwarende titel huisvest;</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shd w:val="clear" w:color="auto" w:fill="CCFFFF"/>
                <w:lang w:val="nl-NL"/>
              </w:rPr>
              <w:t>hetzij in een erkend rustoord voor bejaarden, hetzij in een serviceflatgebouw of woningcomplex met dienstverlening, voor zover deze voorzieningen als dusdanig door de bevoegde overheid erkend zijn;</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shd w:val="clear" w:color="auto" w:fill="CCFFFF"/>
                <w:lang w:val="nl-NL"/>
              </w:rPr>
              <w:t>hetzij in een instelling van gelijk welke aard, waar die persoon verplicht verblijft in uitvoering van een rechterlijke of administratieve beslissing;</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lang w:val="nl-NL"/>
              </w:rPr>
              <w:t>hetzij in een psychiatrisch verzorgingstehuis of een initiatief van beschut wonen, voor zover deze voorzieningen door de bevoegde overheid erkend zijn</w:t>
            </w:r>
            <w:r w:rsidRPr="006D0278">
              <w:rPr>
                <w:bCs/>
                <w:i/>
                <w:shd w:val="clear" w:color="auto" w:fill="CCFFFF"/>
                <w:lang w:val="nl-NL"/>
              </w:rPr>
              <w:t>;</w:t>
            </w:r>
          </w:p>
          <w:p w:rsidR="007D410C" w:rsidRDefault="008E706C" w:rsidP="007D410C">
            <w:pPr>
              <w:numPr>
                <w:ilvl w:val="0"/>
                <w:numId w:val="5"/>
              </w:numPr>
              <w:tabs>
                <w:tab w:val="clear" w:pos="2520"/>
                <w:tab w:val="num" w:pos="432"/>
              </w:tabs>
              <w:ind w:left="432"/>
              <w:jc w:val="both"/>
              <w:rPr>
                <w:bCs/>
                <w:i/>
                <w:shd w:val="clear" w:color="auto" w:fill="CCFFFF"/>
                <w:lang w:val="nl-NL"/>
              </w:rPr>
            </w:pPr>
            <w:r w:rsidRPr="007D410C">
              <w:rPr>
                <w:bCs/>
                <w:i/>
                <w:shd w:val="clear" w:color="auto" w:fill="CCFFFF"/>
                <w:lang w:val="nl-NL"/>
              </w:rPr>
              <w:t xml:space="preserve">hetzij in een instelling of een inrichting die door de bevoegde overheid erkend is om personen in noodsituaties op te vangen en hen tijdelijk te huisvesten en te begeleiden; </w:t>
            </w:r>
          </w:p>
          <w:p w:rsidR="007D410C" w:rsidRDefault="008E706C" w:rsidP="007D410C">
            <w:pPr>
              <w:numPr>
                <w:ilvl w:val="0"/>
                <w:numId w:val="5"/>
              </w:numPr>
              <w:tabs>
                <w:tab w:val="clear" w:pos="2520"/>
                <w:tab w:val="num" w:pos="432"/>
              </w:tabs>
              <w:ind w:left="432"/>
              <w:jc w:val="both"/>
              <w:rPr>
                <w:bCs/>
                <w:i/>
                <w:shd w:val="clear" w:color="auto" w:fill="CCFFFF"/>
                <w:lang w:val="nl-NL"/>
              </w:rPr>
            </w:pPr>
            <w:r w:rsidRPr="007D410C">
              <w:rPr>
                <w:bCs/>
                <w:i/>
                <w:shd w:val="clear" w:color="auto" w:fill="CCFFFF"/>
                <w:lang w:val="nl-NL"/>
              </w:rPr>
              <w:t>hetzij in een er</w:t>
            </w:r>
            <w:r w:rsidR="00A85283" w:rsidRPr="007D410C">
              <w:rPr>
                <w:bCs/>
                <w:i/>
                <w:shd w:val="clear" w:color="auto" w:fill="CCFFFF"/>
                <w:lang w:val="nl-NL"/>
              </w:rPr>
              <w:t>kend rust- en verzorgingstehuis;</w:t>
            </w:r>
            <w:r w:rsidR="007D410C">
              <w:rPr>
                <w:bCs/>
                <w:i/>
                <w:shd w:val="clear" w:color="auto" w:fill="CCFFFF"/>
                <w:lang w:val="nl-NL"/>
              </w:rPr>
              <w:t xml:space="preserve"> </w:t>
            </w:r>
          </w:p>
          <w:p w:rsidR="007D410C" w:rsidRDefault="00A85283" w:rsidP="007D410C">
            <w:pPr>
              <w:numPr>
                <w:ilvl w:val="0"/>
                <w:numId w:val="5"/>
              </w:numPr>
              <w:tabs>
                <w:tab w:val="clear" w:pos="2520"/>
                <w:tab w:val="num" w:pos="432"/>
              </w:tabs>
              <w:ind w:left="432"/>
              <w:jc w:val="both"/>
              <w:rPr>
                <w:bCs/>
                <w:i/>
                <w:shd w:val="clear" w:color="auto" w:fill="CCFFFF"/>
                <w:lang w:val="nl-NL"/>
              </w:rPr>
            </w:pPr>
            <w:r w:rsidRPr="007D410C">
              <w:rPr>
                <w:bCs/>
                <w:i/>
                <w:shd w:val="clear" w:color="auto" w:fill="CCFFFF"/>
                <w:lang w:val="nl-NL"/>
              </w:rPr>
              <w:t xml:space="preserve">hetzij </w:t>
            </w:r>
            <w:r w:rsidR="007D410C" w:rsidRPr="007D410C">
              <w:rPr>
                <w:bCs/>
                <w:i/>
                <w:shd w:val="clear" w:color="auto" w:fill="CCFFFF"/>
                <w:lang w:val="nl-NL"/>
              </w:rPr>
              <w:t>in een voorziening voor ouderen waarin deze ouderen zelfstandig verblijven en waarin facultatieve ouderenzorg wordt aangeboden, voor zover deze voorziening erkend is door de bevoegde overheid</w:t>
            </w:r>
            <w:r w:rsidRPr="007D410C">
              <w:rPr>
                <w:bCs/>
                <w:i/>
                <w:shd w:val="clear" w:color="auto" w:fill="CCFFFF"/>
                <w:lang w:val="nl-NL"/>
              </w:rPr>
              <w:t>;</w:t>
            </w:r>
          </w:p>
          <w:p w:rsidR="00A85283" w:rsidRPr="007D410C" w:rsidRDefault="00A85283" w:rsidP="007D410C">
            <w:pPr>
              <w:numPr>
                <w:ilvl w:val="0"/>
                <w:numId w:val="5"/>
              </w:numPr>
              <w:tabs>
                <w:tab w:val="clear" w:pos="2520"/>
                <w:tab w:val="num" w:pos="432"/>
              </w:tabs>
              <w:ind w:left="432"/>
              <w:jc w:val="both"/>
              <w:rPr>
                <w:bCs/>
                <w:i/>
                <w:shd w:val="clear" w:color="auto" w:fill="CCFFFF"/>
                <w:lang w:val="nl-NL"/>
              </w:rPr>
            </w:pPr>
            <w:r w:rsidRPr="007D410C">
              <w:rPr>
                <w:bCs/>
                <w:i/>
                <w:shd w:val="clear" w:color="auto" w:fill="CCFFFF"/>
                <w:lang w:val="nl-NL"/>
              </w:rPr>
              <w:t xml:space="preserve">hetzij </w:t>
            </w:r>
            <w:r w:rsidR="007D410C" w:rsidRPr="007D410C">
              <w:rPr>
                <w:bCs/>
                <w:i/>
                <w:shd w:val="clear" w:color="auto" w:fill="CCFFFF"/>
                <w:lang w:val="nl-NL"/>
              </w:rPr>
              <w:t xml:space="preserve">in </w:t>
            </w:r>
            <w:r w:rsidRPr="007D410C">
              <w:rPr>
                <w:bCs/>
                <w:i/>
                <w:shd w:val="clear" w:color="auto" w:fill="CCFFFF"/>
                <w:lang w:val="nl-NL"/>
              </w:rPr>
              <w:t>een centrum voor ontwenning van druggebruik, voor zover deze voorziening erkend is door de bevoegde overheid</w:t>
            </w:r>
            <w:r w:rsidR="007D410C" w:rsidRPr="007D410C">
              <w:rPr>
                <w:bCs/>
                <w:i/>
                <w:shd w:val="clear" w:color="auto" w:fill="CCFFFF"/>
                <w:lang w:val="nl-NL"/>
              </w:rPr>
              <w:t>.</w:t>
            </w:r>
          </w:p>
          <w:p w:rsidR="00C86ACC" w:rsidRPr="006D0278" w:rsidRDefault="00C86ACC" w:rsidP="004E3981">
            <w:pPr>
              <w:jc w:val="both"/>
              <w:rPr>
                <w:lang w:val="nl-NL"/>
              </w:rPr>
            </w:pPr>
          </w:p>
        </w:tc>
      </w:tr>
      <w:tr w:rsidR="00C86ACC" w:rsidRPr="00655650" w:rsidTr="00521E4E">
        <w:tc>
          <w:tcPr>
            <w:tcW w:w="1014" w:type="dxa"/>
            <w:shd w:val="clear" w:color="auto" w:fill="CCFFFF"/>
          </w:tcPr>
          <w:p w:rsidR="00C86ACC" w:rsidRPr="006D0278" w:rsidRDefault="00C86ACC" w:rsidP="004E3981">
            <w:pPr>
              <w:jc w:val="both"/>
              <w:rPr>
                <w:lang w:val="nl-NL"/>
              </w:rPr>
            </w:pPr>
          </w:p>
        </w:tc>
        <w:tc>
          <w:tcPr>
            <w:tcW w:w="7916" w:type="dxa"/>
            <w:gridSpan w:val="2"/>
            <w:shd w:val="clear" w:color="auto" w:fill="CCFFFF"/>
          </w:tcPr>
          <w:p w:rsidR="00A85283" w:rsidRPr="006D0278" w:rsidRDefault="008E706C" w:rsidP="00E26811">
            <w:pPr>
              <w:jc w:val="both"/>
              <w:rPr>
                <w:bCs/>
                <w:i/>
                <w:shd w:val="clear" w:color="auto" w:fill="CCFFFF"/>
                <w:lang w:val="nl-NL"/>
              </w:rPr>
            </w:pPr>
            <w:r w:rsidRPr="006D0278">
              <w:rPr>
                <w:bCs/>
                <w:i/>
                <w:shd w:val="clear" w:color="auto" w:fill="CCFFFF"/>
                <w:lang w:val="nl-NL"/>
              </w:rPr>
              <w:t xml:space="preserve">2° met het oog op de </w:t>
            </w:r>
            <w:r w:rsidRPr="006D0278">
              <w:rPr>
                <w:bCs/>
                <w:i/>
                <w:u w:val="single"/>
                <w:shd w:val="clear" w:color="auto" w:fill="CCFFFF"/>
                <w:lang w:val="nl-NL"/>
              </w:rPr>
              <w:t xml:space="preserve">overbrenging van een persoon van een verplegingsinstelling naar een andere instelling </w:t>
            </w:r>
            <w:r w:rsidRPr="006D0278">
              <w:rPr>
                <w:bCs/>
                <w:i/>
                <w:shd w:val="clear" w:color="auto" w:fill="CCFFFF"/>
                <w:lang w:val="nl-NL"/>
              </w:rPr>
              <w:t>of persoon als bedoeld onder 1° hierboven.</w:t>
            </w:r>
          </w:p>
        </w:tc>
      </w:tr>
      <w:tr w:rsidR="00C86ACC" w:rsidRPr="00655650" w:rsidTr="00521E4E">
        <w:tc>
          <w:tcPr>
            <w:tcW w:w="8930" w:type="dxa"/>
            <w:gridSpan w:val="3"/>
            <w:shd w:val="clear" w:color="auto" w:fill="CCFFFF"/>
          </w:tcPr>
          <w:p w:rsidR="00C86ACC" w:rsidRPr="006D0278" w:rsidRDefault="00C86ACC" w:rsidP="00E26811">
            <w:pPr>
              <w:jc w:val="both"/>
              <w:rPr>
                <w:lang w:val="nl-NL"/>
              </w:rPr>
            </w:pPr>
          </w:p>
        </w:tc>
      </w:tr>
    </w:tbl>
    <w:p w:rsidR="00665CC0" w:rsidRPr="006D0278" w:rsidRDefault="008E706C" w:rsidP="00C86ACC">
      <w:pPr>
        <w:ind w:left="720"/>
        <w:jc w:val="both"/>
        <w:rPr>
          <w:lang w:val="nl-NL"/>
        </w:rPr>
      </w:pPr>
      <w:r w:rsidRPr="006D0278">
        <w:rPr>
          <w:lang w:val="nl-NL"/>
        </w:rPr>
        <w:lastRenderedPageBreak/>
        <w:t>Het OCMW van de gemeente waar de betrokkene voor zijn hoofdverblijf in het bevolkingsregister was ingeschreven op het ogenblik van zijn opname in één van de bedoelde instellingen, is bevoegd.</w:t>
      </w:r>
    </w:p>
    <w:p w:rsidR="00665CC0" w:rsidRPr="006D0278" w:rsidRDefault="00665CC0" w:rsidP="00C86ACC">
      <w:pPr>
        <w:ind w:left="720"/>
        <w:jc w:val="both"/>
        <w:rPr>
          <w:lang w:val="nl-NL"/>
        </w:rPr>
      </w:pPr>
    </w:p>
    <w:p w:rsidR="00665CC0" w:rsidRPr="006D0278" w:rsidRDefault="00665CC0" w:rsidP="00C86ACC">
      <w:pPr>
        <w:ind w:left="720"/>
        <w:jc w:val="both"/>
        <w:rPr>
          <w:lang w:val="nl-NL"/>
        </w:rPr>
      </w:pPr>
    </w:p>
    <w:p w:rsidR="00C86ACC" w:rsidRPr="006D0278" w:rsidRDefault="008E706C" w:rsidP="000D1800">
      <w:pPr>
        <w:pStyle w:val="Titre3"/>
        <w:ind w:firstLine="0"/>
        <w:jc w:val="both"/>
        <w:rPr>
          <w:b/>
          <w:bCs/>
          <w:sz w:val="24"/>
          <w:u w:val="single"/>
          <w:lang w:val="nl-NL"/>
        </w:rPr>
      </w:pPr>
      <w:bookmarkStart w:id="39" w:name="_Toc423509531"/>
      <w:r w:rsidRPr="006D0278">
        <w:rPr>
          <w:b/>
          <w:bCs/>
          <w:sz w:val="24"/>
          <w:u w:val="single"/>
          <w:lang w:val="nl-NL"/>
        </w:rPr>
        <w:t>3. Opmerkingen over de toepassingen van paragrafen 1</w:t>
      </w:r>
      <w:r w:rsidR="00024247">
        <w:rPr>
          <w:b/>
          <w:bCs/>
          <w:sz w:val="24"/>
          <w:u w:val="single"/>
          <w:lang w:val="nl-NL"/>
        </w:rPr>
        <w:t xml:space="preserve"> </w:t>
      </w:r>
      <w:r w:rsidRPr="006D0278">
        <w:rPr>
          <w:b/>
          <w:bCs/>
          <w:sz w:val="24"/>
          <w:u w:val="single"/>
          <w:lang w:val="nl-NL"/>
        </w:rPr>
        <w:t>en 3 van artikel 2 van de wet van 02/04/1965</w:t>
      </w:r>
      <w:bookmarkEnd w:id="39"/>
    </w:p>
    <w:p w:rsidR="00C86ACC" w:rsidRPr="006D0278" w:rsidRDefault="00C86ACC" w:rsidP="00C86ACC">
      <w:pPr>
        <w:ind w:left="1440"/>
        <w:jc w:val="both"/>
        <w:rPr>
          <w:lang w:val="nl-NL"/>
        </w:rPr>
      </w:pPr>
    </w:p>
    <w:p w:rsidR="00C86ACC" w:rsidRPr="006D0278" w:rsidRDefault="00C86ACC" w:rsidP="00C86ACC">
      <w:pPr>
        <w:ind w:left="720"/>
        <w:jc w:val="both"/>
        <w:rPr>
          <w:lang w:val="nl-NL"/>
        </w:rPr>
      </w:pPr>
    </w:p>
    <w:p w:rsidR="006A7269" w:rsidRPr="006D0278" w:rsidRDefault="008E706C" w:rsidP="000D1800">
      <w:pPr>
        <w:jc w:val="both"/>
        <w:rPr>
          <w:lang w:val="nl-NL"/>
        </w:rPr>
      </w:pPr>
      <w:r w:rsidRPr="006D0278">
        <w:rPr>
          <w:lang w:val="nl-NL"/>
        </w:rPr>
        <w:t xml:space="preserve">Wanneer de aanvrager in een instelling verblijft, moet het OCMW nagaan of hij in een door de wet bedoelde instelling verblijft en dat hij, op het ogenblik van zijn opname in de </w:t>
      </w:r>
      <w:r w:rsidR="00024247" w:rsidRPr="006D0278">
        <w:rPr>
          <w:lang w:val="nl-NL"/>
        </w:rPr>
        <w:t xml:space="preserve">instelling, </w:t>
      </w:r>
      <w:r w:rsidRPr="006D0278">
        <w:rPr>
          <w:lang w:val="nl-NL"/>
        </w:rPr>
        <w:t>een inschrijving als hoofdverblijfplaats heeft in het bevolkings- of vreemdelingenregister of in het wachtregister Indien deze twee voorwaarden zijn vervuld, is het OCMW van de gemeente waar de aanvrager was ingeschreven bevoegd om zijn steunaanvraag te onderzoeken.</w:t>
      </w:r>
    </w:p>
    <w:p w:rsidR="006A7269" w:rsidRPr="006D0278" w:rsidRDefault="006A7269" w:rsidP="006A7269">
      <w:pPr>
        <w:jc w:val="both"/>
        <w:rPr>
          <w:lang w:val="nl-NL"/>
        </w:rPr>
      </w:pPr>
    </w:p>
    <w:p w:rsidR="0076621B" w:rsidRPr="002F4F24" w:rsidRDefault="0076621B" w:rsidP="00F50D3D">
      <w:pPr>
        <w:jc w:val="both"/>
        <w:rPr>
          <w:lang w:val="nl-NL"/>
        </w:rPr>
      </w:pPr>
      <w:r w:rsidRPr="002F4F24">
        <w:rPr>
          <w:lang w:val="nl-NL"/>
        </w:rPr>
        <w:t>De specifieke bevoegdheidsregel vervat in artikel 2, §1, van de wet van 2 april 1965 is een uitzondering op de algemene bevoegdheidsregel vervat in artikel 1, 1°, van voornoemde wet en dient restrictief te worden geïnterpreteerd.</w:t>
      </w:r>
    </w:p>
    <w:p w:rsidR="0076621B" w:rsidRPr="002F4F24" w:rsidRDefault="0076621B" w:rsidP="00F50D3D">
      <w:pPr>
        <w:jc w:val="both"/>
        <w:rPr>
          <w:lang w:val="nl-NL"/>
        </w:rPr>
      </w:pPr>
    </w:p>
    <w:p w:rsidR="0076621B" w:rsidRDefault="0076621B" w:rsidP="00F50D3D">
      <w:pPr>
        <w:jc w:val="both"/>
        <w:rPr>
          <w:lang w:val="nl-NL"/>
        </w:rPr>
      </w:pPr>
      <w:r w:rsidRPr="002F4F24">
        <w:rPr>
          <w:lang w:val="nl-NL"/>
        </w:rPr>
        <w:t>Wanneer de aanvrager niet verblijft in één van de bedoelde instellingen, past men de algemene regel van de gewoonlijke verblijfplaats toe.</w:t>
      </w:r>
    </w:p>
    <w:p w:rsidR="0076621B" w:rsidRDefault="0076621B" w:rsidP="00F50D3D">
      <w:pPr>
        <w:jc w:val="both"/>
        <w:rPr>
          <w:lang w:val="nl-NL"/>
        </w:rPr>
      </w:pPr>
    </w:p>
    <w:p w:rsidR="006A7269" w:rsidRPr="006D0278" w:rsidRDefault="008E706C" w:rsidP="00F50D3D">
      <w:pPr>
        <w:jc w:val="both"/>
        <w:rPr>
          <w:lang w:val="nl-NL"/>
        </w:rPr>
      </w:pPr>
      <w:r w:rsidRPr="006D0278">
        <w:rPr>
          <w:lang w:val="nl-NL"/>
        </w:rPr>
        <w:t>Wanneer verduidelijkt wordt dat de instelling erkend moet zijn en dit niet zo is, is de uitzondering inzake bevoegdheid niet van toepassing en valt men terug op de algemene bevoegdheidsregel, namelijk de bevoegdheid van het OCMW van de gemeente op wiens grondgebeid de persoon verblijft, namelijk het OCMW van de gemeente waar de instelling is gevestigd, wanneer de betrokkene geen andere gewoonlijke verblijfplaats heeft.</w:t>
      </w:r>
    </w:p>
    <w:p w:rsidR="006A7269" w:rsidRPr="006D0278" w:rsidRDefault="006A7269" w:rsidP="006A7269">
      <w:pPr>
        <w:jc w:val="both"/>
        <w:rPr>
          <w:lang w:val="nl-NL"/>
        </w:rPr>
      </w:pPr>
    </w:p>
    <w:p w:rsidR="006A7269" w:rsidRPr="006D0278" w:rsidRDefault="008E706C" w:rsidP="00F50D3D">
      <w:pPr>
        <w:jc w:val="both"/>
        <w:rPr>
          <w:lang w:val="nl-NL"/>
        </w:rPr>
      </w:pPr>
      <w:r w:rsidRPr="006D0278">
        <w:rPr>
          <w:lang w:val="nl-NL"/>
        </w:rPr>
        <w:t>Wanneer de persoon geen inschrijving als hoofdverblijfplaats had in het bevolkings- of vreemdelingenregister of in het wachtregister op het ogenblik van zijn opname in de instelling, valt men eveneens terug op de algemene bevoegdheidsregel. Zoals hierboven reeds aangehaald, bedoelt de wet de inschrijving als hoofdverblijfplaats en dus niet de inschrijving als referentieadres.</w:t>
      </w:r>
    </w:p>
    <w:p w:rsidR="002F4F24" w:rsidRDefault="002F4F24" w:rsidP="00C86ACC">
      <w:pPr>
        <w:ind w:left="720"/>
        <w:jc w:val="both"/>
        <w:rPr>
          <w:lang w:val="nl-NL"/>
        </w:rPr>
      </w:pPr>
      <w:r>
        <w:rPr>
          <w:lang w:val="nl-NL"/>
        </w:rPr>
        <w:br/>
      </w:r>
    </w:p>
    <w:p w:rsidR="002F4F24" w:rsidRDefault="002F4F24">
      <w:pPr>
        <w:rPr>
          <w:lang w:val="nl-NL"/>
        </w:rPr>
      </w:pPr>
      <w:r>
        <w:rPr>
          <w:lang w:val="nl-NL"/>
        </w:rPr>
        <w:br w:type="page"/>
      </w:r>
    </w:p>
    <w:p w:rsidR="00177E94" w:rsidRPr="00177E94" w:rsidRDefault="008E706C" w:rsidP="00177E94">
      <w:pPr>
        <w:pStyle w:val="Titre4"/>
        <w:ind w:left="900"/>
        <w:rPr>
          <w:bCs w:val="0"/>
          <w:u w:val="single"/>
          <w:lang w:val="nl-NL"/>
        </w:rPr>
      </w:pPr>
      <w:bookmarkStart w:id="40" w:name="_Toc423509532"/>
      <w:r w:rsidRPr="006F5B59">
        <w:rPr>
          <w:bCs w:val="0"/>
          <w:u w:val="single"/>
          <w:lang w:val="nl-NL"/>
        </w:rPr>
        <w:lastRenderedPageBreak/>
        <w:t xml:space="preserve">3.1. </w:t>
      </w:r>
      <w:r w:rsidR="00177E94" w:rsidRPr="006F5B59">
        <w:rPr>
          <w:bCs w:val="0"/>
          <w:u w:val="single"/>
          <w:lang w:val="nl-NL"/>
        </w:rPr>
        <w:t>Uitbreiding van de lijst van instellingen van artikel 2, § 1,1° ,van de wet van 2 april 1965</w:t>
      </w:r>
      <w:bookmarkEnd w:id="40"/>
    </w:p>
    <w:p w:rsidR="00177E94" w:rsidRPr="00177E94" w:rsidRDefault="00177E94" w:rsidP="00177E94">
      <w:pPr>
        <w:ind w:left="900"/>
        <w:jc w:val="both"/>
        <w:rPr>
          <w:highlight w:val="lightGray"/>
          <w:lang w:val="nl-NL"/>
        </w:rPr>
      </w:pPr>
    </w:p>
    <w:p w:rsidR="005B5E7C" w:rsidRDefault="005B5E7C" w:rsidP="00177E94">
      <w:pPr>
        <w:ind w:left="900"/>
        <w:jc w:val="both"/>
        <w:rPr>
          <w:highlight w:val="yellow"/>
          <w:lang w:val="nl-NL"/>
        </w:rPr>
      </w:pPr>
    </w:p>
    <w:p w:rsidR="00177E94" w:rsidRDefault="00177E94" w:rsidP="00177E94">
      <w:pPr>
        <w:ind w:left="900"/>
        <w:jc w:val="both"/>
        <w:rPr>
          <w:lang w:val="nl-NL"/>
        </w:rPr>
      </w:pPr>
      <w:r w:rsidRPr="00E26811">
        <w:rPr>
          <w:lang w:val="nl-NL"/>
        </w:rPr>
        <w:t>Op 27  juni 2014</w:t>
      </w:r>
      <w:r w:rsidR="00424CE2" w:rsidRPr="00E26811">
        <w:rPr>
          <w:lang w:val="nl-NL"/>
        </w:rPr>
        <w:t xml:space="preserve"> zijn toegevoegd</w:t>
      </w:r>
      <w:r w:rsidRPr="00E26811">
        <w:rPr>
          <w:lang w:val="nl-NL"/>
        </w:rPr>
        <w:t>,</w:t>
      </w:r>
      <w:r w:rsidRPr="00177E94">
        <w:rPr>
          <w:lang w:val="nl-NL"/>
        </w:rPr>
        <w:t xml:space="preserve"> de door de bevoegde overheid erkende centra voor ontwenning van druggebruik en de door de bevoegde overheid erkende  voorzieningen voor ouderen waarin ouderen zelfstandig verblijven en facultatieve ouderenzorg wordt aangeboden, worden voortaan beschouwd als een instelling van artikel 2, § 1,1° ,van de wet van 2 april 1965 betreffende het ten laste nemen van de steun verleend door de openbare centra voor maatschappelijk welzijn.</w:t>
      </w:r>
    </w:p>
    <w:p w:rsidR="00177E94" w:rsidRDefault="00177E94" w:rsidP="00177E94">
      <w:pPr>
        <w:ind w:left="900"/>
        <w:jc w:val="both"/>
        <w:rPr>
          <w:lang w:val="nl-NL"/>
        </w:rPr>
      </w:pPr>
    </w:p>
    <w:p w:rsidR="00177E94" w:rsidRPr="00177E94" w:rsidRDefault="00177E94" w:rsidP="00177E94">
      <w:pPr>
        <w:ind w:left="900"/>
        <w:jc w:val="both"/>
        <w:rPr>
          <w:lang w:val="nl-NL"/>
        </w:rPr>
      </w:pPr>
      <w:r w:rsidRPr="00177E94">
        <w:rPr>
          <w:lang w:val="nl-NL"/>
        </w:rPr>
        <w:t>Hierdoor wordt vermeden dat de financiële lasten voor de gemeente waar zich een dergelijke voorziening bevindt te hoog worden, en worden deze lasten voortaan verdeeld.</w:t>
      </w:r>
    </w:p>
    <w:p w:rsidR="00177E94" w:rsidRPr="00177E94" w:rsidRDefault="00177E94" w:rsidP="00177E94">
      <w:pPr>
        <w:ind w:left="900"/>
        <w:jc w:val="both"/>
        <w:rPr>
          <w:lang w:val="nl-NL"/>
        </w:rPr>
      </w:pPr>
    </w:p>
    <w:p w:rsidR="00177E94" w:rsidRPr="00177E94" w:rsidRDefault="00177E94" w:rsidP="00177E94">
      <w:pPr>
        <w:ind w:left="900"/>
        <w:jc w:val="both"/>
        <w:rPr>
          <w:lang w:val="nl-NL"/>
        </w:rPr>
      </w:pPr>
      <w:r w:rsidRPr="00177E94">
        <w:rPr>
          <w:lang w:val="nl-NL"/>
        </w:rPr>
        <w:t xml:space="preserve">Het is namelijk zo dat de OCMW ’s van de gemeenten met dergelijke voorzieningen op hun grondgebied, voorheen vaak bijkomende financiële lasten moesten dragen voor de hulp verleend aan de daar verblijvende steunaanvragers. </w:t>
      </w:r>
    </w:p>
    <w:p w:rsidR="00177E94" w:rsidRPr="00177E94" w:rsidRDefault="00177E94" w:rsidP="00177E94">
      <w:pPr>
        <w:ind w:left="900"/>
        <w:jc w:val="both"/>
        <w:rPr>
          <w:lang w:val="nl-NL"/>
        </w:rPr>
      </w:pPr>
    </w:p>
    <w:p w:rsidR="00177E94" w:rsidRDefault="00177E94" w:rsidP="00177E94">
      <w:pPr>
        <w:ind w:left="900"/>
        <w:jc w:val="both"/>
        <w:rPr>
          <w:lang w:val="nl-NL"/>
        </w:rPr>
      </w:pPr>
      <w:r w:rsidRPr="00177E94">
        <w:rPr>
          <w:lang w:val="nl-NL"/>
        </w:rPr>
        <w:t xml:space="preserve">Dit omdat deze steunaanvrager zijn gewoonlijk verblijf meestal in dit drugscentrum of deze erkende voorziening voor ouderen had. Overeenkomstig de algemene bevoegdheidsregel van artikel 1,1°, van de wet van 2 april 1965 werden de OCMW’s van deze gemeenten als bevoegd OCMW beschouwd. </w:t>
      </w:r>
    </w:p>
    <w:p w:rsidR="00177E94" w:rsidRDefault="00177E94" w:rsidP="00177E94">
      <w:pPr>
        <w:ind w:left="900"/>
        <w:jc w:val="both"/>
        <w:rPr>
          <w:lang w:val="nl-NL"/>
        </w:rPr>
      </w:pPr>
    </w:p>
    <w:p w:rsidR="00D900E6" w:rsidRPr="00D900E6" w:rsidRDefault="00D900E6" w:rsidP="00D900E6">
      <w:pPr>
        <w:ind w:left="900"/>
        <w:jc w:val="both"/>
        <w:rPr>
          <w:lang w:val="nl-NL"/>
        </w:rPr>
      </w:pPr>
      <w:r>
        <w:rPr>
          <w:lang w:val="nl-NL"/>
        </w:rPr>
        <w:t>1</w:t>
      </w:r>
      <w:r w:rsidRPr="00D900E6">
        <w:rPr>
          <w:lang w:val="nl-NL"/>
        </w:rPr>
        <w:t xml:space="preserve">) </w:t>
      </w:r>
      <w:r w:rsidRPr="00D900E6">
        <w:rPr>
          <w:b/>
          <w:lang w:val="nl-NL"/>
        </w:rPr>
        <w:t>Centrum voor ontwenning van druggebruik</w:t>
      </w:r>
      <w:r w:rsidRPr="00D900E6">
        <w:rPr>
          <w:lang w:val="nl-NL"/>
        </w:rPr>
        <w:t xml:space="preserve"> : moet door de bevoegde overheid als dusdanig erkend zijn als centrum voor ontwenning van druggebruik om onder de toepassing van artikel 2, § 1 ,van de wet van 2 april 1965 te vallen. </w:t>
      </w:r>
    </w:p>
    <w:p w:rsidR="00D900E6" w:rsidRPr="00D900E6" w:rsidRDefault="00D900E6" w:rsidP="00D900E6">
      <w:pPr>
        <w:ind w:left="900"/>
        <w:jc w:val="both"/>
        <w:rPr>
          <w:lang w:val="nl-NL"/>
        </w:rPr>
      </w:pPr>
    </w:p>
    <w:p w:rsidR="00D900E6" w:rsidRPr="00D900E6" w:rsidRDefault="00D900E6" w:rsidP="00D900E6">
      <w:pPr>
        <w:ind w:left="900"/>
        <w:jc w:val="both"/>
        <w:rPr>
          <w:lang w:val="nl-NL"/>
        </w:rPr>
      </w:pPr>
      <w:r w:rsidRPr="00D900E6">
        <w:rPr>
          <w:lang w:val="nl-NL"/>
        </w:rPr>
        <w:t xml:space="preserve">Voorbeeld : De revalidatiecentra voor drugsverslaafden die door het RIZIV erkend en betoelaagd zijn op basis van een revalidatie-overeenkomst. Wanneer de Gemeenschappen in de toekomst andere centra voor ontwenning van druggebruik erkennen, zullen ook deze onder het toepassingsgebied van artikel 2, § , 1, van de wet van 2 april 1965 vallen.  </w:t>
      </w:r>
    </w:p>
    <w:p w:rsidR="00D900E6" w:rsidRPr="00D900E6" w:rsidRDefault="00D900E6" w:rsidP="00D900E6">
      <w:pPr>
        <w:ind w:left="900"/>
        <w:jc w:val="both"/>
        <w:rPr>
          <w:lang w:val="nl-NL"/>
        </w:rPr>
      </w:pPr>
    </w:p>
    <w:p w:rsidR="00D900E6" w:rsidRPr="00D900E6" w:rsidRDefault="00D900E6" w:rsidP="00D900E6">
      <w:pPr>
        <w:ind w:left="900"/>
        <w:jc w:val="both"/>
        <w:rPr>
          <w:lang w:val="nl-NL"/>
        </w:rPr>
      </w:pPr>
      <w:r>
        <w:rPr>
          <w:lang w:val="nl-NL"/>
        </w:rPr>
        <w:t>2</w:t>
      </w:r>
      <w:r w:rsidRPr="00D900E6">
        <w:rPr>
          <w:lang w:val="nl-NL"/>
        </w:rPr>
        <w:t xml:space="preserve">) </w:t>
      </w:r>
      <w:r w:rsidRPr="00D900E6">
        <w:rPr>
          <w:b/>
          <w:lang w:val="nl-NL"/>
        </w:rPr>
        <w:t>Voorzieningen voor ouderen waarin deze ouderen zelfstandig verblijven en waarin facultatieve ouderenzorg wordt aangeboden</w:t>
      </w:r>
      <w:r w:rsidRPr="00D900E6">
        <w:rPr>
          <w:lang w:val="nl-NL"/>
        </w:rPr>
        <w:t xml:space="preserve"> : erkenning door de bevoegde overheid is noodzakelijk om onder de toepassing van art. 2, §, 1, van de wet van 2 april 1965 te kunnen vallen.</w:t>
      </w:r>
    </w:p>
    <w:p w:rsidR="00D900E6" w:rsidRPr="00D900E6" w:rsidRDefault="00D900E6" w:rsidP="00D900E6">
      <w:pPr>
        <w:ind w:left="900"/>
        <w:jc w:val="both"/>
        <w:rPr>
          <w:lang w:val="nl-NL"/>
        </w:rPr>
      </w:pPr>
    </w:p>
    <w:p w:rsidR="002E59DD" w:rsidRPr="00177E94" w:rsidRDefault="00D900E6" w:rsidP="00D900E6">
      <w:pPr>
        <w:ind w:left="900"/>
        <w:jc w:val="both"/>
        <w:rPr>
          <w:lang w:val="nl-NL"/>
        </w:rPr>
      </w:pPr>
      <w:r w:rsidRPr="00D900E6">
        <w:rPr>
          <w:lang w:val="nl-NL"/>
        </w:rPr>
        <w:t>Voorbeeld : De erkende groepen van assistentiewoningen in Vlaanderen. Ook gelijkaardige voorzieningen die door de Gemeenschappen in de toekomst worden erkend, zullen ook deze onder het toepassingsgebied van art. 2, §, 1, van de wet van 2 april 1965 vallen.</w:t>
      </w:r>
      <w:r w:rsidR="002E59DD" w:rsidRPr="00177E94">
        <w:rPr>
          <w:lang w:val="nl-NL"/>
        </w:rPr>
        <w:br w:type="page"/>
      </w:r>
    </w:p>
    <w:p w:rsidR="003B667A" w:rsidRPr="00177E94" w:rsidRDefault="003B667A" w:rsidP="003B667A">
      <w:pPr>
        <w:jc w:val="both"/>
        <w:rPr>
          <w:lang w:val="nl-NL"/>
        </w:rPr>
      </w:pPr>
    </w:p>
    <w:p w:rsidR="00665CC0" w:rsidRPr="006D0278" w:rsidRDefault="008E706C" w:rsidP="00655650">
      <w:pPr>
        <w:pStyle w:val="Titre4"/>
        <w:ind w:left="900"/>
        <w:jc w:val="both"/>
        <w:rPr>
          <w:bCs w:val="0"/>
          <w:u w:val="single"/>
          <w:lang w:val="nl-NL"/>
        </w:rPr>
      </w:pPr>
      <w:bookmarkStart w:id="41" w:name="_Toc423509533"/>
      <w:r w:rsidRPr="006D0278">
        <w:rPr>
          <w:bCs w:val="0"/>
          <w:u w:val="single"/>
          <w:lang w:val="nl-NL"/>
        </w:rPr>
        <w:t>3.2. De inschrijving, als hoofdverblijfplaats, in het gemeentelijk bevolkingsregister</w:t>
      </w:r>
      <w:bookmarkEnd w:id="41"/>
    </w:p>
    <w:p w:rsidR="006A7269" w:rsidRPr="006D0278" w:rsidRDefault="006A7269" w:rsidP="006A7269">
      <w:pPr>
        <w:jc w:val="both"/>
        <w:rPr>
          <w:lang w:val="nl-NL"/>
        </w:rPr>
      </w:pPr>
    </w:p>
    <w:p w:rsidR="00852ACF" w:rsidRPr="006D0278" w:rsidRDefault="00852ACF" w:rsidP="006A7269">
      <w:pPr>
        <w:ind w:left="720"/>
        <w:jc w:val="both"/>
        <w:rPr>
          <w:lang w:val="nl-NL"/>
        </w:rPr>
      </w:pPr>
    </w:p>
    <w:p w:rsidR="006A7269" w:rsidRPr="006D0278" w:rsidRDefault="008E706C" w:rsidP="006A7269">
      <w:pPr>
        <w:ind w:left="720"/>
        <w:jc w:val="both"/>
        <w:rPr>
          <w:lang w:val="nl-NL"/>
        </w:rPr>
      </w:pPr>
      <w:r w:rsidRPr="006D0278">
        <w:rPr>
          <w:lang w:val="nl-NL"/>
        </w:rPr>
        <w:t>Artikel 2, §1, van de wet van 2 april 1965 is enkel van toepassing indien de aanvrager in het register is</w:t>
      </w:r>
      <w:r w:rsidRPr="006D0278">
        <w:rPr>
          <w:b/>
          <w:lang w:val="nl-NL"/>
        </w:rPr>
        <w:t xml:space="preserve"> ingeschreven voor zijn hoofdverblijfplaats, op het ogenblik van zijn opname in de instelling</w:t>
      </w:r>
      <w:r w:rsidRPr="006D0278">
        <w:rPr>
          <w:lang w:val="nl-NL"/>
        </w:rPr>
        <w:t xml:space="preserve">. </w:t>
      </w:r>
    </w:p>
    <w:p w:rsidR="006A7269" w:rsidRPr="006D0278" w:rsidRDefault="006A7269" w:rsidP="006A7269">
      <w:pPr>
        <w:ind w:left="720"/>
        <w:jc w:val="both"/>
        <w:rPr>
          <w:lang w:val="nl-NL"/>
        </w:rPr>
      </w:pPr>
    </w:p>
    <w:p w:rsidR="006A7269" w:rsidRPr="006D0278" w:rsidRDefault="008E706C" w:rsidP="00DA101F">
      <w:pPr>
        <w:numPr>
          <w:ilvl w:val="0"/>
          <w:numId w:val="10"/>
        </w:numPr>
        <w:jc w:val="both"/>
        <w:rPr>
          <w:lang w:val="nl-NL"/>
        </w:rPr>
      </w:pPr>
      <w:r w:rsidRPr="006D0278">
        <w:rPr>
          <w:lang w:val="nl-NL"/>
        </w:rPr>
        <w:t xml:space="preserve">Het OCMW moet de </w:t>
      </w:r>
      <w:r w:rsidRPr="006D0278">
        <w:rPr>
          <w:u w:val="single"/>
          <w:lang w:val="nl-NL"/>
        </w:rPr>
        <w:t>administratieve toestand van de persoon onderzoeken op het ogenblik van zijn opname in de instelling</w:t>
      </w:r>
      <w:r w:rsidRPr="006D0278">
        <w:rPr>
          <w:lang w:val="nl-NL"/>
        </w:rPr>
        <w:t>. Een wijziging in de administratieve toestand van de persoon na zijn opname zal zonder effect zijn tijdens zijn verblijf in deze instelling. Het bevoegde OCMW is dat van de gemeente waar de persoon is ingeschreven in het gemeentelijk bevolkingsregister op het ogenblik van zijn opname in de instelling, en dit gedurende zijn ganse verblijf, zelfs wanneer de persoon er niet meer ingeschreven is op het ogenblik dat hij zijn steunaanvraag heeft gedaan, dat hij geschrapt werd of dat hij van domicilie is veranderd.</w:t>
      </w:r>
    </w:p>
    <w:p w:rsidR="006A7269" w:rsidRPr="006D0278" w:rsidRDefault="006A7269" w:rsidP="006A7269">
      <w:pPr>
        <w:ind w:left="720"/>
        <w:jc w:val="both"/>
        <w:rPr>
          <w:lang w:val="nl-NL"/>
        </w:rPr>
      </w:pPr>
    </w:p>
    <w:p w:rsidR="006A7269" w:rsidRPr="006D0278" w:rsidRDefault="008E706C" w:rsidP="00DA101F">
      <w:pPr>
        <w:pStyle w:val="Retraitcorpsdetexte"/>
        <w:numPr>
          <w:ilvl w:val="0"/>
          <w:numId w:val="10"/>
        </w:numPr>
        <w:rPr>
          <w:bCs/>
          <w:lang w:val="nl-NL"/>
        </w:rPr>
      </w:pPr>
      <w:r w:rsidRPr="006D0278">
        <w:rPr>
          <w:lang w:val="nl-NL"/>
        </w:rPr>
        <w:t>Deze regel is niet van toepassing wanneer de persoon een</w:t>
      </w:r>
      <w:r w:rsidRPr="006D0278">
        <w:rPr>
          <w:u w:val="single"/>
          <w:lang w:val="nl-NL"/>
        </w:rPr>
        <w:t xml:space="preserve"> inschrijving heeft als referentieadres of geen inschrijving heeft</w:t>
      </w:r>
      <w:r w:rsidRPr="006D0278">
        <w:rPr>
          <w:lang w:val="nl-NL"/>
        </w:rPr>
        <w:t>. Een inschrijving als referentieadres wordt niet in aanmerking genomen voor de toepassing van de territoriale bevoegdheidsregel van de OCMW's van artikel 2, §1</w:t>
      </w:r>
      <w:r w:rsidRPr="006D0278">
        <w:rPr>
          <w:bCs/>
          <w:lang w:val="nl-NL"/>
        </w:rPr>
        <w:t xml:space="preserve">, van voornoemde wet. </w:t>
      </w:r>
    </w:p>
    <w:p w:rsidR="00C86ACC" w:rsidRPr="006D0278" w:rsidRDefault="00C86ACC" w:rsidP="006A7269">
      <w:pPr>
        <w:ind w:left="720"/>
        <w:jc w:val="both"/>
        <w:rPr>
          <w:lang w:val="nl-NL"/>
        </w:rPr>
      </w:pPr>
    </w:p>
    <w:p w:rsidR="00AE2BAC" w:rsidRPr="006D0278" w:rsidRDefault="008E706C" w:rsidP="005431FC">
      <w:pPr>
        <w:ind w:left="1080"/>
        <w:jc w:val="both"/>
        <w:rPr>
          <w:lang w:val="nl-NL"/>
        </w:rPr>
      </w:pPr>
      <w:r w:rsidRPr="006D0278">
        <w:rPr>
          <w:lang w:val="nl-NL"/>
        </w:rPr>
        <w:t>Wanneer de aanvrager geen inschrijving had als hoofdverblijfplaats, of geschrapt was uit het register of een inschrijving had als referentieadres op het ogenblik van zijn opname in de instelling, is deze specifieke regel niet van toepassing.</w:t>
      </w:r>
    </w:p>
    <w:p w:rsidR="00AE2BAC" w:rsidRPr="006D0278" w:rsidRDefault="008E706C" w:rsidP="005431FC">
      <w:pPr>
        <w:ind w:left="1080"/>
        <w:jc w:val="both"/>
        <w:rPr>
          <w:lang w:val="nl-NL"/>
        </w:rPr>
      </w:pPr>
      <w:r w:rsidRPr="006D0278">
        <w:rPr>
          <w:lang w:val="nl-NL"/>
        </w:rPr>
        <w:t xml:space="preserve">Het OCMW van de gemeente waar de aanvrager gewoonlijk verblijft op het ogenblik van zijn aanvraag is </w:t>
      </w:r>
      <w:r w:rsidR="00024247">
        <w:rPr>
          <w:lang w:val="nl-NL"/>
        </w:rPr>
        <w:t xml:space="preserve">dan </w:t>
      </w:r>
      <w:r w:rsidRPr="006D0278">
        <w:rPr>
          <w:lang w:val="nl-NL"/>
        </w:rPr>
        <w:t>bevoegd.</w:t>
      </w:r>
    </w:p>
    <w:p w:rsidR="005431FC" w:rsidRPr="006D0278" w:rsidRDefault="005431FC" w:rsidP="005431FC">
      <w:pPr>
        <w:ind w:left="1080"/>
        <w:jc w:val="both"/>
        <w:rPr>
          <w:lang w:val="nl-NL"/>
        </w:rPr>
      </w:pPr>
    </w:p>
    <w:p w:rsidR="00C86ACC" w:rsidRPr="006D0278" w:rsidRDefault="00C86ACC" w:rsidP="00C86ACC">
      <w:pPr>
        <w:ind w:left="1440"/>
        <w:jc w:val="both"/>
        <w:rPr>
          <w:lang w:val="nl-NL"/>
        </w:rPr>
      </w:pPr>
    </w:p>
    <w:p w:rsidR="00C86ACC" w:rsidRPr="006D0278" w:rsidRDefault="008E706C" w:rsidP="00DA101F">
      <w:pPr>
        <w:numPr>
          <w:ilvl w:val="0"/>
          <w:numId w:val="10"/>
        </w:numPr>
        <w:jc w:val="both"/>
        <w:rPr>
          <w:lang w:val="nl-NL"/>
        </w:rPr>
      </w:pPr>
      <w:r w:rsidRPr="006D0278">
        <w:rPr>
          <w:u w:val="single"/>
          <w:lang w:val="nl-NL"/>
        </w:rPr>
        <w:t>De voorwaarde voor de inschrijving als hoofdverblijfplaats is vervuld, zelfs wanneer het adres waarop de persoon i</w:t>
      </w:r>
      <w:r w:rsidR="00024247">
        <w:rPr>
          <w:u w:val="single"/>
          <w:lang w:val="nl-NL"/>
        </w:rPr>
        <w:t>s</w:t>
      </w:r>
      <w:r w:rsidRPr="006D0278">
        <w:rPr>
          <w:u w:val="single"/>
          <w:lang w:val="nl-NL"/>
        </w:rPr>
        <w:t xml:space="preserve"> ingeschreven </w:t>
      </w:r>
      <w:r w:rsidR="00024247">
        <w:rPr>
          <w:u w:val="single"/>
          <w:lang w:val="nl-NL"/>
        </w:rPr>
        <w:t>samenvalt</w:t>
      </w:r>
      <w:r w:rsidRPr="006D0278">
        <w:rPr>
          <w:u w:val="single"/>
          <w:lang w:val="nl-NL"/>
        </w:rPr>
        <w:t xml:space="preserve"> met het adres van een </w:t>
      </w:r>
      <w:r w:rsidR="00F9388F" w:rsidRPr="006D0278">
        <w:rPr>
          <w:u w:val="single"/>
          <w:lang w:val="nl-NL"/>
        </w:rPr>
        <w:t xml:space="preserve">instelling </w:t>
      </w:r>
      <w:r w:rsidRPr="006D0278">
        <w:rPr>
          <w:lang w:val="nl-NL"/>
        </w:rPr>
        <w:t>(opvangtehuis, gevangenis, enz.).</w:t>
      </w:r>
    </w:p>
    <w:p w:rsidR="00FD6CB0" w:rsidRPr="006D0278" w:rsidRDefault="00FD6CB0" w:rsidP="006A7269">
      <w:pPr>
        <w:ind w:left="720"/>
        <w:jc w:val="both"/>
        <w:rPr>
          <w:lang w:val="nl-NL"/>
        </w:rPr>
      </w:pPr>
    </w:p>
    <w:p w:rsidR="00FD6CB0" w:rsidRPr="006D0278" w:rsidRDefault="008E706C" w:rsidP="005431FC">
      <w:pPr>
        <w:pStyle w:val="Letter"/>
        <w:ind w:left="1080"/>
        <w:jc w:val="both"/>
        <w:rPr>
          <w:rFonts w:ascii="Times New Roman" w:hAnsi="Times New Roman"/>
          <w:bCs/>
          <w:sz w:val="24"/>
          <w:lang w:val="nl-NL"/>
        </w:rPr>
      </w:pPr>
      <w:r w:rsidRPr="006D0278">
        <w:rPr>
          <w:rFonts w:ascii="Times New Roman" w:hAnsi="Times New Roman"/>
          <w:sz w:val="24"/>
          <w:szCs w:val="24"/>
          <w:lang w:val="nl-NL"/>
        </w:rPr>
        <w:t xml:space="preserve">Wanneer de betrokkene in een instelling verblijft bedoeld door de wet en als hoofdverblijfplaats is ingeschreven in het bevolkingsregister van gemeente X, overeenkomstig de reglementering betreffende de bevolkingsregisters die valt onder de bevoegdheid van de Minister van Binnenlandse Zaken, moet deze inschrijving in aanmerking genomen worden voor de toepassing van de territoriale bevoegdheidsregel van de OCMW's van artikel 2, §1 </w:t>
      </w:r>
      <w:r w:rsidRPr="006D0278">
        <w:rPr>
          <w:rFonts w:ascii="Times New Roman" w:hAnsi="Times New Roman"/>
          <w:bCs/>
          <w:sz w:val="24"/>
          <w:lang w:val="nl-NL"/>
        </w:rPr>
        <w:t>, van de wet van 2 april 1965, zelfs wanneer deze persoon nog is ingeschreven op het adres van een vorige instelling waar hij heeft verbleven (gevangenis, opvangtehuis, psychiatrisch ziekenhuis, rusthuis, enz.).</w:t>
      </w:r>
    </w:p>
    <w:p w:rsidR="00FD6CB0" w:rsidRPr="006D0278" w:rsidRDefault="00FD6CB0" w:rsidP="00FD6CB0">
      <w:pPr>
        <w:pStyle w:val="Letter"/>
        <w:ind w:left="720"/>
        <w:jc w:val="both"/>
        <w:rPr>
          <w:rFonts w:ascii="Times New Roman" w:hAnsi="Times New Roman"/>
          <w:bCs/>
          <w:sz w:val="24"/>
          <w:lang w:val="nl-NL"/>
        </w:rPr>
      </w:pPr>
    </w:p>
    <w:p w:rsidR="00FD6CB0" w:rsidRPr="006D0278" w:rsidRDefault="008E706C" w:rsidP="005431FC">
      <w:pPr>
        <w:pStyle w:val="Letter"/>
        <w:ind w:left="720" w:firstLine="360"/>
        <w:jc w:val="both"/>
        <w:rPr>
          <w:rFonts w:ascii="Times New Roman" w:hAnsi="Times New Roman"/>
          <w:i/>
          <w:sz w:val="24"/>
          <w:szCs w:val="24"/>
          <w:lang w:val="nl-NL"/>
        </w:rPr>
      </w:pPr>
      <w:r w:rsidRPr="006D0278">
        <w:rPr>
          <w:rFonts w:ascii="Times New Roman" w:hAnsi="Times New Roman"/>
          <w:i/>
          <w:sz w:val="24"/>
          <w:szCs w:val="24"/>
          <w:u w:val="single"/>
          <w:lang w:val="nl-NL"/>
        </w:rPr>
        <w:t>Voorbeeld</w:t>
      </w:r>
      <w:r w:rsidRPr="006D0278">
        <w:rPr>
          <w:rFonts w:ascii="Times New Roman" w:hAnsi="Times New Roman"/>
          <w:i/>
          <w:sz w:val="24"/>
          <w:szCs w:val="24"/>
          <w:lang w:val="nl-NL"/>
        </w:rPr>
        <w:t xml:space="preserve">: </w:t>
      </w:r>
    </w:p>
    <w:p w:rsidR="00FD6CB0" w:rsidRPr="006D0278" w:rsidRDefault="008E706C" w:rsidP="005431FC">
      <w:pPr>
        <w:pStyle w:val="Letter"/>
        <w:ind w:left="1080"/>
        <w:jc w:val="both"/>
        <w:rPr>
          <w:rFonts w:ascii="Times New Roman" w:hAnsi="Times New Roman"/>
          <w:i/>
          <w:sz w:val="24"/>
          <w:lang w:val="nl-NL"/>
        </w:rPr>
      </w:pPr>
      <w:r w:rsidRPr="006D0278">
        <w:rPr>
          <w:rFonts w:ascii="Times New Roman" w:hAnsi="Times New Roman"/>
          <w:i/>
          <w:sz w:val="24"/>
          <w:szCs w:val="24"/>
          <w:lang w:val="nl-NL"/>
        </w:rPr>
        <w:t>De betrokkene is gedomicilieerd in gemeente X op</w:t>
      </w:r>
      <w:r w:rsidRPr="006D0278">
        <w:rPr>
          <w:rFonts w:ascii="Times New Roman" w:hAnsi="Times New Roman"/>
          <w:i/>
          <w:sz w:val="24"/>
          <w:szCs w:val="24"/>
          <w:u w:val="single"/>
          <w:lang w:val="nl-NL"/>
        </w:rPr>
        <w:t xml:space="preserve"> het adres van een opvangtehuis</w:t>
      </w:r>
      <w:r w:rsidR="00024247">
        <w:rPr>
          <w:rFonts w:ascii="Times New Roman" w:hAnsi="Times New Roman"/>
          <w:i/>
          <w:sz w:val="24"/>
          <w:szCs w:val="24"/>
          <w:u w:val="single"/>
          <w:lang w:val="nl-NL"/>
        </w:rPr>
        <w:t xml:space="preserve"> </w:t>
      </w:r>
      <w:r w:rsidRPr="006D0278">
        <w:rPr>
          <w:rFonts w:ascii="Times New Roman" w:hAnsi="Times New Roman"/>
          <w:i/>
          <w:sz w:val="24"/>
          <w:szCs w:val="24"/>
          <w:lang w:val="nl-NL"/>
        </w:rPr>
        <w:t>waarin hij voorheen verbleef en hij verblijft momenteel in een</w:t>
      </w:r>
      <w:r w:rsidR="00024247">
        <w:rPr>
          <w:rFonts w:ascii="Times New Roman" w:hAnsi="Times New Roman"/>
          <w:i/>
          <w:sz w:val="24"/>
          <w:szCs w:val="24"/>
          <w:lang w:val="nl-NL"/>
        </w:rPr>
        <w:t xml:space="preserve"> </w:t>
      </w:r>
      <w:r w:rsidR="00024247">
        <w:rPr>
          <w:rFonts w:ascii="Times New Roman" w:hAnsi="Times New Roman"/>
          <w:i/>
          <w:sz w:val="24"/>
          <w:szCs w:val="24"/>
          <w:u w:val="single"/>
          <w:lang w:val="nl-NL"/>
        </w:rPr>
        <w:t>ander erkend</w:t>
      </w:r>
      <w:r w:rsidRPr="006D0278">
        <w:rPr>
          <w:rFonts w:ascii="Times New Roman" w:hAnsi="Times New Roman"/>
          <w:i/>
          <w:sz w:val="24"/>
          <w:szCs w:val="24"/>
          <w:u w:val="single"/>
          <w:lang w:val="nl-NL"/>
        </w:rPr>
        <w:t xml:space="preserve"> opvangtehuis</w:t>
      </w:r>
      <w:r w:rsidRPr="006D0278">
        <w:rPr>
          <w:rFonts w:ascii="Times New Roman" w:hAnsi="Times New Roman"/>
          <w:i/>
          <w:sz w:val="24"/>
          <w:szCs w:val="24"/>
          <w:lang w:val="nl-NL"/>
        </w:rPr>
        <w:t xml:space="preserve"> gelegen in gemeente Y. Het OCMW van gemeente X is bevoegd.</w:t>
      </w:r>
    </w:p>
    <w:p w:rsidR="00C86ACC" w:rsidRPr="006D0278" w:rsidRDefault="00C86ACC" w:rsidP="00C86ACC">
      <w:pPr>
        <w:ind w:left="1800"/>
        <w:jc w:val="both"/>
        <w:rPr>
          <w:lang w:val="nl-NL"/>
        </w:rPr>
      </w:pPr>
    </w:p>
    <w:p w:rsidR="00FD6CB0" w:rsidRPr="006D0278" w:rsidRDefault="008E706C" w:rsidP="005431FC">
      <w:pPr>
        <w:pStyle w:val="Letter"/>
        <w:ind w:left="1080"/>
        <w:jc w:val="both"/>
        <w:rPr>
          <w:rFonts w:ascii="Times New Roman" w:hAnsi="Times New Roman"/>
          <w:bCs/>
          <w:sz w:val="24"/>
          <w:szCs w:val="24"/>
          <w:lang w:val="nl-NL" w:eastAsia="nl-NL"/>
        </w:rPr>
      </w:pPr>
      <w:r w:rsidRPr="006D0278">
        <w:rPr>
          <w:rFonts w:ascii="Times New Roman" w:hAnsi="Times New Roman"/>
          <w:bCs/>
          <w:sz w:val="24"/>
          <w:szCs w:val="24"/>
          <w:lang w:val="nl-NL" w:eastAsia="nl-NL"/>
        </w:rPr>
        <w:lastRenderedPageBreak/>
        <w:t>De OCMW's roepen vaak</w:t>
      </w:r>
      <w:r w:rsidR="00024247">
        <w:rPr>
          <w:rFonts w:ascii="Times New Roman" w:hAnsi="Times New Roman"/>
          <w:bCs/>
          <w:sz w:val="24"/>
          <w:szCs w:val="24"/>
          <w:lang w:val="nl-NL" w:eastAsia="nl-NL"/>
        </w:rPr>
        <w:t xml:space="preserve"> </w:t>
      </w:r>
      <w:r w:rsidRPr="006D0278">
        <w:rPr>
          <w:rFonts w:ascii="Times New Roman" w:hAnsi="Times New Roman"/>
          <w:sz w:val="24"/>
          <w:szCs w:val="24"/>
          <w:u w:val="single"/>
          <w:lang w:val="nl-NL"/>
        </w:rPr>
        <w:t>artikel 6 in van de wet van 02/04/1965</w:t>
      </w:r>
      <w:r w:rsidRPr="006D0278">
        <w:rPr>
          <w:rFonts w:ascii="Times New Roman" w:hAnsi="Times New Roman"/>
          <w:sz w:val="24"/>
          <w:szCs w:val="24"/>
          <w:lang w:val="nl-NL"/>
        </w:rPr>
        <w:t xml:space="preserve"> om zich onbevoegd te verklaren. Zij beschouwen dat het feit dat de aanvrager is ingeschreven op het adres van een instelling </w:t>
      </w:r>
      <w:r w:rsidR="00F9388F" w:rsidRPr="006D0278">
        <w:rPr>
          <w:rFonts w:ascii="Times New Roman" w:hAnsi="Times New Roman"/>
          <w:sz w:val="24"/>
          <w:szCs w:val="24"/>
          <w:lang w:val="nl-NL"/>
        </w:rPr>
        <w:t xml:space="preserve">een </w:t>
      </w:r>
      <w:r w:rsidRPr="006D0278">
        <w:rPr>
          <w:rFonts w:ascii="Times New Roman" w:hAnsi="Times New Roman"/>
          <w:sz w:val="24"/>
          <w:szCs w:val="24"/>
          <w:u w:val="single"/>
          <w:lang w:val="nl-NL"/>
        </w:rPr>
        <w:t>domicilie zonder uitwerking</w:t>
      </w:r>
      <w:r w:rsidRPr="006D0278">
        <w:rPr>
          <w:rFonts w:ascii="Times New Roman" w:hAnsi="Times New Roman"/>
          <w:sz w:val="24"/>
          <w:szCs w:val="24"/>
          <w:lang w:val="nl-NL"/>
        </w:rPr>
        <w:t xml:space="preserve"> is dat niet in aanmerking kan worden genomen om het bevoegd OCMW te bepalen.</w:t>
      </w:r>
    </w:p>
    <w:p w:rsidR="00FD6CB0" w:rsidRPr="006D0278" w:rsidRDefault="00FD6CB0" w:rsidP="00FD6CB0">
      <w:pPr>
        <w:pStyle w:val="Letter"/>
        <w:ind w:left="720"/>
        <w:jc w:val="both"/>
        <w:rPr>
          <w:rFonts w:ascii="Times New Roman" w:hAnsi="Times New Roman"/>
          <w:sz w:val="24"/>
          <w:szCs w:val="24"/>
          <w:lang w:val="nl-NL"/>
        </w:rPr>
      </w:pPr>
    </w:p>
    <w:p w:rsidR="00FD6CB0" w:rsidRPr="006D0278" w:rsidRDefault="008E706C" w:rsidP="005431FC">
      <w:pPr>
        <w:pStyle w:val="Retraitcorpsdetexte"/>
        <w:ind w:left="1065" w:firstLine="15"/>
        <w:rPr>
          <w:bCs/>
          <w:lang w:val="nl-NL"/>
        </w:rPr>
      </w:pPr>
      <w:r w:rsidRPr="006D0278">
        <w:rPr>
          <w:bCs/>
          <w:lang w:val="nl-NL"/>
        </w:rPr>
        <w:t xml:space="preserve">Deze argumentatie is onjuist. </w:t>
      </w:r>
    </w:p>
    <w:p w:rsidR="00FD6CB0" w:rsidRPr="006D0278" w:rsidRDefault="00FD6CB0" w:rsidP="00FD6CB0">
      <w:pPr>
        <w:pStyle w:val="Retraitcorpsdetexte"/>
        <w:ind w:left="705" w:firstLine="15"/>
        <w:rPr>
          <w:bCs/>
          <w:lang w:val="nl-NL"/>
        </w:rPr>
      </w:pPr>
    </w:p>
    <w:p w:rsidR="00FD6CB0" w:rsidRPr="006D0278" w:rsidRDefault="008E706C" w:rsidP="005431FC">
      <w:pPr>
        <w:pStyle w:val="Retraitcorpsdetexte"/>
        <w:ind w:left="1065"/>
        <w:rPr>
          <w:lang w:val="nl-NL"/>
        </w:rPr>
      </w:pPr>
      <w:r w:rsidRPr="006D0278">
        <w:rPr>
          <w:lang w:val="nl-NL"/>
        </w:rPr>
        <w:t xml:space="preserve">Er moet worden opgemerkt dat artikel 6 van de  wet van 02/04/1965 die bepaalt dat </w:t>
      </w:r>
      <w:r w:rsidRPr="006D0278">
        <w:rPr>
          <w:i/>
          <w:iCs/>
          <w:lang w:val="nl-NL"/>
        </w:rPr>
        <w:t>" I</w:t>
      </w:r>
      <w:r w:rsidRPr="006D0278">
        <w:rPr>
          <w:bCs/>
          <w:i/>
          <w:iCs/>
          <w:spacing w:val="-1"/>
          <w:lang w:val="nl-NL"/>
        </w:rPr>
        <w:t>s zonder uitwerking voor het verwerven van een nieuw onderstandsdomicilie het verblijf, al dan niet als behoeftige hetzij in een verplegingsinstelling, hetzij in een instelling of bij een privaat persoon bedoeld bij artikel 2, § 1, van dezelfde wet</w:t>
      </w:r>
      <w:r w:rsidRPr="006D0278">
        <w:rPr>
          <w:bCs/>
          <w:spacing w:val="-1"/>
          <w:lang w:val="nl-NL"/>
        </w:rPr>
        <w:t xml:space="preserve">", betrekking heeft op </w:t>
      </w:r>
      <w:r w:rsidRPr="006D0278">
        <w:rPr>
          <w:bCs/>
          <w:spacing w:val="-1"/>
          <w:u w:val="single"/>
          <w:lang w:val="nl-NL"/>
        </w:rPr>
        <w:t xml:space="preserve"> de bepaling van het OCMW van het onderstandsdomicili</w:t>
      </w:r>
      <w:r w:rsidR="00921B1B">
        <w:rPr>
          <w:bCs/>
          <w:spacing w:val="-1"/>
          <w:u w:val="single"/>
          <w:lang w:val="nl-NL"/>
        </w:rPr>
        <w:t>e</w:t>
      </w:r>
      <w:r w:rsidRPr="006D0278">
        <w:rPr>
          <w:bCs/>
          <w:spacing w:val="-1"/>
          <w:u w:val="single"/>
          <w:lang w:val="nl-NL"/>
        </w:rPr>
        <w:t xml:space="preserve"> en niet op de territoriale bevoegdheid van de OCMW's </w:t>
      </w:r>
      <w:r w:rsidRPr="006D0278">
        <w:rPr>
          <w:bCs/>
          <w:spacing w:val="-1"/>
          <w:lang w:val="nl-NL"/>
        </w:rPr>
        <w:t>.</w:t>
      </w:r>
    </w:p>
    <w:p w:rsidR="00C86ACC" w:rsidRPr="006D0278" w:rsidRDefault="00C86ACC" w:rsidP="00C86ACC">
      <w:pPr>
        <w:jc w:val="both"/>
        <w:rPr>
          <w:highlight w:val="yellow"/>
          <w:lang w:val="nl-NL"/>
        </w:rPr>
      </w:pPr>
    </w:p>
    <w:p w:rsidR="00FD6CB0" w:rsidRPr="006D0278" w:rsidRDefault="008E706C" w:rsidP="005431FC">
      <w:pPr>
        <w:ind w:left="1065"/>
        <w:jc w:val="both"/>
        <w:rPr>
          <w:lang w:val="nl-NL"/>
        </w:rPr>
      </w:pPr>
      <w:r w:rsidRPr="006D0278">
        <w:rPr>
          <w:lang w:val="nl-NL"/>
        </w:rPr>
        <w:t>Overeenkomstig artikel 1, 2, eerste paragraaf van de wet van 2 april 1965 is</w:t>
      </w:r>
      <w:r w:rsidR="00024247">
        <w:rPr>
          <w:lang w:val="nl-NL"/>
        </w:rPr>
        <w:t xml:space="preserve"> </w:t>
      </w:r>
      <w:r w:rsidRPr="006D0278">
        <w:rPr>
          <w:u w:val="single"/>
          <w:lang w:val="nl-NL"/>
        </w:rPr>
        <w:t xml:space="preserve">het centrum van het onderstandsdomicilie </w:t>
      </w:r>
      <w:r w:rsidRPr="006D0278">
        <w:rPr>
          <w:lang w:val="nl-NL"/>
        </w:rPr>
        <w:t>"</w:t>
      </w:r>
      <w:r w:rsidRPr="006D0278">
        <w:rPr>
          <w:i/>
          <w:lang w:val="nl-NL"/>
        </w:rPr>
        <w:t>het OCMW van de gemeente waar de betrokkene voor zijn hoofdverblijf ingeschreven is in het bevolkingsregister op het ogenblik waarop hij, al dan niet als behoeftige, behandeld wordt, met of zonder hospitalisatie, in een verplegingsinstelling"</w:t>
      </w:r>
      <w:r w:rsidRPr="006D0278">
        <w:rPr>
          <w:lang w:val="nl-NL"/>
        </w:rPr>
        <w:t xml:space="preserve">. </w:t>
      </w:r>
    </w:p>
    <w:p w:rsidR="00FD6CB0" w:rsidRPr="006D0278" w:rsidRDefault="00FD6CB0" w:rsidP="00FD6CB0">
      <w:pPr>
        <w:ind w:left="705"/>
        <w:jc w:val="both"/>
        <w:rPr>
          <w:lang w:val="nl-NL"/>
        </w:rPr>
      </w:pPr>
    </w:p>
    <w:p w:rsidR="00FD6CB0" w:rsidRPr="006D0278" w:rsidRDefault="008E706C" w:rsidP="005431FC">
      <w:pPr>
        <w:ind w:left="1065"/>
        <w:jc w:val="both"/>
        <w:rPr>
          <w:lang w:val="nl-NL"/>
        </w:rPr>
      </w:pPr>
      <w:r w:rsidRPr="006D0278">
        <w:rPr>
          <w:lang w:val="nl-NL"/>
        </w:rPr>
        <w:t xml:space="preserve">Dit centrum is enkel bevoegd voor de eventuele tenlasteneming van de kosten die voortvloeien uit de behandeling in één van de </w:t>
      </w:r>
      <w:r w:rsidR="00024247">
        <w:rPr>
          <w:lang w:val="nl-NL"/>
        </w:rPr>
        <w:t>verzorgings</w:t>
      </w:r>
      <w:r w:rsidRPr="006D0278">
        <w:rPr>
          <w:lang w:val="nl-NL"/>
        </w:rPr>
        <w:t xml:space="preserve">instellingen bedoeld door de wet. De wetgever maakt een onderscheid tussen het bevoegd steunverlenend centrum enerzijds (artikel 1,1 en 2) en het centrum van het onderstandsdomicilie anderzijds (artikel 1,2). </w:t>
      </w:r>
    </w:p>
    <w:p w:rsidR="00FD6CB0" w:rsidRPr="006D0278" w:rsidRDefault="00FD6CB0" w:rsidP="00FD6CB0">
      <w:pPr>
        <w:ind w:firstLine="705"/>
        <w:jc w:val="both"/>
        <w:rPr>
          <w:lang w:val="nl-NL"/>
        </w:rPr>
      </w:pPr>
    </w:p>
    <w:p w:rsidR="006A7269" w:rsidRDefault="008E706C" w:rsidP="005431FC">
      <w:pPr>
        <w:ind w:left="1065"/>
        <w:jc w:val="both"/>
        <w:rPr>
          <w:lang w:val="nl-NL"/>
        </w:rPr>
      </w:pPr>
      <w:r w:rsidRPr="006D0278">
        <w:rPr>
          <w:lang w:val="nl-NL"/>
        </w:rPr>
        <w:t xml:space="preserve">Dit onderscheid is fundamenteel. Het centrum van het onderstandsdomicilie, komt, evenals de Staat bij gebrek aan onderstandsdomicilie, enkel in tweede instantie tussen, als instantie waarop het steunverlenend centrum bepaalde kosten kan doorrekenen, binnen de naleving van bepaalde termijnen en onder bepaalde voorwaarden. Het centrum van het onderstandsdomicilie buigt zich nooit over steunaanvragen. </w:t>
      </w:r>
    </w:p>
    <w:p w:rsidR="00F9388F" w:rsidRDefault="00F9388F" w:rsidP="005431FC">
      <w:pPr>
        <w:ind w:left="1065"/>
        <w:jc w:val="both"/>
        <w:rPr>
          <w:lang w:val="nl-NL"/>
        </w:rPr>
      </w:pPr>
    </w:p>
    <w:p w:rsidR="00452184" w:rsidRDefault="00452184" w:rsidP="005431FC">
      <w:pPr>
        <w:ind w:left="1065"/>
        <w:jc w:val="both"/>
        <w:rPr>
          <w:lang w:val="nl-NL"/>
        </w:rPr>
      </w:pPr>
    </w:p>
    <w:p w:rsidR="00E26811" w:rsidRDefault="00E26811">
      <w:pPr>
        <w:rPr>
          <w:lang w:val="nl-NL"/>
        </w:rPr>
      </w:pPr>
      <w:r>
        <w:rPr>
          <w:lang w:val="nl-NL"/>
        </w:rPr>
        <w:br w:type="page"/>
      </w:r>
    </w:p>
    <w:p w:rsidR="00FD6CB0" w:rsidRPr="006D0278" w:rsidRDefault="008E706C" w:rsidP="00F50D3D">
      <w:pPr>
        <w:pStyle w:val="Titre4"/>
        <w:ind w:left="540" w:firstLine="360"/>
        <w:rPr>
          <w:bCs w:val="0"/>
          <w:u w:val="single"/>
          <w:lang w:val="nl-NL"/>
        </w:rPr>
      </w:pPr>
      <w:bookmarkStart w:id="42" w:name="_Toc423509534"/>
      <w:r w:rsidRPr="006D0278">
        <w:rPr>
          <w:bCs w:val="0"/>
          <w:u w:val="single"/>
          <w:lang w:val="nl-NL"/>
        </w:rPr>
        <w:lastRenderedPageBreak/>
        <w:t>3.3. De regel van de continuïteit van artikel 2, §3,  van de wet van 2 april 1965.</w:t>
      </w:r>
      <w:bookmarkEnd w:id="42"/>
      <w:r w:rsidRPr="006D0278">
        <w:rPr>
          <w:bCs w:val="0"/>
          <w:u w:val="single"/>
          <w:lang w:val="nl-NL"/>
        </w:rPr>
        <w:t xml:space="preserve"> </w:t>
      </w:r>
    </w:p>
    <w:p w:rsidR="00FD6CB0" w:rsidRPr="006D0278" w:rsidRDefault="00FD6CB0" w:rsidP="00FD6CB0">
      <w:pPr>
        <w:ind w:left="1080"/>
        <w:jc w:val="both"/>
        <w:rPr>
          <w:b/>
          <w:lang w:val="nl-NL"/>
        </w:rPr>
      </w:pPr>
    </w:p>
    <w:tbl>
      <w:tblPr>
        <w:tblW w:w="8100" w:type="dxa"/>
        <w:tblInd w:w="1188" w:type="dxa"/>
        <w:tblBorders>
          <w:top w:val="dotDash" w:sz="4" w:space="0" w:color="auto"/>
          <w:left w:val="dotDash" w:sz="4" w:space="0" w:color="auto"/>
          <w:bottom w:val="dotDash" w:sz="4" w:space="0" w:color="auto"/>
          <w:right w:val="dotDash" w:sz="4" w:space="0" w:color="auto"/>
        </w:tblBorders>
        <w:shd w:val="clear" w:color="auto" w:fill="CCFFFF"/>
        <w:tblLook w:val="01E0" w:firstRow="1" w:lastRow="1" w:firstColumn="1" w:lastColumn="1" w:noHBand="0" w:noVBand="0"/>
      </w:tblPr>
      <w:tblGrid>
        <w:gridCol w:w="8100"/>
      </w:tblGrid>
      <w:tr w:rsidR="00C626B8" w:rsidRPr="00655650">
        <w:tc>
          <w:tcPr>
            <w:tcW w:w="8100" w:type="dxa"/>
            <w:shd w:val="clear" w:color="auto" w:fill="CCFFFF"/>
          </w:tcPr>
          <w:p w:rsidR="00C626B8" w:rsidRPr="006D0278" w:rsidRDefault="008E706C" w:rsidP="00C54BF8">
            <w:pPr>
              <w:jc w:val="both"/>
              <w:rPr>
                <w:shd w:val="clear" w:color="auto" w:fill="CCFFFF"/>
                <w:lang w:val="nl-NL"/>
              </w:rPr>
            </w:pPr>
            <w:r w:rsidRPr="006D0278">
              <w:rPr>
                <w:shd w:val="clear" w:color="auto" w:fill="CCFFFF"/>
                <w:lang w:val="nl-NL"/>
              </w:rPr>
              <w:t>Art. 2, §3, van de wet van 1965 april betreffende het ten laste nemen van de steun verleend door de openbare centra voor maatschappelijk welzijn:</w:t>
            </w:r>
          </w:p>
          <w:p w:rsidR="00C626B8" w:rsidRPr="006D0278" w:rsidRDefault="008E706C" w:rsidP="00C54BF8">
            <w:pPr>
              <w:jc w:val="both"/>
              <w:rPr>
                <w:bCs/>
                <w:i/>
                <w:shd w:val="clear" w:color="auto" w:fill="CCFFFF"/>
                <w:lang w:val="nl-NL"/>
              </w:rPr>
            </w:pPr>
            <w:r w:rsidRPr="006D0278">
              <w:rPr>
                <w:shd w:val="clear" w:color="auto" w:fill="CCFFFF"/>
                <w:lang w:val="nl-NL"/>
              </w:rPr>
              <w:t> </w:t>
            </w:r>
          </w:p>
          <w:p w:rsidR="00C626B8" w:rsidRPr="006D0278" w:rsidRDefault="008E706C" w:rsidP="00C54BF8">
            <w:pPr>
              <w:jc w:val="both"/>
              <w:rPr>
                <w:bCs/>
                <w:i/>
                <w:shd w:val="clear" w:color="auto" w:fill="CCFFFF"/>
                <w:lang w:val="nl-NL"/>
              </w:rPr>
            </w:pPr>
            <w:r w:rsidRPr="006D0278">
              <w:rPr>
                <w:bCs/>
                <w:i/>
                <w:shd w:val="clear" w:color="auto" w:fill="CCFFFF"/>
                <w:lang w:val="nl-NL"/>
              </w:rPr>
              <w:t xml:space="preserve">"Hetzelfde openbaar centrum voor maatschappelijk welzijn </w:t>
            </w:r>
            <w:r w:rsidRPr="006D0278">
              <w:rPr>
                <w:bCs/>
                <w:i/>
                <w:u w:val="single"/>
                <w:shd w:val="clear" w:color="auto" w:fill="CCFFFF"/>
                <w:lang w:val="nl-NL"/>
              </w:rPr>
              <w:t xml:space="preserve">blijft bevoegd </w:t>
            </w:r>
            <w:r w:rsidRPr="006D0278">
              <w:rPr>
                <w:bCs/>
                <w:i/>
                <w:shd w:val="clear" w:color="auto" w:fill="CCFFFF"/>
                <w:lang w:val="nl-NL"/>
              </w:rPr>
              <w:t xml:space="preserve">om steun te verlenen, wanneer een persoon </w:t>
            </w:r>
            <w:r w:rsidRPr="006D0278">
              <w:rPr>
                <w:bCs/>
                <w:i/>
                <w:u w:val="single"/>
                <w:shd w:val="clear" w:color="auto" w:fill="CCFFFF"/>
                <w:lang w:val="nl-NL"/>
              </w:rPr>
              <w:t>achtereenvolgens en zonder onderbreking</w:t>
            </w:r>
            <w:r w:rsidRPr="006D0278">
              <w:rPr>
                <w:bCs/>
                <w:i/>
                <w:shd w:val="clear" w:color="auto" w:fill="CCFFFF"/>
                <w:lang w:val="nl-NL"/>
              </w:rPr>
              <w:t xml:space="preserve"> wordt opgenomen door verscheidene instellingen of personen als bedoeld in §1 van dit artikel, of wanneer hij, tijdens zijn verblijf in die instellingen of bij die personen, een behandeling in een verplegingsinstelling moet ondergaan.</w:t>
            </w:r>
            <w:r w:rsidRPr="006D0278">
              <w:rPr>
                <w:bCs/>
                <w:shd w:val="clear" w:color="auto" w:fill="CCFFFF"/>
                <w:lang w:val="nl-NL"/>
              </w:rPr>
              <w:t>"</w:t>
            </w:r>
          </w:p>
          <w:p w:rsidR="00C626B8" w:rsidRPr="006D0278" w:rsidRDefault="00C626B8" w:rsidP="00C54BF8">
            <w:pPr>
              <w:jc w:val="both"/>
              <w:rPr>
                <w:lang w:val="nl-NL"/>
              </w:rPr>
            </w:pPr>
          </w:p>
        </w:tc>
      </w:tr>
    </w:tbl>
    <w:p w:rsidR="00C626B8" w:rsidRPr="006D0278" w:rsidRDefault="00C626B8" w:rsidP="00C626B8">
      <w:pPr>
        <w:ind w:left="1080"/>
        <w:jc w:val="both"/>
        <w:rPr>
          <w:lang w:val="nl-NL"/>
        </w:rPr>
      </w:pPr>
    </w:p>
    <w:p w:rsidR="00AE2BAC" w:rsidRPr="006D0278" w:rsidRDefault="008E706C" w:rsidP="00E26811">
      <w:pPr>
        <w:jc w:val="both"/>
        <w:rPr>
          <w:lang w:val="nl-NL"/>
        </w:rPr>
      </w:pPr>
      <w:r w:rsidRPr="006D0278">
        <w:rPr>
          <w:lang w:val="nl-NL"/>
        </w:rPr>
        <w:t xml:space="preserve">Wanneer de aanvrager in een instelling verblijft, bedoeld door de wet, moet nagegaan worden of hij </w:t>
      </w:r>
      <w:r w:rsidR="00495B93">
        <w:rPr>
          <w:lang w:val="nl-NL"/>
        </w:rPr>
        <w:t>rechtstreeks</w:t>
      </w:r>
      <w:r w:rsidRPr="006D0278">
        <w:rPr>
          <w:lang w:val="nl-NL"/>
        </w:rPr>
        <w:t xml:space="preserve"> werd overgeplaatst </w:t>
      </w:r>
      <w:r w:rsidR="00495B93">
        <w:rPr>
          <w:lang w:val="nl-NL"/>
        </w:rPr>
        <w:t>van</w:t>
      </w:r>
      <w:r w:rsidRPr="006D0278">
        <w:rPr>
          <w:lang w:val="nl-NL"/>
        </w:rPr>
        <w:t xml:space="preserve"> een andere instelling die eveneens is opgenomen op de lijst. Wanneer hij achtereenvolgens en zonder onderbreking werd opgenomen in verschillende bedoelde instellingen, moet men teruggaan in de tijd en kijken welke zijn allereerste opname was om het bevoegde OCMW te bepalen. Het OCMW dat bevoegd was tijdens zijn allereerste opname blijft bevoegd gedurende het volledige ononderbroken verblijf van de aanvrager in deze instellingen. Dit is de regel van continuïteit van bevoegdheid </w:t>
      </w:r>
    </w:p>
    <w:p w:rsidR="005431FC" w:rsidRPr="006D0278" w:rsidRDefault="005431FC" w:rsidP="00FD6CB0">
      <w:pPr>
        <w:ind w:left="1080"/>
        <w:jc w:val="both"/>
        <w:rPr>
          <w:lang w:val="nl-NL"/>
        </w:rPr>
      </w:pPr>
    </w:p>
    <w:p w:rsidR="0022590B" w:rsidRPr="006D0278" w:rsidRDefault="008E706C" w:rsidP="00E26811">
      <w:pPr>
        <w:jc w:val="both"/>
        <w:rPr>
          <w:lang w:val="nl-NL"/>
        </w:rPr>
      </w:pPr>
      <w:r w:rsidRPr="006D0278">
        <w:rPr>
          <w:lang w:val="nl-NL"/>
        </w:rPr>
        <w:t>Bij opeenvolgende en ononderbroken opnames in verschillende instellingen blijft eenzelfde OCMW bevoegd. Dit betekent concreet dat, wanneer de betrokkene, tijdens zijn opname, ingeschreven is in het bevolkingsregister van de gemeente waar de instelling gevestigd is, steeds zijn vroegere domicilie in aanmerking wordt genomen om te bepalen welk centrum bevoegd is inzake toekenning van de steun. De wijziging van domicilie na de aanvraag heeft geen invloed op de aanwijzing van het bevoegde OCMW ter zake.</w:t>
      </w:r>
    </w:p>
    <w:p w:rsidR="0022590B" w:rsidRPr="006D0278" w:rsidRDefault="0022590B" w:rsidP="00FD6CB0">
      <w:pPr>
        <w:ind w:left="1080"/>
        <w:jc w:val="both"/>
        <w:rPr>
          <w:lang w:val="nl-NL"/>
        </w:rPr>
      </w:pPr>
    </w:p>
    <w:p w:rsidR="0022590B" w:rsidRPr="006D0278" w:rsidRDefault="008E706C" w:rsidP="00E26811">
      <w:pPr>
        <w:jc w:val="both"/>
        <w:rPr>
          <w:lang w:val="nl-NL"/>
        </w:rPr>
      </w:pPr>
      <w:r w:rsidRPr="006D0278">
        <w:rPr>
          <w:lang w:val="nl-NL"/>
        </w:rPr>
        <w:t xml:space="preserve">De regel van de continuïteit van artikel 2, </w:t>
      </w:r>
      <w:r w:rsidR="00495B93" w:rsidRPr="006D0278">
        <w:rPr>
          <w:lang w:val="nl-NL"/>
        </w:rPr>
        <w:t xml:space="preserve">§3, </w:t>
      </w:r>
      <w:r w:rsidRPr="006D0278">
        <w:rPr>
          <w:lang w:val="nl-NL"/>
        </w:rPr>
        <w:t xml:space="preserve">van de wet van 2 april 1965 is van toepassing wanneer de aanvrager </w:t>
      </w:r>
      <w:r w:rsidRPr="006D0278">
        <w:rPr>
          <w:b/>
          <w:u w:val="single"/>
          <w:lang w:val="nl-NL"/>
        </w:rPr>
        <w:t>achtereenvolgens en zonder onderbreking</w:t>
      </w:r>
      <w:r w:rsidR="00495B93">
        <w:rPr>
          <w:b/>
          <w:u w:val="single"/>
          <w:lang w:val="nl-NL"/>
        </w:rPr>
        <w:t xml:space="preserve"> </w:t>
      </w:r>
      <w:r w:rsidRPr="006D0278">
        <w:rPr>
          <w:lang w:val="nl-NL"/>
        </w:rPr>
        <w:t xml:space="preserve">werd </w:t>
      </w:r>
      <w:r w:rsidR="00495B93">
        <w:rPr>
          <w:lang w:val="nl-NL"/>
        </w:rPr>
        <w:t>opgenomen</w:t>
      </w:r>
      <w:r w:rsidRPr="006D0278">
        <w:rPr>
          <w:lang w:val="nl-NL"/>
        </w:rPr>
        <w:t xml:space="preserve"> van een instelling X naar een instelling Y, bedoeld door artikel 2, §1, van de wet van 2 april 1965 (opvangtehuis, rusthuis, psychiatrisch ziekenhuis, enz.). </w:t>
      </w:r>
    </w:p>
    <w:p w:rsidR="0022590B" w:rsidRPr="006D0278" w:rsidRDefault="0022590B" w:rsidP="0022590B">
      <w:pPr>
        <w:jc w:val="both"/>
        <w:rPr>
          <w:lang w:val="nl-NL"/>
        </w:rPr>
      </w:pPr>
    </w:p>
    <w:p w:rsidR="0022590B" w:rsidRPr="006D0278" w:rsidRDefault="008E706C" w:rsidP="00E26811">
      <w:pPr>
        <w:jc w:val="both"/>
        <w:rPr>
          <w:lang w:val="nl-NL"/>
        </w:rPr>
      </w:pPr>
      <w:r w:rsidRPr="006D0278">
        <w:rPr>
          <w:lang w:val="nl-NL"/>
        </w:rPr>
        <w:t>Het OCMW van de gemeente waar de betrokkene als hoofdverblijfplaats was ingeschreven in het bevolkingsregister op het ogenblik van zijn opname in instelling X is bevoegd.</w:t>
      </w:r>
    </w:p>
    <w:p w:rsidR="0022590B" w:rsidRPr="006D0278" w:rsidRDefault="0022590B" w:rsidP="0022590B">
      <w:pPr>
        <w:pStyle w:val="Letter"/>
        <w:jc w:val="both"/>
        <w:rPr>
          <w:rFonts w:ascii="Times New Roman" w:hAnsi="Times New Roman"/>
          <w:sz w:val="24"/>
          <w:szCs w:val="24"/>
          <w:lang w:val="nl-NL"/>
        </w:rPr>
      </w:pPr>
    </w:p>
    <w:p w:rsidR="00C86ACC" w:rsidRPr="006D0278" w:rsidRDefault="008E706C" w:rsidP="00E26811">
      <w:pPr>
        <w:pStyle w:val="Letter"/>
        <w:jc w:val="both"/>
        <w:rPr>
          <w:rFonts w:ascii="Times New Roman" w:hAnsi="Times New Roman"/>
          <w:sz w:val="24"/>
          <w:szCs w:val="24"/>
          <w:lang w:val="nl-NL"/>
        </w:rPr>
      </w:pPr>
      <w:r w:rsidRPr="006D0278">
        <w:rPr>
          <w:rFonts w:ascii="Times New Roman" w:hAnsi="Times New Roman"/>
          <w:sz w:val="24"/>
          <w:szCs w:val="24"/>
          <w:lang w:val="nl-NL"/>
        </w:rPr>
        <w:t xml:space="preserve">Indien de aanvrager niet </w:t>
      </w:r>
      <w:r w:rsidRPr="006D0278">
        <w:rPr>
          <w:rFonts w:ascii="Times New Roman" w:hAnsi="Times New Roman"/>
          <w:b/>
          <w:sz w:val="24"/>
          <w:szCs w:val="24"/>
          <w:lang w:val="nl-NL"/>
        </w:rPr>
        <w:t xml:space="preserve">ingeschreven was </w:t>
      </w:r>
      <w:r w:rsidR="00921B1B">
        <w:rPr>
          <w:rFonts w:ascii="Times New Roman" w:hAnsi="Times New Roman"/>
          <w:b/>
          <w:sz w:val="24"/>
          <w:szCs w:val="24"/>
          <w:lang w:val="nl-NL"/>
        </w:rPr>
        <w:t xml:space="preserve">voor zijn </w:t>
      </w:r>
      <w:r w:rsidRPr="006D0278">
        <w:rPr>
          <w:rFonts w:ascii="Times New Roman" w:hAnsi="Times New Roman"/>
          <w:b/>
          <w:sz w:val="24"/>
          <w:szCs w:val="24"/>
          <w:lang w:val="nl-NL"/>
        </w:rPr>
        <w:t>hoofdverblijf</w:t>
      </w:r>
      <w:r w:rsidRPr="006D0278">
        <w:rPr>
          <w:rFonts w:ascii="Times New Roman" w:hAnsi="Times New Roman"/>
          <w:sz w:val="24"/>
          <w:szCs w:val="24"/>
          <w:lang w:val="nl-NL"/>
        </w:rPr>
        <w:t xml:space="preserve"> op het ogenblik van zijn eerste opname in instelling X, zijn de paragrafen 1 en 3 van artikel 2 van de wet van 2 april 1965 niet van toepassing. De algemene bevoegdheidsregel van artikel 1</w:t>
      </w:r>
      <w:r w:rsidRPr="006D0278">
        <w:rPr>
          <w:rFonts w:ascii="Times New Roman" w:hAnsi="Times New Roman"/>
          <w:bCs/>
          <w:sz w:val="24"/>
          <w:szCs w:val="24"/>
          <w:lang w:val="nl-NL"/>
        </w:rPr>
        <w:t>, 1°, van de wet van 2 april 1965 is dus van toepassing, meer bepaald de gewoonlijke verblijfplaats.</w:t>
      </w:r>
    </w:p>
    <w:p w:rsidR="00C86ACC" w:rsidRPr="006D0278" w:rsidRDefault="00C86ACC" w:rsidP="00C86ACC">
      <w:pPr>
        <w:ind w:left="1800"/>
        <w:jc w:val="both"/>
        <w:rPr>
          <w:lang w:val="nl-NL"/>
        </w:rPr>
      </w:pPr>
    </w:p>
    <w:p w:rsidR="00C86ACC" w:rsidRPr="006D0278" w:rsidRDefault="008E706C" w:rsidP="00E26811">
      <w:pPr>
        <w:pStyle w:val="Retraitcorpsdetexte"/>
        <w:ind w:left="0"/>
        <w:rPr>
          <w:lang w:val="nl-NL"/>
        </w:rPr>
      </w:pPr>
      <w:r w:rsidRPr="006D0278">
        <w:rPr>
          <w:lang w:val="nl-NL"/>
        </w:rPr>
        <w:t xml:space="preserve">Indien er een </w:t>
      </w:r>
      <w:r w:rsidRPr="006D0278">
        <w:rPr>
          <w:b/>
          <w:lang w:val="nl-NL"/>
        </w:rPr>
        <w:t>onderbreking</w:t>
      </w:r>
      <w:r w:rsidRPr="006D0278">
        <w:rPr>
          <w:lang w:val="nl-NL"/>
        </w:rPr>
        <w:t xml:space="preserve"> is geweest tussen zijn opname in instelling X en Y bevindt de aanvrager zich na deze onderbreking van het verblijf in de toestand bedoeld door artikel 2, §1 </w:t>
      </w:r>
      <w:r w:rsidRPr="006D0278">
        <w:rPr>
          <w:bCs/>
          <w:lang w:val="nl-NL"/>
        </w:rPr>
        <w:t xml:space="preserve">van </w:t>
      </w:r>
      <w:r w:rsidR="00495B93" w:rsidRPr="006D0278">
        <w:rPr>
          <w:bCs/>
          <w:lang w:val="nl-NL"/>
        </w:rPr>
        <w:t xml:space="preserve">de </w:t>
      </w:r>
      <w:r w:rsidRPr="006D0278">
        <w:rPr>
          <w:bCs/>
          <w:lang w:val="nl-NL"/>
        </w:rPr>
        <w:t>wet van 2 april 1965. De territoriale bevoegdheid van het OCMW moet dus bepaald worden overeenkomstig deze specifieke regel, in afwijking van de algemene bevoegdheidsregel. Het OCMW van de gemeente waar de betrokkene als hoofdverblijfplaats was ingeschreven in het bevolkingsregister op het ogenblik van zijn opname in instelling Y is bevoegd.</w:t>
      </w:r>
    </w:p>
    <w:p w:rsidR="00593BFD" w:rsidRPr="006D0278" w:rsidRDefault="00D03B04" w:rsidP="00D03B04">
      <w:pPr>
        <w:ind w:left="720"/>
        <w:jc w:val="both"/>
        <w:rPr>
          <w:b/>
          <w:bCs/>
          <w:i/>
          <w:lang w:val="nl-NL"/>
        </w:rPr>
      </w:pPr>
      <w:r w:rsidRPr="006D0278">
        <w:rPr>
          <w:b/>
          <w:bCs/>
          <w:i/>
          <w:lang w:val="nl-NL"/>
        </w:rPr>
        <w:br w:type="page"/>
      </w:r>
    </w:p>
    <w:p w:rsidR="00843780" w:rsidRPr="006D0278" w:rsidRDefault="008E706C" w:rsidP="00A205A8">
      <w:pPr>
        <w:pStyle w:val="Titre2"/>
        <w:ind w:left="357" w:firstLine="0"/>
        <w:rPr>
          <w:sz w:val="28"/>
          <w:lang w:val="nl-NL"/>
        </w:rPr>
      </w:pPr>
      <w:bookmarkStart w:id="43" w:name="_Toc51469039"/>
      <w:bookmarkStart w:id="44" w:name="_Toc70850284"/>
      <w:bookmarkStart w:id="45" w:name="_Toc423509535"/>
      <w:r w:rsidRPr="006D0278">
        <w:rPr>
          <w:sz w:val="28"/>
          <w:lang w:val="nl-NL"/>
        </w:rPr>
        <w:lastRenderedPageBreak/>
        <w:t xml:space="preserve">4. </w:t>
      </w:r>
      <w:bookmarkEnd w:id="43"/>
      <w:bookmarkEnd w:id="44"/>
      <w:r w:rsidRPr="006D0278">
        <w:rPr>
          <w:sz w:val="28"/>
          <w:lang w:val="nl-NL"/>
        </w:rPr>
        <w:t>Conflicten inzake studenten</w:t>
      </w:r>
      <w:bookmarkEnd w:id="45"/>
    </w:p>
    <w:p w:rsidR="00666646" w:rsidRPr="006D0278" w:rsidRDefault="00666646" w:rsidP="00666646">
      <w:pPr>
        <w:rPr>
          <w:lang w:val="nl-NL"/>
        </w:rPr>
      </w:pPr>
    </w:p>
    <w:p w:rsidR="00346A96" w:rsidRPr="006D0278" w:rsidRDefault="00346A96" w:rsidP="00666646">
      <w:pPr>
        <w:rPr>
          <w:lang w:val="nl-NL"/>
        </w:rPr>
      </w:pPr>
    </w:p>
    <w:p w:rsidR="004D1C2F" w:rsidRPr="006D0278" w:rsidRDefault="008E706C" w:rsidP="0069222D">
      <w:pPr>
        <w:pStyle w:val="Titre3"/>
        <w:ind w:left="720" w:firstLine="0"/>
        <w:rPr>
          <w:b/>
          <w:bCs/>
          <w:sz w:val="24"/>
          <w:u w:val="single"/>
          <w:lang w:val="nl-NL"/>
        </w:rPr>
      </w:pPr>
      <w:bookmarkStart w:id="46" w:name="_Toc423509536"/>
      <w:r w:rsidRPr="006D0278">
        <w:rPr>
          <w:b/>
          <w:bCs/>
          <w:sz w:val="24"/>
          <w:u w:val="single"/>
          <w:lang w:val="nl-NL"/>
        </w:rPr>
        <w:t xml:space="preserve">1. Aantal dossiers in </w:t>
      </w:r>
      <w:r w:rsidR="00B55B55" w:rsidRPr="006D0278">
        <w:rPr>
          <w:b/>
          <w:bCs/>
          <w:sz w:val="24"/>
          <w:u w:val="single"/>
          <w:lang w:val="nl-NL"/>
        </w:rPr>
        <w:t>201</w:t>
      </w:r>
      <w:r w:rsidR="00CC26BF">
        <w:rPr>
          <w:b/>
          <w:bCs/>
          <w:sz w:val="24"/>
          <w:u w:val="single"/>
          <w:lang w:val="nl-NL"/>
        </w:rPr>
        <w:t>4</w:t>
      </w:r>
      <w:bookmarkEnd w:id="46"/>
      <w:r w:rsidR="00B55B55" w:rsidRPr="006D0278">
        <w:rPr>
          <w:b/>
          <w:bCs/>
          <w:sz w:val="24"/>
          <w:u w:val="single"/>
          <w:lang w:val="nl-NL"/>
        </w:rPr>
        <w:t xml:space="preserve"> </w:t>
      </w:r>
    </w:p>
    <w:p w:rsidR="004D1C2F" w:rsidRPr="006D0278" w:rsidRDefault="004D1C2F" w:rsidP="004D1C2F">
      <w:pPr>
        <w:pStyle w:val="Titre2"/>
        <w:ind w:firstLine="540"/>
        <w:rPr>
          <w:b w:val="0"/>
          <w:lang w:val="nl-NL"/>
        </w:rPr>
      </w:pPr>
    </w:p>
    <w:p w:rsidR="006E7408" w:rsidRPr="006D0278" w:rsidRDefault="00B55B55" w:rsidP="006E7408">
      <w:pPr>
        <w:pStyle w:val="Opmaakprofiel1"/>
        <w:ind w:left="720" w:firstLine="720"/>
      </w:pPr>
      <w:r w:rsidRPr="006D0278">
        <w:t>1</w:t>
      </w:r>
      <w:r w:rsidR="00CC26BF">
        <w:t>39</w:t>
      </w:r>
      <w:r w:rsidRPr="006D0278">
        <w:t xml:space="preserve"> </w:t>
      </w:r>
      <w:r w:rsidR="008E706C" w:rsidRPr="006D0278">
        <w:t xml:space="preserve">dossiers op </w:t>
      </w:r>
      <w:r>
        <w:t>4</w:t>
      </w:r>
      <w:r w:rsidR="00CC26BF">
        <w:t>9</w:t>
      </w:r>
      <w:r>
        <w:t>3</w:t>
      </w:r>
      <w:r w:rsidRPr="006D0278">
        <w:t xml:space="preserve"> </w:t>
      </w:r>
      <w:r w:rsidR="008E706C" w:rsidRPr="006D0278">
        <w:t xml:space="preserve">ontvankelijke dossiers, hetzij </w:t>
      </w:r>
      <w:r w:rsidRPr="006D0278">
        <w:t>2</w:t>
      </w:r>
      <w:r w:rsidR="00CC26BF">
        <w:t>8</w:t>
      </w:r>
      <w:r w:rsidRPr="006D0278">
        <w:t xml:space="preserve"> </w:t>
      </w:r>
      <w:r w:rsidR="008E706C" w:rsidRPr="006D0278">
        <w:t>%</w:t>
      </w:r>
    </w:p>
    <w:p w:rsidR="006E7408" w:rsidRPr="006D0278" w:rsidRDefault="008E706C" w:rsidP="006E7408">
      <w:pPr>
        <w:ind w:left="720" w:firstLine="720"/>
        <w:jc w:val="both"/>
        <w:rPr>
          <w:lang w:val="nl-NL"/>
        </w:rPr>
      </w:pPr>
      <w:r w:rsidRPr="006D0278">
        <w:rPr>
          <w:lang w:val="nl-NL"/>
        </w:rPr>
        <w:t xml:space="preserve">Nederlandstalige dossiers: </w:t>
      </w:r>
      <w:r w:rsidR="00B55B55">
        <w:rPr>
          <w:lang w:val="nl-NL"/>
        </w:rPr>
        <w:t>3</w:t>
      </w:r>
      <w:r w:rsidR="00CC26BF">
        <w:rPr>
          <w:lang w:val="nl-NL"/>
        </w:rPr>
        <w:t>2</w:t>
      </w:r>
      <w:r w:rsidR="00B55B55" w:rsidRPr="006D0278">
        <w:rPr>
          <w:lang w:val="nl-NL"/>
        </w:rPr>
        <w:t xml:space="preserve"> </w:t>
      </w:r>
      <w:r w:rsidRPr="006D0278">
        <w:rPr>
          <w:lang w:val="nl-NL"/>
        </w:rPr>
        <w:t xml:space="preserve">op </w:t>
      </w:r>
      <w:r w:rsidR="00CC26BF">
        <w:rPr>
          <w:lang w:val="nl-NL"/>
        </w:rPr>
        <w:t>180</w:t>
      </w:r>
      <w:r w:rsidR="00B55B55" w:rsidRPr="006D0278">
        <w:rPr>
          <w:lang w:val="nl-NL"/>
        </w:rPr>
        <w:t xml:space="preserve"> </w:t>
      </w:r>
      <w:r w:rsidRPr="006D0278">
        <w:rPr>
          <w:lang w:val="nl-NL"/>
        </w:rPr>
        <w:t xml:space="preserve">ontvankelijke dossiers, hetzij </w:t>
      </w:r>
      <w:r w:rsidR="00B55B55">
        <w:rPr>
          <w:lang w:val="nl-NL"/>
        </w:rPr>
        <w:t>18</w:t>
      </w:r>
      <w:r w:rsidR="00B55B55" w:rsidRPr="006D0278">
        <w:rPr>
          <w:lang w:val="nl-NL"/>
        </w:rPr>
        <w:t xml:space="preserve"> </w:t>
      </w:r>
      <w:r w:rsidRPr="006D0278">
        <w:rPr>
          <w:lang w:val="nl-NL"/>
        </w:rPr>
        <w:t>%</w:t>
      </w:r>
    </w:p>
    <w:p w:rsidR="006E7408" w:rsidRPr="006D0278" w:rsidRDefault="008E706C" w:rsidP="006E7408">
      <w:pPr>
        <w:ind w:left="720" w:firstLine="720"/>
        <w:jc w:val="both"/>
        <w:rPr>
          <w:highlight w:val="yellow"/>
          <w:lang w:val="nl-NL"/>
        </w:rPr>
      </w:pPr>
      <w:r w:rsidRPr="006D0278">
        <w:rPr>
          <w:lang w:val="nl-NL"/>
        </w:rPr>
        <w:t xml:space="preserve">Franstalige dossiers: </w:t>
      </w:r>
      <w:r w:rsidR="00CC26BF">
        <w:rPr>
          <w:lang w:val="nl-NL"/>
        </w:rPr>
        <w:t>107</w:t>
      </w:r>
      <w:r w:rsidR="00B55B55" w:rsidRPr="006D0278">
        <w:rPr>
          <w:lang w:val="nl-NL"/>
        </w:rPr>
        <w:t xml:space="preserve"> </w:t>
      </w:r>
      <w:r w:rsidRPr="006D0278">
        <w:rPr>
          <w:lang w:val="nl-NL"/>
        </w:rPr>
        <w:t xml:space="preserve">op </w:t>
      </w:r>
      <w:r w:rsidR="00CC26BF">
        <w:rPr>
          <w:lang w:val="nl-NL"/>
        </w:rPr>
        <w:t>313</w:t>
      </w:r>
      <w:r w:rsidR="00B55B55" w:rsidRPr="006D0278">
        <w:rPr>
          <w:lang w:val="nl-NL"/>
        </w:rPr>
        <w:t xml:space="preserve"> </w:t>
      </w:r>
      <w:r w:rsidRPr="006D0278">
        <w:rPr>
          <w:lang w:val="nl-NL"/>
        </w:rPr>
        <w:t xml:space="preserve">ontvankelijke dossiers, hetzij </w:t>
      </w:r>
      <w:r w:rsidR="00B55B55">
        <w:rPr>
          <w:lang w:val="nl-NL"/>
        </w:rPr>
        <w:t>3</w:t>
      </w:r>
      <w:r w:rsidR="00CC26BF">
        <w:rPr>
          <w:lang w:val="nl-NL"/>
        </w:rPr>
        <w:t>4</w:t>
      </w:r>
      <w:r w:rsidR="00B55B55" w:rsidRPr="006D0278">
        <w:rPr>
          <w:lang w:val="nl-NL"/>
        </w:rPr>
        <w:t xml:space="preserve"> </w:t>
      </w:r>
      <w:r w:rsidRPr="006D0278">
        <w:rPr>
          <w:lang w:val="nl-NL"/>
        </w:rPr>
        <w:t>%</w:t>
      </w:r>
    </w:p>
    <w:p w:rsidR="006E7408" w:rsidRPr="006D0278" w:rsidRDefault="006E7408" w:rsidP="004D1C2F">
      <w:pPr>
        <w:ind w:left="720" w:firstLine="720"/>
        <w:jc w:val="both"/>
        <w:rPr>
          <w:highlight w:val="yellow"/>
          <w:lang w:val="nl-NL"/>
        </w:rPr>
      </w:pPr>
    </w:p>
    <w:p w:rsidR="006C2733" w:rsidRPr="006D0278" w:rsidRDefault="008E706C" w:rsidP="00B45027">
      <w:pPr>
        <w:ind w:left="1440"/>
        <w:jc w:val="both"/>
        <w:rPr>
          <w:lang w:val="nl-NL"/>
        </w:rPr>
      </w:pPr>
      <w:r w:rsidRPr="006D0278">
        <w:rPr>
          <w:lang w:val="nl-NL"/>
        </w:rPr>
        <w:t>De conflicten inzake studenten blijven zeer hoog en dit om verschillende redenen:</w:t>
      </w:r>
    </w:p>
    <w:p w:rsidR="006C2733" w:rsidRPr="006D0278" w:rsidRDefault="008E706C" w:rsidP="00DA101F">
      <w:pPr>
        <w:numPr>
          <w:ilvl w:val="0"/>
          <w:numId w:val="3"/>
        </w:numPr>
        <w:jc w:val="both"/>
        <w:rPr>
          <w:lang w:val="nl-NL"/>
        </w:rPr>
      </w:pPr>
      <w:r w:rsidRPr="006D0278">
        <w:rPr>
          <w:lang w:val="nl-NL"/>
        </w:rPr>
        <w:t>de OCMW’s ondervinden moeilijkheden bij de interpretatie van bepaalde sleutelbegrippen zoals:</w:t>
      </w:r>
    </w:p>
    <w:p w:rsidR="006C2733" w:rsidRPr="007B4441" w:rsidRDefault="008E706C" w:rsidP="00DA101F">
      <w:pPr>
        <w:numPr>
          <w:ilvl w:val="1"/>
          <w:numId w:val="3"/>
        </w:numPr>
        <w:jc w:val="both"/>
        <w:rPr>
          <w:lang w:val="fr-BE"/>
        </w:rPr>
      </w:pPr>
      <w:r>
        <w:rPr>
          <w:lang w:val="fr-BE"/>
        </w:rPr>
        <w:t>studies met volledig leerplan;</w:t>
      </w:r>
    </w:p>
    <w:p w:rsidR="006C2733" w:rsidRPr="006D0278" w:rsidRDefault="008E706C" w:rsidP="00DA101F">
      <w:pPr>
        <w:numPr>
          <w:ilvl w:val="1"/>
          <w:numId w:val="3"/>
        </w:numPr>
        <w:jc w:val="both"/>
        <w:rPr>
          <w:lang w:val="nl-NL"/>
        </w:rPr>
      </w:pPr>
      <w:r w:rsidRPr="006D0278">
        <w:rPr>
          <w:lang w:val="nl-NL"/>
        </w:rPr>
        <w:t>de "ononderbroken" duur van de studies;</w:t>
      </w:r>
    </w:p>
    <w:p w:rsidR="006C2733" w:rsidRPr="006D0278" w:rsidRDefault="008E706C" w:rsidP="00DA101F">
      <w:pPr>
        <w:numPr>
          <w:ilvl w:val="0"/>
          <w:numId w:val="3"/>
        </w:numPr>
        <w:rPr>
          <w:lang w:val="nl-NL"/>
        </w:rPr>
      </w:pPr>
      <w:r w:rsidRPr="006D0278">
        <w:rPr>
          <w:lang w:val="nl-NL"/>
        </w:rPr>
        <w:t>de complexiteit van de dossiers;</w:t>
      </w:r>
    </w:p>
    <w:p w:rsidR="006C2733" w:rsidRPr="006D0278" w:rsidRDefault="008E706C" w:rsidP="00DA101F">
      <w:pPr>
        <w:numPr>
          <w:ilvl w:val="0"/>
          <w:numId w:val="3"/>
        </w:numPr>
        <w:jc w:val="both"/>
        <w:rPr>
          <w:lang w:val="nl-NL"/>
        </w:rPr>
      </w:pPr>
      <w:r w:rsidRPr="006D0278">
        <w:rPr>
          <w:lang w:val="nl-NL"/>
        </w:rPr>
        <w:t>er zijn vele onderwijstypes, waardoor er soms verwarring ontstaat.</w:t>
      </w:r>
    </w:p>
    <w:p w:rsidR="006C2733" w:rsidRPr="006D0278" w:rsidRDefault="006C2733" w:rsidP="006C2733">
      <w:pPr>
        <w:rPr>
          <w:lang w:val="nl-NL"/>
        </w:rPr>
      </w:pPr>
    </w:p>
    <w:p w:rsidR="0069222D" w:rsidRPr="006D0278" w:rsidRDefault="0069222D" w:rsidP="006C2733">
      <w:pPr>
        <w:rPr>
          <w:lang w:val="nl-NL"/>
        </w:rPr>
      </w:pPr>
    </w:p>
    <w:p w:rsidR="003863B5" w:rsidRDefault="008E706C" w:rsidP="0069222D">
      <w:pPr>
        <w:pStyle w:val="Titre3"/>
        <w:numPr>
          <w:ilvl w:val="0"/>
          <w:numId w:val="14"/>
        </w:numPr>
        <w:rPr>
          <w:b/>
          <w:bCs/>
          <w:sz w:val="24"/>
          <w:u w:val="single"/>
        </w:rPr>
      </w:pPr>
      <w:bookmarkStart w:id="47" w:name="_Toc423509537"/>
      <w:r>
        <w:rPr>
          <w:b/>
          <w:bCs/>
          <w:sz w:val="24"/>
          <w:u w:val="single"/>
        </w:rPr>
        <w:t>Wettelijke bepaling</w:t>
      </w:r>
      <w:bookmarkEnd w:id="47"/>
    </w:p>
    <w:p w:rsidR="0069222D" w:rsidRPr="0069222D" w:rsidRDefault="0069222D" w:rsidP="0069222D">
      <w:pPr>
        <w:ind w:left="720"/>
        <w:rPr>
          <w:lang w:val="fr-FR"/>
        </w:rPr>
      </w:pPr>
    </w:p>
    <w:p w:rsidR="003863B5" w:rsidRPr="007B4441" w:rsidRDefault="003863B5" w:rsidP="003863B5">
      <w:pPr>
        <w:ind w:left="1080"/>
        <w:jc w:val="both"/>
        <w:rPr>
          <w:lang w:val="fr-FR"/>
        </w:rPr>
      </w:pPr>
    </w:p>
    <w:p w:rsidR="003863B5" w:rsidRPr="006D0278" w:rsidRDefault="008E706C"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dr w:val="dashed" w:sz="4" w:space="0" w:color="CCFFFF"/>
          <w:lang w:val="nl-NL"/>
        </w:rPr>
      </w:pPr>
      <w:r w:rsidRPr="006D0278">
        <w:rPr>
          <w:bdr w:val="dashed" w:sz="4" w:space="0" w:color="CCFFFF"/>
          <w:lang w:val="nl-NL"/>
        </w:rPr>
        <w:t>Art. 2, §6, van de wet van 1965 april betreffende het ten laste nemen van de steun verleend door de openbare centra voor maatschappelijk welzijn:</w:t>
      </w:r>
    </w:p>
    <w:p w:rsidR="003863B5" w:rsidRPr="006D0278" w:rsidRDefault="003863B5"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dr w:val="dashed" w:sz="4" w:space="0" w:color="CCFFFF"/>
          <w:lang w:val="nl-NL"/>
        </w:rPr>
      </w:pPr>
    </w:p>
    <w:p w:rsidR="003863B5" w:rsidRPr="006D0278" w:rsidRDefault="008E706C"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Cs/>
          <w:i/>
          <w:bdr w:val="dashed" w:sz="4" w:space="0" w:color="CCFFFF"/>
          <w:lang w:val="nl-NL"/>
        </w:rPr>
      </w:pPr>
      <w:r w:rsidRPr="006D0278">
        <w:rPr>
          <w:bCs/>
          <w:bdr w:val="dashed" w:sz="4" w:space="0" w:color="CCFFFF"/>
          <w:lang w:val="nl-NL"/>
        </w:rPr>
        <w:t>"</w:t>
      </w:r>
      <w:r w:rsidRPr="006D0278">
        <w:rPr>
          <w:bCs/>
          <w:i/>
          <w:bdr w:val="dashed" w:sz="4" w:space="0" w:color="CCFFFF"/>
          <w:lang w:val="nl-NL"/>
        </w:rPr>
        <w:t>In afwijking van artikel 1, 1°, is het steunverlenend openbaar centrum voor maatschappelijk welzijn van de persoon die een studie volgt in de zin van artikel 11, § 2, a, van de wet van 26 mei 2002 tot instelling van het recht op maatschappelijke integratie, het openbaar centrum voor maatschappelijk welzijn van de gemeente waar de student, op het ogenblik van de aanvraag, zijn inschrijving als hoofdverblijfplaats heeft in het bevolkings- of vreemdelingenregister.</w:t>
      </w:r>
    </w:p>
    <w:p w:rsidR="003863B5" w:rsidRPr="006D0278" w:rsidRDefault="003863B5"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Cs/>
          <w:i/>
          <w:bdr w:val="dashed" w:sz="4" w:space="0" w:color="CCFFFF"/>
          <w:lang w:val="nl-NL"/>
        </w:rPr>
      </w:pPr>
    </w:p>
    <w:p w:rsidR="003863B5" w:rsidRPr="006D0278" w:rsidRDefault="008E706C"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Cs/>
          <w:bdr w:val="dashed" w:sz="4" w:space="0" w:color="CCFFFF"/>
          <w:lang w:val="nl-NL"/>
        </w:rPr>
      </w:pPr>
      <w:r w:rsidRPr="006D0278">
        <w:rPr>
          <w:bCs/>
          <w:i/>
          <w:bdr w:val="dashed" w:sz="4" w:space="0" w:color="CCFFFF"/>
          <w:lang w:val="nl-NL"/>
        </w:rPr>
        <w:t>Dit OCMW blijft bevoegd voor de gehele ononderbroken duur van de studies. </w:t>
      </w:r>
      <w:r w:rsidRPr="006D0278">
        <w:rPr>
          <w:bCs/>
          <w:bdr w:val="dashed" w:sz="4" w:space="0" w:color="CCFFFF"/>
          <w:lang w:val="nl-NL"/>
        </w:rPr>
        <w:t>"</w:t>
      </w:r>
    </w:p>
    <w:p w:rsidR="000C50EC" w:rsidRPr="006D0278" w:rsidRDefault="000C50EC" w:rsidP="00393A06">
      <w:pPr>
        <w:ind w:left="1080"/>
        <w:jc w:val="both"/>
        <w:rPr>
          <w:lang w:val="nl-NL"/>
        </w:rPr>
      </w:pPr>
    </w:p>
    <w:p w:rsidR="003863B5" w:rsidRPr="006D0278" w:rsidRDefault="003863B5" w:rsidP="00393A06">
      <w:pPr>
        <w:ind w:left="1080"/>
        <w:jc w:val="both"/>
        <w:rPr>
          <w:lang w:val="nl-NL"/>
        </w:rPr>
      </w:pPr>
    </w:p>
    <w:p w:rsidR="00C1714D" w:rsidRPr="006D0278" w:rsidRDefault="008E706C" w:rsidP="00C1714D">
      <w:pPr>
        <w:ind w:left="720"/>
        <w:jc w:val="both"/>
        <w:rPr>
          <w:lang w:val="nl-NL"/>
        </w:rPr>
      </w:pPr>
      <w:r w:rsidRPr="006D0278">
        <w:rPr>
          <w:lang w:val="nl-NL"/>
        </w:rPr>
        <w:t xml:space="preserve">De wet voorziet erin dat het OCMW van de gemeente waar de student is ingeschreven, als hoofdverblijfplaats, in het bevolkings- of vreemdelingenregister op het ogenblik dat hij zijn aanvraag indient, bevoegd is. De wet </w:t>
      </w:r>
      <w:r w:rsidR="00495B93" w:rsidRPr="006D0278">
        <w:rPr>
          <w:lang w:val="nl-NL"/>
        </w:rPr>
        <w:t>verduidelijkt</w:t>
      </w:r>
      <w:r w:rsidRPr="006D0278">
        <w:rPr>
          <w:lang w:val="nl-NL"/>
        </w:rPr>
        <w:t xml:space="preserve"> dat dit OCMW bevoegd blijft "voor de gehele ononderbroken duur van de studies."</w:t>
      </w:r>
    </w:p>
    <w:p w:rsidR="00C1714D" w:rsidRPr="006D0278" w:rsidRDefault="00C1714D" w:rsidP="00393A06">
      <w:pPr>
        <w:ind w:left="1080"/>
        <w:jc w:val="both"/>
        <w:rPr>
          <w:lang w:val="nl-NL"/>
        </w:rPr>
      </w:pPr>
    </w:p>
    <w:p w:rsidR="00C1714D" w:rsidRPr="006D0278" w:rsidRDefault="008E706C" w:rsidP="00F96962">
      <w:pPr>
        <w:ind w:left="720"/>
        <w:jc w:val="both"/>
        <w:rPr>
          <w:lang w:val="nl-NL"/>
        </w:rPr>
      </w:pPr>
      <w:r w:rsidRPr="006D0278">
        <w:rPr>
          <w:lang w:val="nl-NL"/>
        </w:rPr>
        <w:t xml:space="preserve">Deze bevoegdheidsregel werd uitgelegd in de omzendbrief van 3 augustus </w:t>
      </w:r>
      <w:r w:rsidR="00495B93" w:rsidRPr="006D0278">
        <w:rPr>
          <w:lang w:val="nl-NL"/>
        </w:rPr>
        <w:t xml:space="preserve">2004 </w:t>
      </w:r>
      <w:r w:rsidRPr="006D0278">
        <w:rPr>
          <w:lang w:val="nl-NL"/>
        </w:rPr>
        <w:t>betreffende het recht op maatschappelijke integratie - studenten en het recht op leefloon.</w:t>
      </w:r>
    </w:p>
    <w:p w:rsidR="00C1714D" w:rsidRPr="006D0278" w:rsidRDefault="00C1714D" w:rsidP="00393A06">
      <w:pPr>
        <w:ind w:left="1080"/>
        <w:jc w:val="both"/>
        <w:rPr>
          <w:lang w:val="nl-NL"/>
        </w:rPr>
      </w:pPr>
    </w:p>
    <w:p w:rsidR="00F96962" w:rsidRPr="006D0278" w:rsidRDefault="00F96962" w:rsidP="00393A06">
      <w:pPr>
        <w:ind w:left="1080"/>
        <w:jc w:val="both"/>
        <w:rPr>
          <w:lang w:val="nl-NL"/>
        </w:rPr>
      </w:pPr>
    </w:p>
    <w:p w:rsidR="003863B5" w:rsidRPr="006D0278" w:rsidRDefault="003863B5" w:rsidP="00393A06">
      <w:pPr>
        <w:ind w:left="1080"/>
        <w:jc w:val="both"/>
        <w:rPr>
          <w:lang w:val="nl-NL"/>
        </w:rPr>
      </w:pPr>
    </w:p>
    <w:p w:rsidR="009803C1" w:rsidRPr="006D0278" w:rsidRDefault="008E706C" w:rsidP="0069222D">
      <w:pPr>
        <w:pStyle w:val="Titre3"/>
        <w:spacing w:before="0" w:after="0"/>
        <w:ind w:firstLine="0"/>
        <w:jc w:val="center"/>
        <w:rPr>
          <w:b/>
          <w:bCs/>
          <w:sz w:val="24"/>
          <w:u w:val="single"/>
          <w:lang w:val="nl-NL"/>
        </w:rPr>
      </w:pPr>
      <w:bookmarkStart w:id="48" w:name="_Toc162863002"/>
      <w:bookmarkStart w:id="49" w:name="_Toc423509538"/>
      <w:r w:rsidRPr="006D0278">
        <w:rPr>
          <w:b/>
          <w:bCs/>
          <w:sz w:val="24"/>
          <w:u w:val="single"/>
          <w:lang w:val="nl-NL"/>
        </w:rPr>
        <w:lastRenderedPageBreak/>
        <w:t>3. Opmerkingen over de toepassing van artikel 2, § 6, van de wet van 2 april 1965</w:t>
      </w:r>
      <w:bookmarkEnd w:id="48"/>
      <w:bookmarkEnd w:id="49"/>
    </w:p>
    <w:p w:rsidR="009803C1" w:rsidRPr="006D0278" w:rsidRDefault="009803C1" w:rsidP="009803C1">
      <w:pPr>
        <w:rPr>
          <w:lang w:val="nl-NL"/>
        </w:rPr>
      </w:pPr>
    </w:p>
    <w:p w:rsidR="0056642D" w:rsidRPr="006D0278" w:rsidRDefault="0056642D" w:rsidP="009803C1">
      <w:pPr>
        <w:rPr>
          <w:lang w:val="nl-NL"/>
        </w:rPr>
      </w:pPr>
    </w:p>
    <w:p w:rsidR="00907123" w:rsidRPr="006D0278" w:rsidRDefault="008E706C" w:rsidP="00BD2403">
      <w:pPr>
        <w:pStyle w:val="Titre4"/>
        <w:ind w:left="720"/>
        <w:rPr>
          <w:lang w:val="nl-NL"/>
        </w:rPr>
      </w:pPr>
      <w:bookmarkStart w:id="50" w:name="_Toc423509539"/>
      <w:r w:rsidRPr="006D0278">
        <w:rPr>
          <w:lang w:val="nl-NL"/>
        </w:rPr>
        <w:t xml:space="preserve">3.1. </w:t>
      </w:r>
      <w:r w:rsidRPr="006D0278">
        <w:rPr>
          <w:u w:val="single"/>
          <w:lang w:val="nl-NL"/>
        </w:rPr>
        <w:t xml:space="preserve">Toepassingsgebied van artikel 2, § 6, van de wet van 2 april </w:t>
      </w:r>
      <w:r w:rsidRPr="006D0278">
        <w:rPr>
          <w:bCs w:val="0"/>
          <w:u w:val="single"/>
          <w:lang w:val="nl-NL"/>
        </w:rPr>
        <w:t>1965</w:t>
      </w:r>
      <w:bookmarkEnd w:id="50"/>
      <w:r w:rsidRPr="006D0278">
        <w:rPr>
          <w:bCs w:val="0"/>
          <w:u w:val="single"/>
          <w:lang w:val="nl-NL"/>
        </w:rPr>
        <w:t xml:space="preserve"> </w:t>
      </w:r>
    </w:p>
    <w:p w:rsidR="0056642D" w:rsidRPr="006D0278" w:rsidRDefault="0056642D" w:rsidP="0056642D">
      <w:pPr>
        <w:ind w:left="1080"/>
        <w:jc w:val="both"/>
        <w:rPr>
          <w:u w:val="single"/>
          <w:lang w:val="nl-NL"/>
        </w:rPr>
      </w:pPr>
    </w:p>
    <w:p w:rsidR="00F50D3D" w:rsidRPr="006D0278" w:rsidRDefault="00F50D3D" w:rsidP="00F50D3D">
      <w:pPr>
        <w:pStyle w:val="Titre5"/>
        <w:ind w:left="360" w:firstLine="720"/>
        <w:rPr>
          <w:rFonts w:ascii="Times New Roman" w:hAnsi="Times New Roman"/>
          <w:b w:val="0"/>
          <w:bCs w:val="0"/>
          <w:u w:val="single"/>
        </w:rPr>
      </w:pPr>
    </w:p>
    <w:p w:rsidR="00F50D3D" w:rsidRPr="006D0278" w:rsidRDefault="008E706C" w:rsidP="006E7408">
      <w:pPr>
        <w:pStyle w:val="Titre5"/>
        <w:ind w:left="540" w:firstLine="720"/>
        <w:rPr>
          <w:rFonts w:ascii="Times New Roman" w:hAnsi="Times New Roman"/>
          <w:bCs w:val="0"/>
        </w:rPr>
      </w:pPr>
      <w:bookmarkStart w:id="51" w:name="_Toc423509540"/>
      <w:r w:rsidRPr="006D0278">
        <w:rPr>
          <w:rFonts w:ascii="Times New Roman" w:hAnsi="Times New Roman"/>
          <w:bCs w:val="0"/>
        </w:rPr>
        <w:t>1) Toepassingsvoorwaarden</w:t>
      </w:r>
      <w:bookmarkEnd w:id="51"/>
    </w:p>
    <w:p w:rsidR="00F50D3D" w:rsidRPr="006D0278" w:rsidRDefault="00F50D3D" w:rsidP="00F50D3D">
      <w:pPr>
        <w:ind w:left="1080"/>
        <w:jc w:val="both"/>
        <w:rPr>
          <w:lang w:val="nl-NL"/>
        </w:rPr>
      </w:pPr>
    </w:p>
    <w:p w:rsidR="00907123" w:rsidRPr="006D0278" w:rsidRDefault="008E706C" w:rsidP="006E7408">
      <w:pPr>
        <w:ind w:left="1260"/>
        <w:jc w:val="both"/>
        <w:rPr>
          <w:lang w:val="nl-NL"/>
        </w:rPr>
      </w:pPr>
      <w:r w:rsidRPr="006D0278">
        <w:rPr>
          <w:lang w:val="nl-NL"/>
        </w:rPr>
        <w:t xml:space="preserve">De specifieke regel voor studenten is van toepassing wanneer de aanvrager de hoedanigheid heeft van student en aan de volgende </w:t>
      </w:r>
      <w:r w:rsidRPr="006D0278">
        <w:rPr>
          <w:u w:val="single"/>
          <w:lang w:val="nl-NL"/>
        </w:rPr>
        <w:t>voorwaarden</w:t>
      </w:r>
      <w:r w:rsidRPr="006D0278">
        <w:rPr>
          <w:lang w:val="nl-NL"/>
        </w:rPr>
        <w:t xml:space="preserve"> voldoet: </w:t>
      </w:r>
    </w:p>
    <w:p w:rsidR="00DA101F" w:rsidRPr="006D0278" w:rsidRDefault="008E706C" w:rsidP="00DA101F">
      <w:pPr>
        <w:numPr>
          <w:ilvl w:val="0"/>
          <w:numId w:val="3"/>
        </w:numPr>
        <w:jc w:val="both"/>
        <w:rPr>
          <w:lang w:val="nl-NL"/>
        </w:rPr>
      </w:pPr>
      <w:r w:rsidRPr="006D0278">
        <w:rPr>
          <w:lang w:val="nl-NL"/>
        </w:rPr>
        <w:t>hij moet meerderjarig en minder dan 25 jaar oud zijn</w:t>
      </w:r>
    </w:p>
    <w:p w:rsidR="00907123" w:rsidRPr="006D0278" w:rsidRDefault="008E706C" w:rsidP="00DA101F">
      <w:pPr>
        <w:numPr>
          <w:ilvl w:val="0"/>
          <w:numId w:val="3"/>
        </w:numPr>
        <w:jc w:val="both"/>
        <w:rPr>
          <w:lang w:val="nl-NL"/>
        </w:rPr>
      </w:pPr>
      <w:r w:rsidRPr="006D0278">
        <w:rPr>
          <w:lang w:val="nl-NL"/>
        </w:rPr>
        <w:t>hij moet zijn ingeschreven in een instelling erkend, georganiseerd of gesubsidieerd door de gemeenschappen om studies met volledig leerplan te volgen</w:t>
      </w:r>
    </w:p>
    <w:p w:rsidR="00325CA5" w:rsidRPr="006D0278" w:rsidRDefault="008E706C" w:rsidP="00DA101F">
      <w:pPr>
        <w:numPr>
          <w:ilvl w:val="0"/>
          <w:numId w:val="3"/>
        </w:numPr>
        <w:jc w:val="both"/>
        <w:rPr>
          <w:lang w:val="nl-NL"/>
        </w:rPr>
      </w:pPr>
      <w:r w:rsidRPr="006D0278">
        <w:rPr>
          <w:bCs/>
          <w:lang w:val="nl-NL"/>
        </w:rPr>
        <w:t>hij moet ingeschreven zijn, als hoofdverblijfplaats, in het bevolkings- of vreemdelingenregister op het ogenblik van zijn steunaanvraag.</w:t>
      </w:r>
    </w:p>
    <w:p w:rsidR="00325CA5" w:rsidRPr="006D0278" w:rsidRDefault="00325CA5" w:rsidP="00325CA5">
      <w:pPr>
        <w:jc w:val="both"/>
        <w:rPr>
          <w:lang w:val="nl-NL"/>
        </w:rPr>
      </w:pPr>
    </w:p>
    <w:p w:rsidR="0056642D" w:rsidRPr="006D0278" w:rsidRDefault="008E706C" w:rsidP="00F00091">
      <w:pPr>
        <w:pStyle w:val="Koptekst1"/>
        <w:ind w:left="1440"/>
        <w:jc w:val="both"/>
        <w:rPr>
          <w:rFonts w:ascii="Times New Roman" w:hAnsi="Times New Roman"/>
          <w:color w:val="000000"/>
          <w:lang w:val="nl-NL"/>
        </w:rPr>
      </w:pPr>
      <w:r w:rsidRPr="006D0278">
        <w:rPr>
          <w:rFonts w:ascii="Times New Roman" w:hAnsi="Times New Roman"/>
          <w:lang w:val="nl-NL"/>
        </w:rPr>
        <w:t>Indien de aanvrager aan een van deze voorwaarden niet beantwoordt, kan deze specifieke regel niet worden toegepast en valt men terug op de algemene bevoegdheidsregel</w:t>
      </w:r>
      <w:r w:rsidRPr="006D0278">
        <w:rPr>
          <w:rFonts w:ascii="Times New Roman" w:hAnsi="Times New Roman"/>
          <w:color w:val="000000"/>
          <w:lang w:val="nl-NL"/>
        </w:rPr>
        <w:t xml:space="preserve"> van artikel 1, 1°, van de wet van 2 april 1965 betreffende het ten laste nemen van de steun verleend door de openbare centra voor maatschappelijk welzijn. In dat geval is het OCMW van de gemeente waar de steunaanvrager gewoonlijk verblijft bevoegd. </w:t>
      </w:r>
    </w:p>
    <w:p w:rsidR="00DA101F" w:rsidRPr="006D0278" w:rsidRDefault="00DA101F" w:rsidP="0056642D">
      <w:pPr>
        <w:ind w:left="1080"/>
        <w:jc w:val="both"/>
        <w:rPr>
          <w:lang w:val="nl-NL"/>
        </w:rPr>
      </w:pPr>
    </w:p>
    <w:p w:rsidR="0056642D" w:rsidRPr="006D0278" w:rsidRDefault="0056642D" w:rsidP="00907123">
      <w:pPr>
        <w:ind w:left="720"/>
        <w:jc w:val="both"/>
        <w:rPr>
          <w:lang w:val="nl-NL"/>
        </w:rPr>
      </w:pPr>
    </w:p>
    <w:p w:rsidR="00F50D3D" w:rsidRPr="00575E90" w:rsidRDefault="008E706C" w:rsidP="006E7408">
      <w:pPr>
        <w:pStyle w:val="Titre5"/>
        <w:ind w:left="720" w:firstLine="720"/>
        <w:rPr>
          <w:rFonts w:ascii="Times New Roman" w:hAnsi="Times New Roman"/>
          <w:bCs w:val="0"/>
          <w:lang w:val="fr-FR"/>
        </w:rPr>
      </w:pPr>
      <w:bookmarkStart w:id="52" w:name="_Toc423509541"/>
      <w:r>
        <w:rPr>
          <w:rFonts w:ascii="Times New Roman" w:hAnsi="Times New Roman"/>
          <w:bCs w:val="0"/>
          <w:lang w:val="fr-FR"/>
        </w:rPr>
        <w:t>2) Studies met volledig leerplan:</w:t>
      </w:r>
      <w:bookmarkEnd w:id="52"/>
    </w:p>
    <w:p w:rsidR="00F50D3D" w:rsidRPr="00790ACF" w:rsidRDefault="00F50D3D" w:rsidP="00F50D3D">
      <w:pPr>
        <w:ind w:left="1080"/>
        <w:jc w:val="both"/>
        <w:rPr>
          <w:u w:val="single"/>
          <w:lang w:val="fr-FR"/>
        </w:rPr>
      </w:pPr>
    </w:p>
    <w:p w:rsidR="00DA101F" w:rsidRPr="006D0278" w:rsidRDefault="008E706C" w:rsidP="006E7408">
      <w:pPr>
        <w:numPr>
          <w:ilvl w:val="0"/>
          <w:numId w:val="18"/>
        </w:numPr>
        <w:jc w:val="both"/>
        <w:rPr>
          <w:lang w:val="nl-NL"/>
        </w:rPr>
      </w:pPr>
      <w:r w:rsidRPr="006D0278">
        <w:rPr>
          <w:u w:val="single"/>
          <w:lang w:val="nl-NL"/>
        </w:rPr>
        <w:t>Worden gelijkgesteld met studies met volledig leerplan</w:t>
      </w:r>
      <w:r w:rsidRPr="006D0278">
        <w:rPr>
          <w:lang w:val="nl-NL"/>
        </w:rPr>
        <w:t xml:space="preserve">: </w:t>
      </w:r>
    </w:p>
    <w:p w:rsidR="00DA101F" w:rsidRPr="006D0278" w:rsidRDefault="008E706C" w:rsidP="00DA101F">
      <w:pPr>
        <w:numPr>
          <w:ilvl w:val="0"/>
          <w:numId w:val="11"/>
        </w:numPr>
        <w:jc w:val="both"/>
        <w:rPr>
          <w:lang w:val="nl-NL"/>
        </w:rPr>
      </w:pPr>
      <w:r w:rsidRPr="006D0278">
        <w:rPr>
          <w:lang w:val="nl-NL"/>
        </w:rPr>
        <w:t xml:space="preserve">De dagopleidingen georganiseerd door het onderwijs voor sociale promotie die leiden tot een overeenstemmend getuigschrift van het onderwijs met volledig leerplan </w:t>
      </w:r>
    </w:p>
    <w:p w:rsidR="00DA101F" w:rsidRPr="00907123" w:rsidRDefault="008E706C" w:rsidP="00DA101F">
      <w:pPr>
        <w:numPr>
          <w:ilvl w:val="0"/>
          <w:numId w:val="11"/>
        </w:numPr>
        <w:jc w:val="both"/>
        <w:rPr>
          <w:lang w:val="fr-BE"/>
        </w:rPr>
      </w:pPr>
      <w:r>
        <w:rPr>
          <w:bCs/>
          <w:lang w:val="fr-FR"/>
        </w:rPr>
        <w:t>L’enseignement secondaire en alternance (CEFA)</w:t>
      </w:r>
    </w:p>
    <w:p w:rsidR="00DA101F" w:rsidRPr="00907123" w:rsidRDefault="008E706C" w:rsidP="00DA101F">
      <w:pPr>
        <w:numPr>
          <w:ilvl w:val="0"/>
          <w:numId w:val="11"/>
        </w:numPr>
        <w:jc w:val="both"/>
        <w:rPr>
          <w:lang w:val="fr-BE"/>
        </w:rPr>
      </w:pPr>
      <w:r>
        <w:rPr>
          <w:lang w:val="fr-FR"/>
        </w:rPr>
        <w:t>Leeropleiding voor de middenstand</w:t>
      </w:r>
    </w:p>
    <w:p w:rsidR="00907123" w:rsidRPr="00790ACF" w:rsidRDefault="00907123" w:rsidP="00907123">
      <w:pPr>
        <w:ind w:left="720"/>
        <w:jc w:val="both"/>
        <w:rPr>
          <w:lang w:val="fr-FR"/>
        </w:rPr>
      </w:pPr>
    </w:p>
    <w:p w:rsidR="00907123" w:rsidRPr="006D0278" w:rsidRDefault="008E706C" w:rsidP="006E7408">
      <w:pPr>
        <w:numPr>
          <w:ilvl w:val="1"/>
          <w:numId w:val="11"/>
        </w:numPr>
        <w:jc w:val="both"/>
        <w:rPr>
          <w:lang w:val="nl-NL"/>
        </w:rPr>
      </w:pPr>
      <w:r w:rsidRPr="006D0278">
        <w:rPr>
          <w:u w:val="single"/>
          <w:lang w:val="nl-NL"/>
        </w:rPr>
        <w:t>Worden niet beschouwd als studies met volledig leerplan</w:t>
      </w:r>
      <w:r w:rsidRPr="006D0278">
        <w:rPr>
          <w:lang w:val="nl-NL"/>
        </w:rPr>
        <w:t>:</w:t>
      </w:r>
    </w:p>
    <w:p w:rsidR="00325CA5" w:rsidRPr="006D0278" w:rsidRDefault="008E706C" w:rsidP="00DA101F">
      <w:pPr>
        <w:numPr>
          <w:ilvl w:val="0"/>
          <w:numId w:val="11"/>
        </w:numPr>
        <w:rPr>
          <w:b/>
          <w:lang w:val="nl-NL"/>
        </w:rPr>
      </w:pPr>
      <w:r w:rsidRPr="006D0278">
        <w:rPr>
          <w:lang w:val="nl-NL"/>
        </w:rPr>
        <w:t>Opleidingen in glijdende uurroosters, avondcursussen.</w:t>
      </w:r>
    </w:p>
    <w:p w:rsidR="00325CA5" w:rsidRPr="006D0278" w:rsidRDefault="008E706C" w:rsidP="00DA101F">
      <w:pPr>
        <w:pStyle w:val="Letter"/>
        <w:numPr>
          <w:ilvl w:val="0"/>
          <w:numId w:val="11"/>
        </w:numPr>
        <w:jc w:val="both"/>
        <w:rPr>
          <w:rFonts w:ascii="Times New Roman" w:hAnsi="Times New Roman"/>
          <w:b/>
          <w:sz w:val="24"/>
          <w:szCs w:val="24"/>
          <w:lang w:val="nl-NL"/>
        </w:rPr>
      </w:pPr>
      <w:r w:rsidRPr="006D0278">
        <w:rPr>
          <w:rFonts w:ascii="Times New Roman" w:hAnsi="Times New Roman"/>
          <w:sz w:val="24"/>
          <w:szCs w:val="24"/>
          <w:lang w:val="nl-NL"/>
        </w:rPr>
        <w:t xml:space="preserve">Cursussen gevolgd als vrije student. </w:t>
      </w:r>
    </w:p>
    <w:p w:rsidR="00325CA5" w:rsidRPr="00D83593" w:rsidRDefault="008E706C" w:rsidP="00DA101F">
      <w:pPr>
        <w:pStyle w:val="Letter"/>
        <w:numPr>
          <w:ilvl w:val="0"/>
          <w:numId w:val="11"/>
        </w:numPr>
        <w:jc w:val="both"/>
        <w:rPr>
          <w:rFonts w:ascii="Times New Roman" w:hAnsi="Times New Roman"/>
          <w:b/>
          <w:sz w:val="24"/>
          <w:szCs w:val="24"/>
          <w:lang w:val="fr-BE"/>
        </w:rPr>
      </w:pPr>
      <w:r>
        <w:rPr>
          <w:rFonts w:ascii="Times New Roman" w:hAnsi="Times New Roman"/>
          <w:sz w:val="24"/>
          <w:szCs w:val="24"/>
          <w:lang w:val="fr-BE"/>
        </w:rPr>
        <w:t>Cursussen per post, afstandsonderwijs.</w:t>
      </w:r>
    </w:p>
    <w:p w:rsidR="00325CA5" w:rsidRPr="006D0278" w:rsidRDefault="008E706C" w:rsidP="00DA101F">
      <w:pPr>
        <w:numPr>
          <w:ilvl w:val="0"/>
          <w:numId w:val="11"/>
        </w:numPr>
        <w:jc w:val="both"/>
        <w:rPr>
          <w:lang w:val="nl-NL"/>
        </w:rPr>
      </w:pPr>
      <w:r w:rsidRPr="006D0278">
        <w:rPr>
          <w:lang w:val="nl-NL"/>
        </w:rPr>
        <w:t>Onderwijs voor sociale promotie, dagonderwijs, dat niet leidt tot een overeenstemmend getuigschrift van het onderwijs met volledig leerplan</w:t>
      </w:r>
    </w:p>
    <w:p w:rsidR="00325CA5" w:rsidRPr="006D0278" w:rsidRDefault="008E706C" w:rsidP="00DA101F">
      <w:pPr>
        <w:numPr>
          <w:ilvl w:val="0"/>
          <w:numId w:val="11"/>
        </w:numPr>
        <w:jc w:val="both"/>
        <w:rPr>
          <w:lang w:val="nl-NL"/>
        </w:rPr>
      </w:pPr>
      <w:r w:rsidRPr="006D0278">
        <w:rPr>
          <w:lang w:val="nl-NL"/>
        </w:rPr>
        <w:t>Een taalopleiding die niet leidt tot een overeenstemmend getuigschrift van het onderwijs met volledig leerplan</w:t>
      </w:r>
    </w:p>
    <w:p w:rsidR="00325CA5" w:rsidRDefault="008E706C" w:rsidP="00DA101F">
      <w:pPr>
        <w:numPr>
          <w:ilvl w:val="0"/>
          <w:numId w:val="11"/>
        </w:numPr>
        <w:jc w:val="both"/>
        <w:rPr>
          <w:lang w:val="fr-BE"/>
        </w:rPr>
      </w:pPr>
      <w:r>
        <w:rPr>
          <w:lang w:val="fr-BE"/>
        </w:rPr>
        <w:t>Kwalificerende opleidingen</w:t>
      </w:r>
    </w:p>
    <w:p w:rsidR="00325CA5" w:rsidRPr="006D0278" w:rsidRDefault="008E706C" w:rsidP="00DA101F">
      <w:pPr>
        <w:numPr>
          <w:ilvl w:val="0"/>
          <w:numId w:val="11"/>
        </w:numPr>
        <w:jc w:val="both"/>
        <w:rPr>
          <w:lang w:val="nl-NL"/>
        </w:rPr>
      </w:pPr>
      <w:r w:rsidRPr="006D0278">
        <w:rPr>
          <w:color w:val="000000"/>
          <w:lang w:val="nl-NL"/>
        </w:rPr>
        <w:t>Studies gevolgd in onderwijsinstellingen in het buitenland</w:t>
      </w:r>
    </w:p>
    <w:p w:rsidR="006E7408" w:rsidRPr="006D0278" w:rsidRDefault="006E7408" w:rsidP="00325CA5">
      <w:pPr>
        <w:ind w:left="720" w:firstLine="360"/>
        <w:jc w:val="both"/>
        <w:rPr>
          <w:lang w:val="nl-NL"/>
        </w:rPr>
      </w:pPr>
    </w:p>
    <w:p w:rsidR="009920D9" w:rsidRDefault="009920D9" w:rsidP="006E7408">
      <w:pPr>
        <w:pStyle w:val="Titre5"/>
        <w:ind w:left="720" w:firstLine="720"/>
        <w:rPr>
          <w:rFonts w:ascii="Times New Roman" w:hAnsi="Times New Roman"/>
        </w:rPr>
      </w:pPr>
    </w:p>
    <w:p w:rsidR="009920D9" w:rsidRPr="009920D9" w:rsidRDefault="009920D9" w:rsidP="009920D9">
      <w:pPr>
        <w:rPr>
          <w:lang w:val="nl-NL"/>
        </w:rPr>
      </w:pPr>
    </w:p>
    <w:p w:rsidR="00E26811" w:rsidRDefault="00E26811" w:rsidP="006E7408">
      <w:pPr>
        <w:pStyle w:val="Titre5"/>
        <w:ind w:left="720" w:firstLine="720"/>
        <w:rPr>
          <w:rFonts w:ascii="Times New Roman" w:hAnsi="Times New Roman"/>
        </w:rPr>
      </w:pPr>
    </w:p>
    <w:p w:rsidR="00907123" w:rsidRPr="006D0278" w:rsidRDefault="008E706C" w:rsidP="006E7408">
      <w:pPr>
        <w:pStyle w:val="Titre5"/>
        <w:ind w:left="720" w:firstLine="720"/>
        <w:rPr>
          <w:rFonts w:ascii="Times New Roman" w:hAnsi="Times New Roman"/>
        </w:rPr>
      </w:pPr>
      <w:bookmarkStart w:id="53" w:name="_Toc423509542"/>
      <w:r w:rsidRPr="006D0278">
        <w:rPr>
          <w:rFonts w:ascii="Times New Roman" w:hAnsi="Times New Roman"/>
        </w:rPr>
        <w:t>3) De inschrijving in het register</w:t>
      </w:r>
      <w:bookmarkEnd w:id="53"/>
    </w:p>
    <w:p w:rsidR="000308E0" w:rsidRPr="006D0278" w:rsidRDefault="000308E0" w:rsidP="000308E0">
      <w:pPr>
        <w:pStyle w:val="Koptekst1"/>
        <w:ind w:left="1080"/>
        <w:jc w:val="both"/>
        <w:rPr>
          <w:rFonts w:ascii="Times New Roman" w:hAnsi="Times New Roman"/>
          <w:color w:val="000000"/>
          <w:lang w:val="nl-NL"/>
        </w:rPr>
      </w:pPr>
    </w:p>
    <w:p w:rsidR="000308E0" w:rsidRPr="006D0278" w:rsidRDefault="008E706C" w:rsidP="006E7408">
      <w:pPr>
        <w:ind w:left="1440"/>
        <w:rPr>
          <w:b/>
          <w:u w:val="single"/>
          <w:lang w:val="nl-NL"/>
        </w:rPr>
      </w:pPr>
      <w:r w:rsidRPr="006D0278">
        <w:rPr>
          <w:lang w:val="nl-NL"/>
        </w:rPr>
        <w:t>De student moet ingeschreven zijn, als hoofdverblijfplaats, in het bevolkings- of vreemdelingenregister op het ogenblik van zijn steunaanvraag.</w:t>
      </w:r>
    </w:p>
    <w:p w:rsidR="000308E0" w:rsidRPr="006D0278" w:rsidRDefault="000308E0" w:rsidP="000308E0">
      <w:pPr>
        <w:pStyle w:val="Koptekst1"/>
        <w:ind w:left="1080"/>
        <w:jc w:val="both"/>
        <w:rPr>
          <w:rFonts w:ascii="Times New Roman" w:hAnsi="Times New Roman"/>
          <w:color w:val="000000"/>
          <w:lang w:val="nl-NL"/>
        </w:rPr>
      </w:pPr>
    </w:p>
    <w:p w:rsidR="000308E0" w:rsidRPr="006D0278" w:rsidRDefault="008E706C" w:rsidP="00980B85">
      <w:pPr>
        <w:pStyle w:val="Koptekst1"/>
        <w:ind w:left="1440"/>
        <w:jc w:val="both"/>
        <w:rPr>
          <w:rFonts w:ascii="Times New Roman" w:hAnsi="Times New Roman"/>
          <w:color w:val="000000"/>
          <w:lang w:val="nl-NL"/>
        </w:rPr>
      </w:pPr>
      <w:r w:rsidRPr="006D0278">
        <w:rPr>
          <w:rFonts w:ascii="Times New Roman" w:hAnsi="Times New Roman"/>
          <w:color w:val="000000"/>
          <w:lang w:val="nl-NL"/>
        </w:rPr>
        <w:t xml:space="preserve">De in aanmerking te nemen inschrijving moet aan de volgende voorwaarden voldoen: </w:t>
      </w:r>
    </w:p>
    <w:p w:rsidR="00980B85" w:rsidRDefault="00980B85" w:rsidP="00980B85">
      <w:pPr>
        <w:ind w:left="1440"/>
        <w:jc w:val="both"/>
        <w:rPr>
          <w:color w:val="000000"/>
          <w:lang w:val="nl-NL"/>
        </w:rPr>
      </w:pPr>
    </w:p>
    <w:p w:rsidR="00980B85" w:rsidRDefault="00980B85" w:rsidP="00980B85">
      <w:pPr>
        <w:numPr>
          <w:ilvl w:val="0"/>
          <w:numId w:val="27"/>
        </w:numPr>
        <w:jc w:val="both"/>
        <w:rPr>
          <w:color w:val="000000"/>
          <w:lang w:val="nl-NL"/>
        </w:rPr>
      </w:pPr>
      <w:r w:rsidRPr="00980B85">
        <w:rPr>
          <w:color w:val="000000"/>
          <w:lang w:val="nl-NL"/>
        </w:rPr>
        <w:t>De wet verduidelijkt dat het gaat om de inschrijving als "hoofdverblijfplaats". Een inschrijving op een referentieadres komt dus niet in aanmerking.</w:t>
      </w:r>
    </w:p>
    <w:p w:rsidR="00980B85" w:rsidRDefault="00980B85" w:rsidP="00980B85">
      <w:pPr>
        <w:ind w:left="1800"/>
        <w:jc w:val="both"/>
        <w:rPr>
          <w:color w:val="000000"/>
          <w:lang w:val="nl-NL"/>
        </w:rPr>
      </w:pPr>
    </w:p>
    <w:p w:rsidR="00980B85" w:rsidRDefault="00980B85" w:rsidP="00980B85">
      <w:pPr>
        <w:numPr>
          <w:ilvl w:val="0"/>
          <w:numId w:val="27"/>
        </w:numPr>
        <w:jc w:val="both"/>
        <w:rPr>
          <w:color w:val="000000"/>
          <w:lang w:val="nl-NL"/>
        </w:rPr>
      </w:pPr>
      <w:r w:rsidRPr="00980B85">
        <w:rPr>
          <w:color w:val="000000"/>
          <w:lang w:val="nl-NL"/>
        </w:rPr>
        <w:t>De inschrijving moet gebeuren in het bevolkings- of</w:t>
      </w:r>
      <w:r>
        <w:rPr>
          <w:color w:val="000000"/>
          <w:lang w:val="nl-NL"/>
        </w:rPr>
        <w:t xml:space="preserve"> </w:t>
      </w:r>
      <w:r w:rsidRPr="00980B85">
        <w:rPr>
          <w:color w:val="000000"/>
          <w:lang w:val="nl-NL"/>
        </w:rPr>
        <w:t>vreemdelingenregister. Een inschrijving in het wachtregister komt niet in aanmerking.</w:t>
      </w:r>
    </w:p>
    <w:p w:rsidR="00980B85" w:rsidRDefault="00980B85" w:rsidP="00980B85">
      <w:pPr>
        <w:pStyle w:val="Paragraphedeliste"/>
        <w:rPr>
          <w:color w:val="000000"/>
          <w:lang w:val="nl-NL"/>
        </w:rPr>
      </w:pPr>
    </w:p>
    <w:p w:rsidR="000308E0" w:rsidRPr="00980B85" w:rsidRDefault="008E706C" w:rsidP="00980B85">
      <w:pPr>
        <w:numPr>
          <w:ilvl w:val="0"/>
          <w:numId w:val="27"/>
        </w:numPr>
        <w:jc w:val="both"/>
        <w:rPr>
          <w:color w:val="000000"/>
          <w:lang w:val="nl-NL"/>
        </w:rPr>
      </w:pPr>
      <w:r w:rsidRPr="00980B85">
        <w:rPr>
          <w:color w:val="000000"/>
          <w:lang w:val="nl-NL"/>
        </w:rPr>
        <w:t>Het gaat om de gemeente waar de steunaanvrager effectief is ingeschreven, als hoofdverblijfplaats</w:t>
      </w:r>
      <w:r w:rsidRPr="00980B85">
        <w:rPr>
          <w:color w:val="000000"/>
          <w:u w:val="single"/>
          <w:lang w:val="nl-NL"/>
        </w:rPr>
        <w:t xml:space="preserve"> op het ogenblik dat hij zijn aanvraag heeft ingediend</w:t>
      </w:r>
      <w:r w:rsidRPr="00980B85">
        <w:rPr>
          <w:color w:val="000000"/>
          <w:lang w:val="nl-NL"/>
        </w:rPr>
        <w:t xml:space="preserve">. Een inschrijvingsaanvraag als hoofdverblijfplaats in een bepaalde gemeente volstaat niet. </w:t>
      </w:r>
    </w:p>
    <w:p w:rsidR="00980B85" w:rsidRPr="006D0278" w:rsidRDefault="00980B85" w:rsidP="00980B85">
      <w:pPr>
        <w:ind w:left="1800"/>
        <w:jc w:val="both"/>
        <w:rPr>
          <w:color w:val="000000"/>
          <w:lang w:val="nl-NL"/>
        </w:rPr>
      </w:pPr>
    </w:p>
    <w:p w:rsidR="00980B85" w:rsidRPr="00980B85" w:rsidRDefault="00980B85" w:rsidP="00980B85">
      <w:pPr>
        <w:ind w:left="1800"/>
        <w:jc w:val="both"/>
        <w:rPr>
          <w:lang w:val="nl-NL" w:eastAsia="fr-BE"/>
        </w:rPr>
      </w:pPr>
      <w:r w:rsidRPr="00980B85">
        <w:rPr>
          <w:lang w:val="nl-NL" w:eastAsia="fr-BE"/>
        </w:rPr>
        <w:t xml:space="preserve">Een eenvoudige </w:t>
      </w:r>
      <w:r w:rsidRPr="00980B85">
        <w:rPr>
          <w:b/>
          <w:i/>
          <w:lang w:val="nl-NL" w:eastAsia="fr-BE"/>
        </w:rPr>
        <w:t xml:space="preserve">aanvraag tot inschrijving </w:t>
      </w:r>
      <w:r w:rsidRPr="00980B85">
        <w:rPr>
          <w:lang w:val="nl-NL" w:eastAsia="fr-BE"/>
        </w:rPr>
        <w:t xml:space="preserve">of een aanvraag tot adreswijziging </w:t>
      </w:r>
      <w:r w:rsidRPr="00980B85">
        <w:rPr>
          <w:u w:val="dash"/>
          <w:lang w:val="nl-NL" w:eastAsia="fr-BE"/>
        </w:rPr>
        <w:t>zal niet in aanmerking worden genomen</w:t>
      </w:r>
      <w:r w:rsidRPr="00980B85">
        <w:rPr>
          <w:lang w:val="nl-NL" w:eastAsia="fr-BE"/>
        </w:rPr>
        <w:t xml:space="preserve"> vóór de domiciliëring effectief wordt. De datum van aanvraag tot adreswijziging mag niet in aanmerking worden genomen voor de bepaling van het bevoegde OCMW. De officiële inschrijving moet in aanmerking worden genomen voor de bepaling van het bevoegde OCMW. </w:t>
      </w:r>
    </w:p>
    <w:p w:rsidR="00980B85" w:rsidRPr="00980B85" w:rsidRDefault="00980B85" w:rsidP="00980B85">
      <w:pPr>
        <w:ind w:firstLine="360"/>
        <w:jc w:val="both"/>
        <w:rPr>
          <w:lang w:val="nl-NL" w:eastAsia="fr-BE"/>
        </w:rPr>
      </w:pPr>
    </w:p>
    <w:p w:rsidR="00980B85" w:rsidRPr="00980B85" w:rsidRDefault="00980B85" w:rsidP="00980B85">
      <w:pPr>
        <w:ind w:left="1800"/>
        <w:jc w:val="both"/>
        <w:rPr>
          <w:lang w:val="nl-NL" w:eastAsia="fr-BE"/>
        </w:rPr>
      </w:pPr>
      <w:r w:rsidRPr="00980B85">
        <w:rPr>
          <w:lang w:val="nl-NL" w:eastAsia="fr-BE"/>
        </w:rPr>
        <w:t xml:space="preserve">De omzendbrief van de FOD Binnenlandse Zaken van 01/07/2010 houdende de algemene onderrichtingen betreffende het houden van de bevolkingsregisters voorziet erin dat de inschrijvingsdatum in het register in principe de datum is waarop de persoon zijn aanvraag tot adreswijziging heeft ingediend. Deze onderrichtingen betreffende inschrijving met terugwerkende kracht hebben geen invloed op de territoriale bevoegdheid van de OCMW's. De datum van aanvraag tot adreswijziging mag niet in aanmerking worden genomen voor de bepaling van het bevoegde OCMW. De officiële inschrijving op het ogenblik van de aanvraag moet in aanmerking worden genomen voor de bepaling van het bevoegde OCMW. </w:t>
      </w:r>
    </w:p>
    <w:p w:rsidR="00980B85" w:rsidRPr="00980B85" w:rsidRDefault="00980B85" w:rsidP="00980B85">
      <w:pPr>
        <w:ind w:firstLine="360"/>
        <w:jc w:val="both"/>
        <w:rPr>
          <w:lang w:val="nl-NL" w:eastAsia="fr-BE"/>
        </w:rPr>
      </w:pPr>
    </w:p>
    <w:p w:rsidR="00980B85" w:rsidRPr="00980B85" w:rsidRDefault="00980B85" w:rsidP="00980B85">
      <w:pPr>
        <w:ind w:left="1800"/>
        <w:jc w:val="both"/>
        <w:rPr>
          <w:lang w:val="nl-NL" w:eastAsia="fr-BE"/>
        </w:rPr>
      </w:pPr>
      <w:r w:rsidRPr="00980B85">
        <w:rPr>
          <w:lang w:val="nl-NL" w:eastAsia="fr-BE"/>
        </w:rPr>
        <w:t xml:space="preserve">Bij inschrijving met terugwerkende kracht moet, via code IT 251 van het Rijksregister, gekeken worden naar de datum van de bijwerking van de hoofdverblijfplaats. Via deze datum kan men de datum zien waarop de gemeentelijke administratie de officiële inschrijving heeft gedaan in de nieuwe gemeente na de politie-enquête. Code 251 bepaalt de datum waarop de persoon met terugwerkende kracht is ingeschreven in de nieuwe gemeente. Code 251 is een instrument om de territoriale bevoegdheid van het OCMW te bepalen wanneer het criterium dat in aanmerking moet genomen worden de inschrijving in de gemeentelijke register op een bepaald moment is (de dag van de opname in de instelling). </w:t>
      </w:r>
    </w:p>
    <w:p w:rsidR="00F4134F" w:rsidRDefault="00F4134F" w:rsidP="00980B85">
      <w:pPr>
        <w:ind w:left="1080" w:firstLine="720"/>
        <w:rPr>
          <w:i/>
          <w:color w:val="000000"/>
          <w:u w:val="single"/>
          <w:lang w:val="nl-NL" w:eastAsia="fr-FR"/>
        </w:rPr>
      </w:pPr>
    </w:p>
    <w:p w:rsidR="00980B85" w:rsidRPr="00980B85" w:rsidRDefault="00980B85" w:rsidP="00980B85">
      <w:pPr>
        <w:ind w:left="1080" w:firstLine="720"/>
        <w:rPr>
          <w:i/>
          <w:color w:val="000000"/>
          <w:lang w:val="nl-NL" w:eastAsia="fr-FR"/>
        </w:rPr>
      </w:pPr>
      <w:r w:rsidRPr="00980B85">
        <w:rPr>
          <w:i/>
          <w:color w:val="000000"/>
          <w:u w:val="single"/>
          <w:lang w:val="nl-NL" w:eastAsia="fr-FR"/>
        </w:rPr>
        <w:t>Toepassing</w:t>
      </w:r>
      <w:r w:rsidRPr="00980B85">
        <w:rPr>
          <w:i/>
          <w:color w:val="000000"/>
          <w:lang w:val="nl-NL" w:eastAsia="fr-FR"/>
        </w:rPr>
        <w:t xml:space="preserve">: </w:t>
      </w:r>
    </w:p>
    <w:p w:rsidR="00980B85" w:rsidRPr="00980B85" w:rsidRDefault="00980B85" w:rsidP="00980B85">
      <w:pPr>
        <w:ind w:firstLine="360"/>
        <w:rPr>
          <w:color w:val="000000"/>
          <w:lang w:val="nl-NL" w:eastAsia="fr-FR"/>
        </w:rPr>
      </w:pPr>
    </w:p>
    <w:p w:rsidR="00980B85" w:rsidRPr="00980B85" w:rsidRDefault="00980B85" w:rsidP="00980B85">
      <w:pPr>
        <w:numPr>
          <w:ilvl w:val="0"/>
          <w:numId w:val="28"/>
        </w:numPr>
        <w:spacing w:after="200" w:line="276" w:lineRule="auto"/>
        <w:contextualSpacing/>
        <w:jc w:val="both"/>
        <w:rPr>
          <w:color w:val="000000"/>
          <w:lang w:val="nl-NL" w:eastAsia="fr-FR"/>
        </w:rPr>
      </w:pPr>
      <w:r w:rsidRPr="00980B85">
        <w:rPr>
          <w:color w:val="000000"/>
          <w:lang w:val="nl-NL" w:eastAsia="fr-FR"/>
        </w:rPr>
        <w:t>Wanneer de student een</w:t>
      </w:r>
      <w:r w:rsidRPr="00980B85">
        <w:rPr>
          <w:color w:val="000000"/>
          <w:u w:val="dotDotDash"/>
          <w:lang w:val="nl-NL" w:eastAsia="fr-FR"/>
        </w:rPr>
        <w:t xml:space="preserve"> steunaanvraag </w:t>
      </w:r>
      <w:r w:rsidRPr="00980B85">
        <w:rPr>
          <w:color w:val="000000"/>
          <w:lang w:val="nl-NL" w:eastAsia="fr-FR"/>
        </w:rPr>
        <w:t>heeft ingediend die</w:t>
      </w:r>
      <w:r w:rsidRPr="00980B85">
        <w:rPr>
          <w:i/>
          <w:color w:val="000000"/>
          <w:u w:val="dotDotDash"/>
          <w:lang w:val="nl-NL" w:eastAsia="fr-FR"/>
        </w:rPr>
        <w:t xml:space="preserve"> voorafgaat</w:t>
      </w:r>
      <w:r w:rsidRPr="00980B85">
        <w:rPr>
          <w:color w:val="000000"/>
          <w:u w:val="dotDotDash"/>
          <w:lang w:val="nl-NL" w:eastAsia="fr-FR"/>
        </w:rPr>
        <w:t xml:space="preserve">  aan de datum van bijwerking van de hoofdverblijfplaats</w:t>
      </w:r>
      <w:r w:rsidRPr="00980B85">
        <w:rPr>
          <w:color w:val="000000"/>
          <w:lang w:val="nl-NL" w:eastAsia="fr-FR"/>
        </w:rPr>
        <w:t xml:space="preserve"> (code 251), is het OCMW van de gemeente op het grondgebied waarvan de student gedomicilieerd is op het ogenblik van zijn aanvraag bevoegd en dat OCMW blijft bevoegd tijdens de volledig ononderbroken duur van de studies, zelfs wanneer er alter een inschrijving met terugwerkende kracht is. </w:t>
      </w:r>
    </w:p>
    <w:p w:rsidR="00980B85" w:rsidRPr="00980B85" w:rsidRDefault="00980B85" w:rsidP="00980B85">
      <w:pPr>
        <w:ind w:firstLine="360"/>
        <w:jc w:val="both"/>
        <w:rPr>
          <w:color w:val="000000"/>
          <w:lang w:val="nl-NL" w:eastAsia="fr-FR"/>
        </w:rPr>
      </w:pPr>
    </w:p>
    <w:p w:rsidR="00980B85" w:rsidRPr="00980B85" w:rsidRDefault="00980B85" w:rsidP="00980B85">
      <w:pPr>
        <w:ind w:left="1440" w:firstLine="720"/>
        <w:jc w:val="both"/>
        <w:rPr>
          <w:color w:val="000000"/>
          <w:lang w:val="nl-NL" w:eastAsia="fr-FR"/>
        </w:rPr>
      </w:pPr>
      <w:r w:rsidRPr="00980B85">
        <w:rPr>
          <w:i/>
          <w:color w:val="000000"/>
          <w:u w:val="dotted"/>
          <w:lang w:val="nl-NL" w:eastAsia="fr-FR"/>
        </w:rPr>
        <w:t>Voorbeeld</w:t>
      </w:r>
      <w:r w:rsidRPr="00980B85">
        <w:rPr>
          <w:color w:val="000000"/>
          <w:lang w:val="nl-NL" w:eastAsia="fr-FR"/>
        </w:rPr>
        <w:t xml:space="preserve">: </w:t>
      </w:r>
    </w:p>
    <w:p w:rsidR="00980B85" w:rsidRPr="00980B85" w:rsidRDefault="00980B85" w:rsidP="00980B85">
      <w:pPr>
        <w:ind w:left="1440" w:firstLine="720"/>
        <w:jc w:val="both"/>
        <w:rPr>
          <w:i/>
          <w:color w:val="000000"/>
          <w:lang w:val="nl-NL" w:eastAsia="fr-FR"/>
        </w:rPr>
      </w:pPr>
      <w:r w:rsidRPr="00980B85">
        <w:rPr>
          <w:i/>
          <w:color w:val="000000"/>
          <w:lang w:val="nl-NL" w:eastAsia="fr-FR"/>
        </w:rPr>
        <w:t xml:space="preserve">- De student is gedomicilieerd in gemeente A. </w:t>
      </w:r>
    </w:p>
    <w:p w:rsidR="00980B85" w:rsidRPr="00980B85" w:rsidRDefault="00980B85" w:rsidP="00980B85">
      <w:pPr>
        <w:ind w:left="2160"/>
        <w:jc w:val="both"/>
        <w:rPr>
          <w:i/>
          <w:color w:val="000000"/>
          <w:lang w:val="nl-NL" w:eastAsia="fr-FR"/>
        </w:rPr>
      </w:pPr>
      <w:r w:rsidRPr="00980B85">
        <w:rPr>
          <w:i/>
          <w:color w:val="000000"/>
          <w:lang w:val="nl-NL" w:eastAsia="fr-FR"/>
        </w:rPr>
        <w:t>- Datum van de aanvraag tot adreswijziging voor gemeente B: 18/04/2011</w:t>
      </w:r>
    </w:p>
    <w:p w:rsidR="00980B85" w:rsidRPr="00980B85" w:rsidRDefault="00980B85" w:rsidP="00980B85">
      <w:pPr>
        <w:ind w:left="2160"/>
        <w:jc w:val="both"/>
        <w:rPr>
          <w:i/>
          <w:color w:val="000000"/>
          <w:lang w:val="nl-NL" w:eastAsia="fr-FR"/>
        </w:rPr>
      </w:pPr>
      <w:r w:rsidRPr="00980B85">
        <w:rPr>
          <w:i/>
          <w:color w:val="000000"/>
          <w:lang w:val="nl-NL" w:eastAsia="fr-FR"/>
        </w:rPr>
        <w:t>- Code 251: 29/04/2011: datum waarop hij met terugwerkende kracht is ingeschreven in gemeente B.</w:t>
      </w:r>
    </w:p>
    <w:p w:rsidR="00980B85" w:rsidRPr="00980B85" w:rsidRDefault="00980B85" w:rsidP="00980B85">
      <w:pPr>
        <w:ind w:left="2160"/>
        <w:jc w:val="both"/>
        <w:rPr>
          <w:i/>
          <w:color w:val="000000"/>
          <w:lang w:val="nl-NL" w:eastAsia="fr-FR"/>
        </w:rPr>
      </w:pPr>
      <w:r w:rsidRPr="00980B85">
        <w:rPr>
          <w:i/>
          <w:color w:val="000000"/>
          <w:lang w:val="nl-NL" w:eastAsia="fr-FR"/>
        </w:rPr>
        <w:t>- Datum van de steunaanvraag: 27/04/2011: op deze datum is hij nog steeds gedomicilieerd in gemeente A, want de adreswijziging wordt slechts uitgevoerd op 29/04/11 (code 251).</w:t>
      </w:r>
    </w:p>
    <w:p w:rsidR="00980B85" w:rsidRPr="00980B85" w:rsidRDefault="00980B85" w:rsidP="00980B85">
      <w:pPr>
        <w:ind w:left="2160"/>
        <w:jc w:val="both"/>
        <w:rPr>
          <w:i/>
          <w:color w:val="000000"/>
          <w:lang w:val="nl-NL" w:eastAsia="fr-FR"/>
        </w:rPr>
      </w:pPr>
      <w:r w:rsidRPr="00980B85">
        <w:rPr>
          <w:i/>
          <w:color w:val="000000"/>
          <w:lang w:val="nl-NL" w:eastAsia="fr-FR"/>
        </w:rPr>
        <w:t xml:space="preserve">- Aangezien de student gedomicilieerd is in gemeente A op het ogenblik van zijn steunaanvraag, is het OCMW van A bevoegd. </w:t>
      </w:r>
    </w:p>
    <w:p w:rsidR="00980B85" w:rsidRPr="00980B85" w:rsidRDefault="00980B85" w:rsidP="00980B85">
      <w:pPr>
        <w:ind w:left="2160"/>
        <w:jc w:val="both"/>
        <w:rPr>
          <w:i/>
          <w:color w:val="000000"/>
          <w:lang w:val="nl-NL" w:eastAsia="fr-FR"/>
        </w:rPr>
      </w:pPr>
      <w:r w:rsidRPr="00980B85">
        <w:rPr>
          <w:i/>
          <w:color w:val="000000"/>
          <w:lang w:val="nl-NL" w:eastAsia="fr-FR"/>
        </w:rPr>
        <w:t>- OCMW A blijft bevoegd, zelfs wanneer er later een inschrijving met terugwerkende kracht is in gemeente B op 18/04.</w:t>
      </w:r>
    </w:p>
    <w:p w:rsidR="00980B85" w:rsidRPr="00980B85" w:rsidRDefault="00980B85" w:rsidP="00980B85">
      <w:pPr>
        <w:ind w:left="360"/>
        <w:jc w:val="both"/>
        <w:rPr>
          <w:i/>
          <w:color w:val="000000"/>
          <w:lang w:val="nl-NL" w:eastAsia="fr-FR"/>
        </w:rPr>
      </w:pPr>
    </w:p>
    <w:p w:rsidR="00980B85" w:rsidRPr="00980B85" w:rsidRDefault="00980B85" w:rsidP="00980B85">
      <w:pPr>
        <w:numPr>
          <w:ilvl w:val="0"/>
          <w:numId w:val="28"/>
        </w:numPr>
        <w:spacing w:after="200" w:line="276" w:lineRule="auto"/>
        <w:contextualSpacing/>
        <w:jc w:val="both"/>
        <w:rPr>
          <w:color w:val="000000"/>
          <w:lang w:val="nl-NL" w:eastAsia="fr-FR"/>
        </w:rPr>
      </w:pPr>
      <w:r w:rsidRPr="00980B85">
        <w:rPr>
          <w:color w:val="000000"/>
          <w:lang w:val="nl-NL" w:eastAsia="fr-FR"/>
        </w:rPr>
        <w:t xml:space="preserve">Wanneer de student een </w:t>
      </w:r>
      <w:r w:rsidRPr="00980B85">
        <w:rPr>
          <w:color w:val="000000"/>
          <w:u w:val="dotDash"/>
          <w:lang w:val="nl-NL" w:eastAsia="fr-FR"/>
        </w:rPr>
        <w:t xml:space="preserve">steunaanvraag </w:t>
      </w:r>
      <w:r w:rsidRPr="00980B85">
        <w:rPr>
          <w:color w:val="000000"/>
          <w:lang w:val="nl-NL" w:eastAsia="fr-FR"/>
        </w:rPr>
        <w:t xml:space="preserve">heeft ingediend die </w:t>
      </w:r>
      <w:r w:rsidRPr="00980B85">
        <w:rPr>
          <w:color w:val="000000"/>
          <w:u w:val="dotDash"/>
          <w:lang w:val="nl-NL" w:eastAsia="fr-FR"/>
        </w:rPr>
        <w:t>volgt op de bijwerkingsdatum van de hoofdverblijfplaats (code 251), is het OCMW van de gemeente waar de student gedomicilieerd is op het ogenblik van zijn steunaanvraag bevoegd.</w:t>
      </w:r>
    </w:p>
    <w:p w:rsidR="00980B85" w:rsidRPr="00980B85" w:rsidRDefault="00980B85" w:rsidP="00980B85">
      <w:pPr>
        <w:ind w:firstLine="360"/>
        <w:rPr>
          <w:color w:val="000000"/>
          <w:lang w:val="nl-NL" w:eastAsia="fr-FR"/>
        </w:rPr>
      </w:pPr>
    </w:p>
    <w:p w:rsidR="00980B85" w:rsidRPr="00980B85" w:rsidRDefault="00980B85" w:rsidP="00980B85">
      <w:pPr>
        <w:ind w:left="1440" w:firstLine="720"/>
        <w:jc w:val="both"/>
        <w:rPr>
          <w:color w:val="000000"/>
          <w:lang w:val="nl-NL" w:eastAsia="fr-FR"/>
        </w:rPr>
      </w:pPr>
      <w:r w:rsidRPr="00980B85">
        <w:rPr>
          <w:i/>
          <w:color w:val="000000"/>
          <w:u w:val="dotted"/>
          <w:lang w:val="nl-NL" w:eastAsia="fr-FR"/>
        </w:rPr>
        <w:t>Voorbeeld</w:t>
      </w:r>
      <w:r w:rsidRPr="00980B85">
        <w:rPr>
          <w:color w:val="000000"/>
          <w:lang w:val="nl-NL" w:eastAsia="fr-FR"/>
        </w:rPr>
        <w:t xml:space="preserve">: </w:t>
      </w:r>
    </w:p>
    <w:p w:rsidR="00980B85" w:rsidRPr="00980B85" w:rsidRDefault="00980B85" w:rsidP="00980B85">
      <w:pPr>
        <w:ind w:left="1440" w:firstLine="720"/>
        <w:jc w:val="both"/>
        <w:rPr>
          <w:i/>
          <w:color w:val="000000"/>
          <w:lang w:val="nl-NL" w:eastAsia="fr-FR"/>
        </w:rPr>
      </w:pPr>
      <w:r w:rsidRPr="00980B85">
        <w:rPr>
          <w:i/>
          <w:color w:val="000000"/>
          <w:lang w:val="nl-NL" w:eastAsia="fr-FR"/>
        </w:rPr>
        <w:t xml:space="preserve">- De student is gedomicilieerd in gemeente A. </w:t>
      </w:r>
    </w:p>
    <w:p w:rsidR="00980B85" w:rsidRPr="00980B85" w:rsidRDefault="00980B85" w:rsidP="00980B85">
      <w:pPr>
        <w:ind w:left="2160"/>
        <w:jc w:val="both"/>
        <w:rPr>
          <w:i/>
          <w:color w:val="000000"/>
          <w:lang w:val="nl-NL" w:eastAsia="fr-FR"/>
        </w:rPr>
      </w:pPr>
      <w:r w:rsidRPr="00980B85">
        <w:rPr>
          <w:i/>
          <w:color w:val="000000"/>
          <w:lang w:val="nl-NL" w:eastAsia="fr-FR"/>
        </w:rPr>
        <w:t>- Datum van de aanvraag tot adreswijziging voor gemeente B: 18/04/2011</w:t>
      </w:r>
    </w:p>
    <w:p w:rsidR="00980B85" w:rsidRPr="00980B85" w:rsidRDefault="00980B85" w:rsidP="00980B85">
      <w:pPr>
        <w:ind w:left="2160"/>
        <w:jc w:val="both"/>
        <w:rPr>
          <w:i/>
          <w:color w:val="000000"/>
          <w:lang w:val="nl-NL" w:eastAsia="fr-FR"/>
        </w:rPr>
      </w:pPr>
      <w:r w:rsidRPr="00980B85">
        <w:rPr>
          <w:i/>
          <w:color w:val="000000"/>
          <w:lang w:val="nl-NL" w:eastAsia="fr-FR"/>
        </w:rPr>
        <w:t>- Code 251: 27/04/2011 : datum waarop hij is ingeschreven in gemeente B met terugwerkende kracht</w:t>
      </w:r>
    </w:p>
    <w:p w:rsidR="00980B85" w:rsidRPr="00980B85" w:rsidRDefault="00980B85" w:rsidP="00980B85">
      <w:pPr>
        <w:ind w:left="2160"/>
        <w:jc w:val="both"/>
        <w:rPr>
          <w:i/>
          <w:color w:val="000000"/>
          <w:lang w:val="nl-NL" w:eastAsia="fr-FR"/>
        </w:rPr>
      </w:pPr>
      <w:r w:rsidRPr="00980B85">
        <w:rPr>
          <w:i/>
          <w:color w:val="000000"/>
          <w:lang w:val="nl-NL" w:eastAsia="fr-FR"/>
        </w:rPr>
        <w:t>- Datum van de steunaanvraag: 30/04/2011: op deze datum is hij nog steeds gedomicilieerd in gemeente B. De adreswijziging wordt slechts uitgevoerd op 27/04 (code 251).</w:t>
      </w:r>
    </w:p>
    <w:p w:rsidR="00980B85" w:rsidRPr="00980B85" w:rsidRDefault="00980B85" w:rsidP="00980B85">
      <w:pPr>
        <w:ind w:left="2160"/>
        <w:jc w:val="both"/>
        <w:rPr>
          <w:color w:val="000000"/>
          <w:lang w:val="nl-NL"/>
        </w:rPr>
      </w:pPr>
      <w:r w:rsidRPr="00980B85">
        <w:rPr>
          <w:i/>
          <w:color w:val="000000"/>
          <w:lang w:val="nl-NL" w:eastAsia="fr-FR"/>
        </w:rPr>
        <w:t>- Aangezien de student gedomicilieerd is in gemeente B op het ogenblik van zijn steunaanvraag, is het OCMW van B bevoegd.</w:t>
      </w:r>
    </w:p>
    <w:p w:rsidR="00980B85" w:rsidRPr="00980B85" w:rsidRDefault="00980B85" w:rsidP="00980B85">
      <w:pPr>
        <w:spacing w:after="200" w:line="276" w:lineRule="auto"/>
        <w:jc w:val="both"/>
        <w:rPr>
          <w:rFonts w:ascii="Calibri" w:eastAsia="Calibri" w:hAnsi="Calibri"/>
          <w:sz w:val="22"/>
          <w:szCs w:val="22"/>
          <w:lang w:val="nl-NL"/>
        </w:rPr>
      </w:pPr>
    </w:p>
    <w:p w:rsidR="00980B85" w:rsidRDefault="00980B85" w:rsidP="000308E0">
      <w:pPr>
        <w:jc w:val="both"/>
        <w:rPr>
          <w:color w:val="000000"/>
          <w:lang w:val="nl-NL"/>
        </w:rPr>
      </w:pPr>
    </w:p>
    <w:p w:rsidR="0056642D" w:rsidRPr="00980B85" w:rsidRDefault="00980B85" w:rsidP="000308E0">
      <w:pPr>
        <w:jc w:val="both"/>
        <w:rPr>
          <w:color w:val="000000"/>
          <w:lang w:val="nl-NL"/>
        </w:rPr>
      </w:pPr>
      <w:r>
        <w:rPr>
          <w:color w:val="000000"/>
          <w:lang w:val="nl-NL"/>
        </w:rPr>
        <w:br w:type="page"/>
      </w:r>
    </w:p>
    <w:p w:rsidR="00F50D3D" w:rsidRPr="00980B85" w:rsidRDefault="008E706C" w:rsidP="006E7408">
      <w:pPr>
        <w:pStyle w:val="Titre5"/>
        <w:ind w:left="720" w:firstLine="720"/>
        <w:rPr>
          <w:rFonts w:ascii="Times New Roman" w:hAnsi="Times New Roman"/>
        </w:rPr>
      </w:pPr>
      <w:bookmarkStart w:id="54" w:name="_Toc423509543"/>
      <w:r w:rsidRPr="00980B85">
        <w:rPr>
          <w:rFonts w:ascii="Times New Roman" w:hAnsi="Times New Roman"/>
        </w:rPr>
        <w:lastRenderedPageBreak/>
        <w:t>4) Andere opmerkingen</w:t>
      </w:r>
      <w:bookmarkEnd w:id="54"/>
    </w:p>
    <w:p w:rsidR="00FD1AF6" w:rsidRPr="00980B85" w:rsidRDefault="00FD1AF6" w:rsidP="00F50D3D">
      <w:pPr>
        <w:pStyle w:val="Letter"/>
        <w:ind w:left="720"/>
        <w:jc w:val="both"/>
        <w:rPr>
          <w:lang w:val="nl-NL"/>
        </w:rPr>
      </w:pPr>
    </w:p>
    <w:p w:rsidR="0056642D" w:rsidRPr="006D0278" w:rsidRDefault="008E706C" w:rsidP="006E7408">
      <w:pPr>
        <w:pStyle w:val="Letter"/>
        <w:ind w:left="1440"/>
        <w:jc w:val="both"/>
        <w:rPr>
          <w:lang w:val="nl-NL"/>
        </w:rPr>
      </w:pPr>
      <w:r w:rsidRPr="006D0278">
        <w:rPr>
          <w:rFonts w:ascii="Times New Roman" w:hAnsi="Times New Roman"/>
          <w:sz w:val="24"/>
          <w:szCs w:val="24"/>
          <w:lang w:val="nl-NL"/>
        </w:rPr>
        <w:t xml:space="preserve">Deze regel is van toepassing voor de toekenning van het </w:t>
      </w:r>
      <w:r w:rsidRPr="006D0278">
        <w:rPr>
          <w:rFonts w:ascii="Times New Roman" w:hAnsi="Times New Roman"/>
          <w:sz w:val="24"/>
          <w:szCs w:val="24"/>
          <w:u w:val="single"/>
          <w:lang w:val="nl-NL"/>
        </w:rPr>
        <w:t>leefloon en/of van alle vormen van maatschappelijke dienstverlening</w:t>
      </w:r>
      <w:r w:rsidRPr="006D0278">
        <w:rPr>
          <w:rFonts w:ascii="Times New Roman" w:hAnsi="Times New Roman"/>
          <w:sz w:val="24"/>
          <w:szCs w:val="24"/>
          <w:lang w:val="nl-NL"/>
        </w:rPr>
        <w:t>. Hij is van toepassing op studenten die recht</w:t>
      </w:r>
      <w:r w:rsidR="00495B93">
        <w:rPr>
          <w:rFonts w:ascii="Times New Roman" w:hAnsi="Times New Roman"/>
          <w:sz w:val="24"/>
          <w:szCs w:val="24"/>
          <w:lang w:val="nl-NL"/>
        </w:rPr>
        <w:t xml:space="preserve"> </w:t>
      </w:r>
      <w:r w:rsidRPr="006D0278">
        <w:rPr>
          <w:rFonts w:ascii="Times New Roman" w:hAnsi="Times New Roman"/>
          <w:sz w:val="24"/>
          <w:szCs w:val="24"/>
          <w:lang w:val="nl-NL"/>
        </w:rPr>
        <w:t xml:space="preserve">hebben op zowel het recht op maatschappelijke integratie als op het recht op </w:t>
      </w:r>
      <w:r w:rsidR="00495B93">
        <w:rPr>
          <w:rFonts w:ascii="Times New Roman" w:hAnsi="Times New Roman"/>
          <w:sz w:val="24"/>
          <w:szCs w:val="24"/>
          <w:lang w:val="nl-NL"/>
        </w:rPr>
        <w:t xml:space="preserve">individuele </w:t>
      </w:r>
      <w:r w:rsidRPr="006D0278">
        <w:rPr>
          <w:rFonts w:ascii="Times New Roman" w:hAnsi="Times New Roman"/>
          <w:sz w:val="24"/>
          <w:szCs w:val="24"/>
          <w:lang w:val="nl-NL"/>
        </w:rPr>
        <w:t>maatschappelijke dienstverlening.</w:t>
      </w:r>
    </w:p>
    <w:p w:rsidR="0056642D" w:rsidRPr="006D0278" w:rsidRDefault="0056642D" w:rsidP="0056642D">
      <w:pPr>
        <w:ind w:left="1440"/>
        <w:jc w:val="both"/>
        <w:rPr>
          <w:lang w:val="nl-NL"/>
        </w:rPr>
      </w:pPr>
    </w:p>
    <w:p w:rsidR="0056642D" w:rsidRPr="006D0278" w:rsidRDefault="008E706C" w:rsidP="00F00091">
      <w:pPr>
        <w:ind w:left="1440"/>
        <w:jc w:val="both"/>
        <w:rPr>
          <w:lang w:val="nl-NL"/>
        </w:rPr>
      </w:pPr>
      <w:r w:rsidRPr="006D0278">
        <w:rPr>
          <w:lang w:val="nl-NL"/>
        </w:rPr>
        <w:t>De</w:t>
      </w:r>
      <w:r w:rsidRPr="006D0278">
        <w:rPr>
          <w:u w:val="single"/>
          <w:lang w:val="nl-NL"/>
        </w:rPr>
        <w:t xml:space="preserve"> specifieke bevoegdheidsregel voor de studenten krijgt voorrang op de andere regels </w:t>
      </w:r>
      <w:r w:rsidRPr="006D0278">
        <w:rPr>
          <w:lang w:val="nl-NL"/>
        </w:rPr>
        <w:t xml:space="preserve">(bijvoorbeeld: een student die dakloos is of die in een erkend opvangtehuis </w:t>
      </w:r>
      <w:r w:rsidR="00495B93" w:rsidRPr="006D0278">
        <w:rPr>
          <w:lang w:val="nl-NL"/>
        </w:rPr>
        <w:t xml:space="preserve">verblijft). </w:t>
      </w:r>
    </w:p>
    <w:p w:rsidR="0056642D" w:rsidRPr="006D0278" w:rsidRDefault="008E706C" w:rsidP="00F00091">
      <w:pPr>
        <w:ind w:left="1440"/>
        <w:jc w:val="both"/>
        <w:rPr>
          <w:lang w:val="nl-NL"/>
        </w:rPr>
      </w:pPr>
      <w:r w:rsidRPr="006D0278">
        <w:rPr>
          <w:lang w:val="nl-NL"/>
        </w:rPr>
        <w:t>In antwoord op een parlementaire vraag</w:t>
      </w:r>
      <w:r w:rsidR="0056642D" w:rsidRPr="00BE42C4">
        <w:rPr>
          <w:rStyle w:val="Appelnotedebasdep"/>
          <w:lang w:val="fr-BE"/>
        </w:rPr>
        <w:footnoteReference w:id="4"/>
      </w:r>
      <w:r w:rsidR="00921B1B">
        <w:rPr>
          <w:lang w:val="nl-NL"/>
        </w:rPr>
        <w:t xml:space="preserve"> </w:t>
      </w:r>
      <w:r w:rsidRPr="006D0278">
        <w:rPr>
          <w:lang w:val="nl-NL"/>
        </w:rPr>
        <w:t>antwoordde de minister dat de bevoegdheidsregel voor studenten prioritair is.</w:t>
      </w:r>
    </w:p>
    <w:p w:rsidR="0056642D" w:rsidRPr="006D0278" w:rsidRDefault="0056642D" w:rsidP="0056642D">
      <w:pPr>
        <w:jc w:val="both"/>
        <w:rPr>
          <w:lang w:val="nl-NL"/>
        </w:rPr>
      </w:pPr>
    </w:p>
    <w:p w:rsidR="00907123" w:rsidRPr="006D0278" w:rsidRDefault="00907123" w:rsidP="009803C1">
      <w:pPr>
        <w:jc w:val="both"/>
        <w:rPr>
          <w:lang w:val="nl-NL"/>
        </w:rPr>
      </w:pPr>
    </w:p>
    <w:p w:rsidR="009803C1" w:rsidRPr="006D0278" w:rsidRDefault="008E706C" w:rsidP="00BD2403">
      <w:pPr>
        <w:pStyle w:val="Titre4"/>
        <w:rPr>
          <w:bCs w:val="0"/>
          <w:u w:val="single"/>
          <w:lang w:val="nl-NL"/>
        </w:rPr>
      </w:pPr>
      <w:bookmarkStart w:id="55" w:name="_Toc423509544"/>
      <w:r w:rsidRPr="006D0278">
        <w:rPr>
          <w:bCs w:val="0"/>
          <w:u w:val="single"/>
          <w:lang w:val="nl-NL"/>
        </w:rPr>
        <w:t>3.2. De regel van de continuïteit  van de bevoegdheid</w:t>
      </w:r>
      <w:bookmarkEnd w:id="55"/>
      <w:r w:rsidRPr="006D0278">
        <w:rPr>
          <w:bCs w:val="0"/>
          <w:u w:val="single"/>
          <w:lang w:val="nl-NL"/>
        </w:rPr>
        <w:t xml:space="preserve"> </w:t>
      </w:r>
    </w:p>
    <w:p w:rsidR="0091166D" w:rsidRPr="006D0278" w:rsidRDefault="0091166D" w:rsidP="0091166D">
      <w:pPr>
        <w:ind w:left="1800"/>
        <w:jc w:val="both"/>
        <w:rPr>
          <w:lang w:val="nl-NL"/>
        </w:rPr>
      </w:pPr>
    </w:p>
    <w:p w:rsidR="00734A2D" w:rsidRPr="00A35068" w:rsidRDefault="008E706C" w:rsidP="00A35068">
      <w:pPr>
        <w:pStyle w:val="Titre5"/>
        <w:ind w:firstLine="360"/>
        <w:rPr>
          <w:rFonts w:ascii="Times New Roman" w:hAnsi="Times New Roman" w:cs="Times New Roman"/>
        </w:rPr>
      </w:pPr>
      <w:bookmarkStart w:id="56" w:name="_Toc423509545"/>
      <w:r w:rsidRPr="00A35068">
        <w:rPr>
          <w:rFonts w:ascii="Times New Roman" w:hAnsi="Times New Roman" w:cs="Times New Roman"/>
        </w:rPr>
        <w:t>1) De bevoegdheidscontinuïteit van het OCMW van oorspong</w:t>
      </w:r>
      <w:bookmarkEnd w:id="56"/>
    </w:p>
    <w:p w:rsidR="00734A2D" w:rsidRPr="006D0278" w:rsidRDefault="00734A2D" w:rsidP="0091166D">
      <w:pPr>
        <w:ind w:left="1800"/>
        <w:jc w:val="both"/>
        <w:rPr>
          <w:lang w:val="nl-NL"/>
        </w:rPr>
      </w:pPr>
    </w:p>
    <w:p w:rsidR="009803C1" w:rsidRPr="006D0278" w:rsidRDefault="008E706C" w:rsidP="00DA101F">
      <w:pPr>
        <w:numPr>
          <w:ilvl w:val="0"/>
          <w:numId w:val="12"/>
        </w:numPr>
        <w:jc w:val="both"/>
        <w:rPr>
          <w:lang w:val="nl-NL"/>
        </w:rPr>
      </w:pPr>
      <w:r w:rsidRPr="006D0278">
        <w:rPr>
          <w:lang w:val="nl-NL"/>
        </w:rPr>
        <w:t>Het OCMW dat bevoegd was om de eerste steunaanvraag van een student te onderzoeken, blijft bevoegd voor de volledige ononderbroken duur van de studies van de betrokkene, zelfs indien dit OCMW geen steun had toegekend aan de betrokkene en de toekenning van steun ten gronde had geweigerd, zelfs wanneer de betrokkene verandert van verblijfplaatsen en domicilie tijdens de studies.</w:t>
      </w:r>
    </w:p>
    <w:p w:rsidR="00734A2D" w:rsidRPr="006D0278" w:rsidRDefault="00734A2D" w:rsidP="00734A2D">
      <w:pPr>
        <w:ind w:left="720"/>
        <w:jc w:val="both"/>
        <w:rPr>
          <w:lang w:val="nl-NL"/>
        </w:rPr>
      </w:pPr>
    </w:p>
    <w:p w:rsidR="008E706C" w:rsidRDefault="008E706C" w:rsidP="00DA101F">
      <w:pPr>
        <w:numPr>
          <w:ilvl w:val="0"/>
          <w:numId w:val="12"/>
        </w:numPr>
        <w:jc w:val="both"/>
        <w:rPr>
          <w:lang w:val="nl-NL"/>
        </w:rPr>
      </w:pPr>
      <w:r w:rsidRPr="006D0278">
        <w:rPr>
          <w:lang w:val="nl-NL"/>
        </w:rPr>
        <w:t>Het is niet vereist dat het OCMW de steun effectief heeft toegekend op het ogenblik van de aanvraag, om bevoegd te worden voor de gehele duur van de studies. Het volstaat dat er een aanvraag van de student was waarna het O.C.M.W. dat bevoegd was op grond van de specifieke bevoegdheidsregel voor studenten ofwel</w:t>
      </w:r>
      <w:r w:rsidR="00452184">
        <w:rPr>
          <w:lang w:val="nl-NL"/>
        </w:rPr>
        <w:t>.</w:t>
      </w:r>
    </w:p>
    <w:p w:rsidR="00452184" w:rsidRPr="006D0278" w:rsidRDefault="00452184" w:rsidP="00452184">
      <w:pPr>
        <w:ind w:left="720"/>
        <w:jc w:val="both"/>
        <w:rPr>
          <w:lang w:val="nl-NL"/>
        </w:rPr>
      </w:pPr>
    </w:p>
    <w:p w:rsidR="00734A2D" w:rsidRPr="006D0278" w:rsidRDefault="008E706C" w:rsidP="00DA101F">
      <w:pPr>
        <w:numPr>
          <w:ilvl w:val="0"/>
          <w:numId w:val="12"/>
        </w:numPr>
        <w:jc w:val="both"/>
        <w:rPr>
          <w:lang w:val="nl-NL"/>
        </w:rPr>
      </w:pPr>
      <w:r w:rsidRPr="006D0278">
        <w:rPr>
          <w:lang w:val="nl-NL"/>
        </w:rPr>
        <w:t xml:space="preserve">steun toekende ofwel steun weigerde. Dit centrum zal bevoegd blijven voor de gehele ononderbroken duur van de studies. </w:t>
      </w:r>
      <w:r w:rsidRPr="006D0278">
        <w:rPr>
          <w:rFonts w:cs="NAJNLA+Tahoma"/>
          <w:color w:val="000000"/>
          <w:sz w:val="23"/>
          <w:szCs w:val="23"/>
          <w:lang w:val="nl-NL"/>
        </w:rPr>
        <w:t>Het spreekt vanzelf dat de betrokkene zijn recht op maatschappelijke integratie verliest tijdens zijn studies omwille van een gewijzigde situatie, bijvoorbeeld verwerven van een inkomen, en het vervolgens terugkrijgt. Er moet een onderscheid gemaakt worden tussen de bepaling van de bevoegdheid en het onderzoek van de aanvraag ten gronde, dit wil zeggen van het al dan niet toekennen van het recht op maatschappelijke integratie.</w:t>
      </w:r>
    </w:p>
    <w:p w:rsidR="0091166D" w:rsidRPr="006D0278" w:rsidRDefault="0091166D" w:rsidP="0091166D">
      <w:pPr>
        <w:ind w:left="2160"/>
        <w:jc w:val="both"/>
        <w:rPr>
          <w:lang w:val="nl-NL"/>
        </w:rPr>
      </w:pPr>
    </w:p>
    <w:p w:rsidR="009803C1" w:rsidRPr="006D0278" w:rsidRDefault="008E706C" w:rsidP="00DA101F">
      <w:pPr>
        <w:numPr>
          <w:ilvl w:val="0"/>
          <w:numId w:val="12"/>
        </w:numPr>
        <w:jc w:val="both"/>
        <w:rPr>
          <w:lang w:val="nl-NL"/>
        </w:rPr>
      </w:pPr>
      <w:r w:rsidRPr="006D0278">
        <w:rPr>
          <w:lang w:val="nl-NL"/>
        </w:rPr>
        <w:t>Het feit dat de betrokkene van verblijfplaats en van domicilie wijzigt tijdens de studies wijzigt niet de bevoegdheid.</w:t>
      </w:r>
    </w:p>
    <w:p w:rsidR="0091166D" w:rsidRPr="006D0278" w:rsidRDefault="0091166D" w:rsidP="0091166D">
      <w:pPr>
        <w:pStyle w:val="Paragraphedeliste"/>
        <w:rPr>
          <w:lang w:val="nl-NL"/>
        </w:rPr>
      </w:pPr>
    </w:p>
    <w:p w:rsidR="00734A2D" w:rsidRPr="006D0278" w:rsidRDefault="008E706C" w:rsidP="00DA101F">
      <w:pPr>
        <w:pStyle w:val="Paragraphedeliste"/>
        <w:numPr>
          <w:ilvl w:val="0"/>
          <w:numId w:val="12"/>
        </w:numPr>
        <w:jc w:val="both"/>
        <w:rPr>
          <w:lang w:val="nl-NL"/>
        </w:rPr>
      </w:pPr>
      <w:r w:rsidRPr="006D0278">
        <w:rPr>
          <w:bCs/>
          <w:lang w:val="nl-NL"/>
        </w:rPr>
        <w:t xml:space="preserve">Indien OCMW X het studieproject van de betrokkene niet aanvaardt, maar wanneer die beslist om zijn studies voort te zetten, behoudt de betrokkene zijn hoedanigheid van student met volledig leerplan. Het is niet omdat OCMW X het project van de betrokkene om de studies verder te zetten heeft geweigerd dat die zijn hoedanigheid als student verlies en dat de specifieke </w:t>
      </w:r>
      <w:r w:rsidR="00495B93" w:rsidRPr="006D0278">
        <w:rPr>
          <w:bCs/>
          <w:lang w:val="nl-NL"/>
        </w:rPr>
        <w:t>bevoegdheidsregel</w:t>
      </w:r>
      <w:r w:rsidRPr="006D0278">
        <w:rPr>
          <w:bCs/>
          <w:lang w:val="nl-NL"/>
        </w:rPr>
        <w:t xml:space="preserve"> voor </w:t>
      </w:r>
      <w:r w:rsidR="00495B93" w:rsidRPr="006D0278">
        <w:rPr>
          <w:bCs/>
          <w:lang w:val="nl-NL"/>
        </w:rPr>
        <w:t>studenten</w:t>
      </w:r>
      <w:r w:rsidRPr="006D0278">
        <w:rPr>
          <w:bCs/>
          <w:lang w:val="nl-NL"/>
        </w:rPr>
        <w:t xml:space="preserve"> niet meer van toepassing is. OCMW X dat bevoegd was en dat de steun aan de student heeft toegekend, blijft bevoegd voor de gehele ononderbroken duur van de studies van de betrokkene.</w:t>
      </w:r>
    </w:p>
    <w:p w:rsidR="00FD1AF6" w:rsidRPr="006D0278" w:rsidRDefault="00FD1AF6" w:rsidP="00734A2D">
      <w:pPr>
        <w:pStyle w:val="Paragraphedeliste"/>
        <w:rPr>
          <w:lang w:val="nl-NL"/>
        </w:rPr>
      </w:pPr>
    </w:p>
    <w:p w:rsidR="00734A2D" w:rsidRPr="00AF62C3" w:rsidRDefault="008E706C" w:rsidP="00AF62C3">
      <w:pPr>
        <w:pStyle w:val="Titre5"/>
        <w:ind w:firstLine="720"/>
        <w:rPr>
          <w:rFonts w:ascii="Times New Roman" w:hAnsi="Times New Roman" w:cs="Times New Roman"/>
        </w:rPr>
      </w:pPr>
      <w:bookmarkStart w:id="57" w:name="_Toc423509546"/>
      <w:r w:rsidRPr="00AF62C3">
        <w:rPr>
          <w:rFonts w:ascii="Times New Roman" w:hAnsi="Times New Roman" w:cs="Times New Roman"/>
        </w:rPr>
        <w:t>2) Toepassingsvoorwaarden van de regel van de bevoegdheidscontinuïteit</w:t>
      </w:r>
      <w:bookmarkEnd w:id="57"/>
    </w:p>
    <w:p w:rsidR="00734A2D" w:rsidRPr="006D0278" w:rsidRDefault="00734A2D" w:rsidP="00734A2D">
      <w:pPr>
        <w:tabs>
          <w:tab w:val="left" w:pos="-720"/>
        </w:tabs>
        <w:suppressAutoHyphens/>
        <w:ind w:left="720"/>
        <w:jc w:val="both"/>
        <w:rPr>
          <w:lang w:val="nl-NL"/>
        </w:rPr>
      </w:pPr>
    </w:p>
    <w:p w:rsidR="00734A2D" w:rsidRPr="006D0278" w:rsidRDefault="008E706C" w:rsidP="00BD2403">
      <w:pPr>
        <w:pStyle w:val="Letter"/>
        <w:ind w:left="720"/>
        <w:jc w:val="both"/>
        <w:rPr>
          <w:rFonts w:ascii="Times New Roman" w:hAnsi="Times New Roman"/>
          <w:sz w:val="24"/>
          <w:szCs w:val="24"/>
          <w:lang w:val="nl-NL"/>
        </w:rPr>
      </w:pPr>
      <w:r w:rsidRPr="006D0278">
        <w:rPr>
          <w:rFonts w:ascii="Times New Roman" w:hAnsi="Times New Roman"/>
          <w:sz w:val="24"/>
          <w:lang w:val="nl-NL"/>
        </w:rPr>
        <w:t xml:space="preserve">De </w:t>
      </w:r>
      <w:r w:rsidR="00495B93" w:rsidRPr="006D0278">
        <w:rPr>
          <w:rFonts w:ascii="Times New Roman" w:hAnsi="Times New Roman"/>
          <w:sz w:val="24"/>
          <w:lang w:val="nl-NL"/>
        </w:rPr>
        <w:t>bevoegdheidsregel</w:t>
      </w:r>
      <w:r w:rsidRPr="006D0278">
        <w:rPr>
          <w:rFonts w:ascii="Times New Roman" w:hAnsi="Times New Roman"/>
          <w:sz w:val="24"/>
          <w:lang w:val="nl-NL"/>
        </w:rPr>
        <w:t xml:space="preserve"> voor studenten is van toepassing wanneer de aanvrager, op het ogenblik van de eerste steunaanvraag, studies met volledig leerplan volgde en voor zijn hoofdverblijf ingeschreven was in het bevolkings- of vreemdelingenregister. </w:t>
      </w:r>
    </w:p>
    <w:p w:rsidR="00734A2D" w:rsidRPr="006D0278" w:rsidRDefault="00734A2D" w:rsidP="00734A2D">
      <w:pPr>
        <w:pStyle w:val="Letter"/>
        <w:ind w:left="720"/>
        <w:jc w:val="both"/>
        <w:rPr>
          <w:rFonts w:ascii="Times New Roman" w:hAnsi="Times New Roman"/>
          <w:sz w:val="24"/>
          <w:szCs w:val="24"/>
          <w:lang w:val="nl-NL"/>
        </w:rPr>
      </w:pPr>
    </w:p>
    <w:p w:rsidR="00734A2D" w:rsidRPr="006D0278" w:rsidRDefault="008E706C" w:rsidP="00BD2403">
      <w:pPr>
        <w:pStyle w:val="Paragraphedeliste"/>
        <w:ind w:left="720"/>
        <w:jc w:val="both"/>
        <w:rPr>
          <w:lang w:val="nl-NL"/>
        </w:rPr>
      </w:pPr>
      <w:r w:rsidRPr="006D0278">
        <w:rPr>
          <w:lang w:val="nl-NL"/>
        </w:rPr>
        <w:t>De specifieke bevoegdheidsregel voor studenten van dit artikel is enkel van toepassing wanneer de aanvrager deze twee voorwaarden vervulde op het ogenblik van zijn eerste steunaanvraag.</w:t>
      </w:r>
    </w:p>
    <w:p w:rsidR="0091166D" w:rsidRPr="006D0278" w:rsidRDefault="0091166D" w:rsidP="00734A2D">
      <w:pPr>
        <w:ind w:left="2160"/>
        <w:jc w:val="both"/>
        <w:rPr>
          <w:lang w:val="nl-NL"/>
        </w:rPr>
      </w:pPr>
    </w:p>
    <w:p w:rsidR="00734A2D" w:rsidRPr="006D0278" w:rsidRDefault="00734A2D" w:rsidP="0091166D">
      <w:pPr>
        <w:ind w:left="2160"/>
        <w:jc w:val="both"/>
        <w:rPr>
          <w:lang w:val="nl-NL"/>
        </w:rPr>
      </w:pPr>
    </w:p>
    <w:p w:rsidR="00734A2D" w:rsidRPr="00AF62C3" w:rsidRDefault="008E706C" w:rsidP="00AF62C3">
      <w:pPr>
        <w:pStyle w:val="Titre5"/>
        <w:ind w:firstLine="720"/>
        <w:rPr>
          <w:rFonts w:ascii="Times New Roman" w:hAnsi="Times New Roman" w:cs="Times New Roman"/>
        </w:rPr>
      </w:pPr>
      <w:bookmarkStart w:id="58" w:name="_Toc423509547"/>
      <w:r w:rsidRPr="00AF62C3">
        <w:rPr>
          <w:rFonts w:ascii="Times New Roman" w:hAnsi="Times New Roman" w:cs="Times New Roman"/>
        </w:rPr>
        <w:t>3) Onderbreking van de studies</w:t>
      </w:r>
      <w:bookmarkEnd w:id="58"/>
    </w:p>
    <w:p w:rsidR="00734A2D" w:rsidRPr="006D0278" w:rsidRDefault="00734A2D" w:rsidP="00734A2D">
      <w:pPr>
        <w:rPr>
          <w:lang w:val="nl-NL"/>
        </w:rPr>
      </w:pPr>
    </w:p>
    <w:p w:rsidR="00F40033" w:rsidRPr="006D0278" w:rsidRDefault="008E706C" w:rsidP="00BD2403">
      <w:pPr>
        <w:ind w:left="720"/>
        <w:jc w:val="both"/>
        <w:rPr>
          <w:rFonts w:cs="NAJNLA+Tahoma"/>
          <w:color w:val="000000"/>
          <w:lang w:val="nl-NL"/>
        </w:rPr>
      </w:pPr>
      <w:r w:rsidRPr="006D0278">
        <w:rPr>
          <w:lang w:val="nl-NL"/>
        </w:rPr>
        <w:t>De student die studies met volledig leerplan volgt, behoudt zonder onderbreking zijn hoedanigheid van student tot op het ogenblik dat hij zijn studies beëindigt of onderbreekt, of hij laat weten dat hij zijn studies niet wil verder</w:t>
      </w:r>
      <w:r w:rsidR="00495B93">
        <w:rPr>
          <w:lang w:val="nl-NL"/>
        </w:rPr>
        <w:t xml:space="preserve"> </w:t>
      </w:r>
      <w:r w:rsidRPr="006D0278">
        <w:rPr>
          <w:lang w:val="nl-NL"/>
        </w:rPr>
        <w:t>zetten of objectieve elementen aantonen dat het zijn bedoeling is om zijn studies stop te zetten.</w:t>
      </w:r>
    </w:p>
    <w:p w:rsidR="00734A2D" w:rsidRPr="006D0278" w:rsidRDefault="00734A2D" w:rsidP="00734A2D">
      <w:pPr>
        <w:jc w:val="both"/>
        <w:rPr>
          <w:rFonts w:ascii="Verdana" w:hAnsi="Verdana"/>
          <w:lang w:val="nl-NL"/>
        </w:rPr>
      </w:pPr>
    </w:p>
    <w:p w:rsidR="00734A2D" w:rsidRPr="006D0278" w:rsidRDefault="008E706C" w:rsidP="00BD2403">
      <w:pPr>
        <w:ind w:left="720"/>
        <w:jc w:val="both"/>
        <w:rPr>
          <w:rFonts w:cs="NAJNLA+Tahoma"/>
          <w:color w:val="000000"/>
          <w:lang w:val="nl-NL"/>
        </w:rPr>
      </w:pPr>
      <w:r w:rsidRPr="006D0278">
        <w:rPr>
          <w:rFonts w:cs="NAJNLA+Tahoma"/>
          <w:color w:val="000000"/>
          <w:lang w:val="nl-NL"/>
        </w:rPr>
        <w:t>De lopende studies worden niet onderbroken door verlofperiodes en schoolvakanties. De steunaanvrager behoudt zij</w:t>
      </w:r>
      <w:r w:rsidR="00495B93">
        <w:rPr>
          <w:rFonts w:cs="NAJNLA+Tahoma"/>
          <w:color w:val="000000"/>
          <w:lang w:val="nl-NL"/>
        </w:rPr>
        <w:t>n</w:t>
      </w:r>
      <w:r w:rsidRPr="006D0278">
        <w:rPr>
          <w:rFonts w:cs="NAJNLA+Tahoma"/>
          <w:color w:val="000000"/>
          <w:lang w:val="nl-NL"/>
        </w:rPr>
        <w:t xml:space="preserve"> hoedanigheid van student tijdens de verlofperiode tussen twee opeenvolgende school- of universitaire jaren van zijn studies.</w:t>
      </w:r>
    </w:p>
    <w:p w:rsidR="00734A2D" w:rsidRPr="006D0278" w:rsidRDefault="00734A2D" w:rsidP="00734A2D">
      <w:pPr>
        <w:jc w:val="both"/>
        <w:rPr>
          <w:rFonts w:ascii="Verdana" w:hAnsi="Verdana"/>
          <w:lang w:val="nl-NL"/>
        </w:rPr>
      </w:pPr>
    </w:p>
    <w:p w:rsidR="00734A2D" w:rsidRPr="006D0278" w:rsidRDefault="008E706C" w:rsidP="00BD2403">
      <w:pPr>
        <w:ind w:left="720"/>
        <w:jc w:val="both"/>
        <w:rPr>
          <w:rFonts w:ascii="Verdana" w:hAnsi="Verdana"/>
          <w:lang w:val="nl-NL"/>
        </w:rPr>
      </w:pPr>
      <w:r w:rsidRPr="006D0278">
        <w:rPr>
          <w:rFonts w:cs="NAJNLA+Tahoma"/>
          <w:color w:val="000000"/>
          <w:lang w:val="nl-NL"/>
        </w:rPr>
        <w:t>De lopende studies worden evenmin onderbroken wanneer de student tijdelijk geen studies kan volgen omwille van zijn gezondheidstoestand, op voorwaarde dat hij ingeschreven blijft voor het lopende school- of universitaire jaar.</w:t>
      </w:r>
    </w:p>
    <w:p w:rsidR="00734A2D" w:rsidRPr="006D0278" w:rsidRDefault="00734A2D" w:rsidP="0091166D">
      <w:pPr>
        <w:ind w:left="2160"/>
        <w:jc w:val="both"/>
        <w:rPr>
          <w:lang w:val="nl-NL"/>
        </w:rPr>
      </w:pPr>
    </w:p>
    <w:p w:rsidR="009803C1" w:rsidRPr="006D0278" w:rsidRDefault="008E706C" w:rsidP="00BD2403">
      <w:pPr>
        <w:ind w:left="720"/>
        <w:jc w:val="both"/>
        <w:rPr>
          <w:i/>
          <w:sz w:val="22"/>
          <w:szCs w:val="22"/>
          <w:lang w:val="nl-NL"/>
        </w:rPr>
      </w:pPr>
      <w:r w:rsidRPr="006D0278">
        <w:rPr>
          <w:lang w:val="nl-NL"/>
        </w:rPr>
        <w:t>Zoals de voorbereidende werkzaamheden van het ontwerp van wet betreffende het recht op maatschappelijke integratie hebben verduidelijkt: "</w:t>
      </w:r>
      <w:r w:rsidRPr="006D0278">
        <w:rPr>
          <w:i/>
          <w:lang w:val="nl-NL"/>
        </w:rPr>
        <w:t>Zolang de persoon zijn studies sinds de aanvraag niet heeft stopgezet is er sprake van een ononderbroken studie. Periodes van ziekte, zittenblijven, heroriënteringen staan het feit van een ononderbroken studie niet in de weg.</w:t>
      </w:r>
      <w:r w:rsidRPr="006D0278">
        <w:rPr>
          <w:lang w:val="nl-NL"/>
        </w:rPr>
        <w:t xml:space="preserve">” </w:t>
      </w:r>
      <w:r w:rsidRPr="006D0278">
        <w:rPr>
          <w:i/>
          <w:sz w:val="22"/>
          <w:szCs w:val="22"/>
          <w:lang w:val="nl-NL"/>
        </w:rPr>
        <w:t xml:space="preserve">De Kamer 2001-2002, DOC 50, 1603/001, p.40). </w:t>
      </w:r>
    </w:p>
    <w:p w:rsidR="00734A2D" w:rsidRPr="006D0278" w:rsidRDefault="00734A2D" w:rsidP="00734A2D">
      <w:pPr>
        <w:jc w:val="both"/>
        <w:rPr>
          <w:i/>
          <w:sz w:val="22"/>
          <w:szCs w:val="22"/>
          <w:lang w:val="nl-NL"/>
        </w:rPr>
      </w:pPr>
    </w:p>
    <w:p w:rsidR="00734A2D" w:rsidRPr="006D0278" w:rsidRDefault="008E706C" w:rsidP="00BD2403">
      <w:pPr>
        <w:ind w:left="720"/>
        <w:jc w:val="both"/>
        <w:rPr>
          <w:rFonts w:ascii="Verdana" w:hAnsi="Verdana"/>
          <w:lang w:val="nl-NL"/>
        </w:rPr>
      </w:pPr>
      <w:r w:rsidRPr="006D0278">
        <w:rPr>
          <w:rFonts w:cs="NAJNLA+Tahoma"/>
          <w:color w:val="000000"/>
          <w:lang w:val="nl-NL"/>
        </w:rPr>
        <w:t>De student die een school- of academiejaar beëindigt, blijft student tenzij hij niet verder wil studeren, ofwel doordat de betrokkene dit zelf te kennen geeft, ofwel doordat dit door objectieve elementen wordt aangetoond, bijvoorbeeld de inschrijving als werkzoekende.</w:t>
      </w:r>
    </w:p>
    <w:p w:rsidR="00734A2D" w:rsidRPr="006D0278" w:rsidRDefault="00734A2D" w:rsidP="00734A2D">
      <w:pPr>
        <w:jc w:val="both"/>
        <w:rPr>
          <w:rFonts w:ascii="Verdana" w:hAnsi="Verdana"/>
          <w:lang w:val="nl-NL"/>
        </w:rPr>
      </w:pPr>
    </w:p>
    <w:p w:rsidR="00F40033" w:rsidRPr="006D0278" w:rsidRDefault="008E706C" w:rsidP="00BD2403">
      <w:pPr>
        <w:ind w:left="720"/>
        <w:jc w:val="both"/>
        <w:rPr>
          <w:rFonts w:cs="NAJNLA+Tahoma"/>
          <w:color w:val="000000"/>
          <w:lang w:val="nl-NL"/>
        </w:rPr>
      </w:pPr>
      <w:r w:rsidRPr="006D0278">
        <w:rPr>
          <w:rFonts w:cs="NAJNLA+Tahoma"/>
          <w:color w:val="000000"/>
          <w:lang w:val="nl-NL"/>
        </w:rPr>
        <w:t xml:space="preserve"> De student die een lopende studie voortijdig beëindigt - doordat hij dat zelf te kennen geeft of doordat dit door objectieve elementen wordt aangetoond, bijvoorbeeld de inschrijving als werkzoekende - verliest de hoedanigheid van student, ook al beschikt hij nog over een inschrijving in een onderwijsinstelling.</w:t>
      </w:r>
    </w:p>
    <w:p w:rsidR="00F40033" w:rsidRPr="006D0278" w:rsidRDefault="00F40033" w:rsidP="00734A2D">
      <w:pPr>
        <w:jc w:val="both"/>
        <w:rPr>
          <w:lang w:val="nl-NL"/>
        </w:rPr>
      </w:pPr>
    </w:p>
    <w:p w:rsidR="00734A2D" w:rsidRPr="006D0278" w:rsidRDefault="008E706C" w:rsidP="00BD2403">
      <w:pPr>
        <w:ind w:left="720"/>
        <w:jc w:val="both"/>
        <w:rPr>
          <w:lang w:val="nl-NL"/>
        </w:rPr>
      </w:pPr>
      <w:r w:rsidRPr="006D0278">
        <w:rPr>
          <w:lang w:val="nl-NL"/>
        </w:rPr>
        <w:t>Wanneer de student zijn studies stopzet tijdens het jaar en ze het volgende jaar hervat, is er dan onderbreking van de studies? Alles hangt af van de omstandigheden. Opdat er onderbreking is van de studies, moet, de persoon de studies, in principe, hebben stopgezet om iets anders te gaan doen en vervolgens besloten hebben om ze te hervatten na een min of meer lange periode.</w:t>
      </w:r>
    </w:p>
    <w:p w:rsidR="006073AB" w:rsidRPr="006D0278" w:rsidRDefault="006073AB" w:rsidP="00734A2D">
      <w:pPr>
        <w:jc w:val="both"/>
        <w:rPr>
          <w:lang w:val="nl-NL"/>
        </w:rPr>
      </w:pPr>
    </w:p>
    <w:p w:rsidR="006073AB" w:rsidRPr="006D0278" w:rsidRDefault="008E706C" w:rsidP="00BD2403">
      <w:pPr>
        <w:ind w:left="720"/>
        <w:jc w:val="both"/>
        <w:rPr>
          <w:lang w:val="nl-NL"/>
        </w:rPr>
      </w:pPr>
      <w:r w:rsidRPr="006D0278">
        <w:rPr>
          <w:lang w:val="nl-NL"/>
        </w:rPr>
        <w:lastRenderedPageBreak/>
        <w:t xml:space="preserve">Indien de student stopt met het volgen van een opleiding, maar werkelijk de bedoeling heeft om de studies met volledig leerplan verder te zetten en zich wil omscholen, verliest hij zijn hoedanigheid van student niet. Er moet nagegaan worden of de aanvrager werkelijk de bedoeling heeft om zijn studies verder te </w:t>
      </w:r>
      <w:r w:rsidR="00495B93" w:rsidRPr="006D0278">
        <w:rPr>
          <w:lang w:val="nl-NL"/>
        </w:rPr>
        <w:t xml:space="preserve">zetten. </w:t>
      </w:r>
      <w:r w:rsidRPr="006D0278">
        <w:rPr>
          <w:lang w:val="nl-NL"/>
        </w:rPr>
        <w:t>Men moet hem voldoende tijd laten om een andere opleiding te zoeken, om hem toe te laten zich te herscholen. Het OCMW kan geval per geval de wil onderzoeken van de student om zijn studies al dan niet verder te zetten.</w:t>
      </w:r>
    </w:p>
    <w:p w:rsidR="006073AB" w:rsidRPr="006D0278" w:rsidRDefault="006073AB" w:rsidP="00734A2D">
      <w:pPr>
        <w:jc w:val="both"/>
        <w:rPr>
          <w:lang w:val="nl-NL"/>
        </w:rPr>
      </w:pPr>
    </w:p>
    <w:p w:rsidR="00F40033" w:rsidRPr="006D0278" w:rsidRDefault="008E706C" w:rsidP="00BD2403">
      <w:pPr>
        <w:ind w:left="720"/>
        <w:jc w:val="both"/>
        <w:rPr>
          <w:lang w:val="nl-NL"/>
        </w:rPr>
      </w:pPr>
      <w:r w:rsidRPr="006D0278">
        <w:rPr>
          <w:lang w:val="nl-NL"/>
        </w:rPr>
        <w:t>Bij onderbreking van de studies wordt de territoriale bevoegdheid geregeld door het algemene principe van het steunverlenend centrum</w:t>
      </w:r>
      <w:r w:rsidR="00495B93" w:rsidRPr="006D0278">
        <w:rPr>
          <w:lang w:val="nl-NL"/>
        </w:rPr>
        <w:t>: het</w:t>
      </w:r>
      <w:r w:rsidRPr="006D0278">
        <w:rPr>
          <w:lang w:val="nl-NL"/>
        </w:rPr>
        <w:t xml:space="preserve"> OCMW van de gewoonlijke en effectieve verblijfplaats op het ogenblik van de aanvraag is bevoegd.</w:t>
      </w:r>
    </w:p>
    <w:p w:rsidR="00F40033" w:rsidRPr="006D0278" w:rsidRDefault="00F40033" w:rsidP="00F40033">
      <w:pPr>
        <w:jc w:val="both"/>
        <w:rPr>
          <w:lang w:val="nl-NL"/>
        </w:rPr>
      </w:pPr>
    </w:p>
    <w:p w:rsidR="009803C1" w:rsidRPr="006D0278" w:rsidRDefault="008E706C" w:rsidP="00BD2403">
      <w:pPr>
        <w:ind w:left="720"/>
        <w:jc w:val="both"/>
        <w:rPr>
          <w:b/>
          <w:lang w:val="nl-NL"/>
        </w:rPr>
      </w:pPr>
      <w:r w:rsidRPr="006D0278">
        <w:rPr>
          <w:lang w:val="nl-NL"/>
        </w:rPr>
        <w:t xml:space="preserve">Wanneer de betrokkene zijn studies heeft onderbroken, verliest hij zijn hoedanigheid van student tot op het ogenblik dat hij zijn studies met volledig leerplan effectief heeft hervat. De continuïteitsregel is niet van toepassing. De specifieke bevoegdheidsregel voor studenten zal van toepassing zijn wanneer de betrokken zijn </w:t>
      </w:r>
      <w:r w:rsidR="00495B93" w:rsidRPr="006D0278">
        <w:rPr>
          <w:lang w:val="nl-NL"/>
        </w:rPr>
        <w:t>studies</w:t>
      </w:r>
      <w:r w:rsidRPr="006D0278">
        <w:rPr>
          <w:lang w:val="nl-NL"/>
        </w:rPr>
        <w:t xml:space="preserve"> met volledig leerplan zal hebben hervat.</w:t>
      </w:r>
    </w:p>
    <w:p w:rsidR="0091166D" w:rsidRPr="006D0278" w:rsidRDefault="0091166D" w:rsidP="00F55CB0">
      <w:pPr>
        <w:ind w:left="1440"/>
        <w:jc w:val="both"/>
        <w:rPr>
          <w:lang w:val="nl-NL"/>
        </w:rPr>
      </w:pPr>
    </w:p>
    <w:p w:rsidR="00F55CB0" w:rsidRPr="006D0278" w:rsidRDefault="00F55CB0" w:rsidP="009803C1">
      <w:pPr>
        <w:ind w:left="1080"/>
        <w:rPr>
          <w:b/>
          <w:lang w:val="nl-NL"/>
        </w:rPr>
      </w:pPr>
    </w:p>
    <w:p w:rsidR="00F55CB0" w:rsidRPr="006D0278" w:rsidRDefault="00F55CB0" w:rsidP="009803C1">
      <w:pPr>
        <w:ind w:left="1080"/>
        <w:rPr>
          <w:b/>
          <w:lang w:val="nl-NL"/>
        </w:rPr>
      </w:pPr>
    </w:p>
    <w:bookmarkEnd w:id="6"/>
    <w:bookmarkEnd w:id="7"/>
    <w:p w:rsidR="00571417" w:rsidRPr="006D0278" w:rsidRDefault="00571417" w:rsidP="00F96962">
      <w:pPr>
        <w:ind w:left="1080"/>
        <w:rPr>
          <w:lang w:val="nl-NL"/>
        </w:rPr>
      </w:pPr>
    </w:p>
    <w:p w:rsidR="00452184" w:rsidRPr="006D0278" w:rsidRDefault="0090319E" w:rsidP="0013358E">
      <w:pPr>
        <w:rPr>
          <w:lang w:val="nl-NL"/>
        </w:rPr>
      </w:pPr>
      <w:r w:rsidRPr="006D0278">
        <w:rPr>
          <w:lang w:val="nl-NL"/>
        </w:rPr>
        <w:br w:type="page"/>
      </w:r>
    </w:p>
    <w:p w:rsidR="00843780" w:rsidRPr="006D0278" w:rsidRDefault="008E706C" w:rsidP="00BD2403">
      <w:pPr>
        <w:pStyle w:val="Titre2"/>
        <w:ind w:left="357" w:firstLine="0"/>
        <w:rPr>
          <w:sz w:val="28"/>
          <w:szCs w:val="32"/>
          <w:lang w:val="nl-NL"/>
        </w:rPr>
      </w:pPr>
      <w:bookmarkStart w:id="59" w:name="_Toc51469042"/>
      <w:bookmarkStart w:id="60" w:name="_Toc70850287"/>
      <w:bookmarkStart w:id="61" w:name="_Toc423509548"/>
      <w:r w:rsidRPr="006D0278">
        <w:rPr>
          <w:sz w:val="28"/>
          <w:szCs w:val="32"/>
          <w:lang w:val="nl-NL"/>
        </w:rPr>
        <w:lastRenderedPageBreak/>
        <w:t xml:space="preserve">5. </w:t>
      </w:r>
      <w:bookmarkEnd w:id="59"/>
      <w:bookmarkEnd w:id="60"/>
      <w:r w:rsidRPr="006D0278">
        <w:rPr>
          <w:sz w:val="28"/>
          <w:szCs w:val="32"/>
          <w:lang w:val="nl-NL"/>
        </w:rPr>
        <w:t>Conflicten inzake asielzoekers en personen die een opvangstructuur verlaten</w:t>
      </w:r>
      <w:bookmarkEnd w:id="61"/>
    </w:p>
    <w:p w:rsidR="0067158C" w:rsidRPr="006D0278" w:rsidRDefault="0067158C" w:rsidP="0067158C">
      <w:pPr>
        <w:rPr>
          <w:lang w:val="nl-NL"/>
        </w:rPr>
      </w:pPr>
    </w:p>
    <w:p w:rsidR="00852ACF" w:rsidRPr="006D0278" w:rsidRDefault="00852ACF" w:rsidP="0067158C">
      <w:pPr>
        <w:rPr>
          <w:lang w:val="nl-NL"/>
        </w:rPr>
      </w:pPr>
    </w:p>
    <w:p w:rsidR="00852ACF" w:rsidRPr="006D0278" w:rsidRDefault="008E706C" w:rsidP="00852ACF">
      <w:pPr>
        <w:ind w:left="720"/>
        <w:jc w:val="both"/>
        <w:rPr>
          <w:lang w:val="nl-NL"/>
        </w:rPr>
      </w:pPr>
      <w:r w:rsidRPr="006D0278">
        <w:rPr>
          <w:lang w:val="nl-NL"/>
        </w:rPr>
        <w:t xml:space="preserve">De territoriale bevoegdheid van de OCMW's voor asielzoekers wordt bepaald door de specifieke bevoegdheidsregels van de artikelen 2, §5, en 2, §8, van de wet van 2 april 1965 betreffende het ten laste nemen van de steun verleend door de openbare centra voor maatschappelijk welzijn. </w:t>
      </w:r>
    </w:p>
    <w:p w:rsidR="00852ACF" w:rsidRPr="006D0278" w:rsidRDefault="00852ACF" w:rsidP="0067158C">
      <w:pPr>
        <w:rPr>
          <w:lang w:val="nl-NL"/>
        </w:rPr>
      </w:pPr>
    </w:p>
    <w:p w:rsidR="00EF6BB2" w:rsidRPr="006D0278" w:rsidRDefault="008E706C" w:rsidP="00BD2403">
      <w:pPr>
        <w:pStyle w:val="Titre3"/>
        <w:rPr>
          <w:b/>
          <w:bCs/>
          <w:sz w:val="24"/>
          <w:u w:val="single"/>
          <w:lang w:val="nl-NL"/>
        </w:rPr>
      </w:pPr>
      <w:bookmarkStart w:id="62" w:name="_Toc423509549"/>
      <w:r w:rsidRPr="006D0278">
        <w:rPr>
          <w:b/>
          <w:bCs/>
          <w:sz w:val="24"/>
          <w:u w:val="single"/>
          <w:lang w:val="nl-NL"/>
        </w:rPr>
        <w:t xml:space="preserve">1. Aantal dossiers in </w:t>
      </w:r>
      <w:r w:rsidR="00B55B55" w:rsidRPr="006D0278">
        <w:rPr>
          <w:b/>
          <w:bCs/>
          <w:sz w:val="24"/>
          <w:u w:val="single"/>
          <w:lang w:val="nl-NL"/>
        </w:rPr>
        <w:t>201</w:t>
      </w:r>
      <w:r w:rsidR="00CC26BF">
        <w:rPr>
          <w:b/>
          <w:bCs/>
          <w:sz w:val="24"/>
          <w:u w:val="single"/>
          <w:lang w:val="nl-NL"/>
        </w:rPr>
        <w:t>4</w:t>
      </w:r>
      <w:bookmarkEnd w:id="62"/>
      <w:r w:rsidR="00B55B55" w:rsidRPr="006D0278">
        <w:rPr>
          <w:b/>
          <w:bCs/>
          <w:sz w:val="24"/>
          <w:u w:val="single"/>
          <w:lang w:val="nl-NL"/>
        </w:rPr>
        <w:t xml:space="preserve"> </w:t>
      </w:r>
    </w:p>
    <w:p w:rsidR="005B0531" w:rsidRPr="006D0278" w:rsidRDefault="005B0531" w:rsidP="000B588B">
      <w:pPr>
        <w:ind w:left="720" w:firstLine="720"/>
        <w:jc w:val="both"/>
        <w:rPr>
          <w:lang w:val="nl-NL"/>
        </w:rPr>
      </w:pPr>
    </w:p>
    <w:p w:rsidR="006E7408" w:rsidRPr="006D0278" w:rsidRDefault="00CC26BF" w:rsidP="00330DAC">
      <w:pPr>
        <w:pStyle w:val="Opmaakprofiel1"/>
        <w:ind w:left="720" w:firstLine="720"/>
      </w:pPr>
      <w:r>
        <w:t>12</w:t>
      </w:r>
      <w:r w:rsidR="00B55B55" w:rsidRPr="006D0278">
        <w:t xml:space="preserve"> </w:t>
      </w:r>
      <w:r w:rsidR="008E706C" w:rsidRPr="006D0278">
        <w:t xml:space="preserve">dossiers op </w:t>
      </w:r>
      <w:r w:rsidR="00B55B55">
        <w:t>4</w:t>
      </w:r>
      <w:r>
        <w:t>9</w:t>
      </w:r>
      <w:r w:rsidR="00B55B55">
        <w:t>3</w:t>
      </w:r>
      <w:r w:rsidR="00B55B55" w:rsidRPr="006D0278">
        <w:t xml:space="preserve"> </w:t>
      </w:r>
      <w:r w:rsidR="008E706C" w:rsidRPr="006D0278">
        <w:t xml:space="preserve">ontvankelijke dossiers, hetzij </w:t>
      </w:r>
      <w:r>
        <w:t>2</w:t>
      </w:r>
      <w:r w:rsidR="00B55B55" w:rsidRPr="006D0278">
        <w:t xml:space="preserve"> </w:t>
      </w:r>
      <w:r w:rsidR="008E706C" w:rsidRPr="006D0278">
        <w:t>%</w:t>
      </w:r>
    </w:p>
    <w:p w:rsidR="006E7408" w:rsidRPr="006D0278" w:rsidRDefault="008E706C" w:rsidP="00330DAC">
      <w:pPr>
        <w:ind w:left="720" w:firstLine="720"/>
        <w:jc w:val="both"/>
        <w:rPr>
          <w:lang w:val="nl-NL"/>
        </w:rPr>
      </w:pPr>
      <w:r w:rsidRPr="006D0278">
        <w:rPr>
          <w:lang w:val="nl-NL"/>
        </w:rPr>
        <w:t xml:space="preserve">Nederlandstalige dossiers: </w:t>
      </w:r>
      <w:r w:rsidR="00CC26BF">
        <w:rPr>
          <w:lang w:val="nl-NL"/>
        </w:rPr>
        <w:t>4</w:t>
      </w:r>
      <w:r w:rsidR="00B55B55" w:rsidRPr="006D0278">
        <w:rPr>
          <w:lang w:val="nl-NL"/>
        </w:rPr>
        <w:t xml:space="preserve"> </w:t>
      </w:r>
      <w:r w:rsidRPr="006D0278">
        <w:rPr>
          <w:lang w:val="nl-NL"/>
        </w:rPr>
        <w:t xml:space="preserve">op </w:t>
      </w:r>
      <w:r w:rsidR="00CC26BF">
        <w:rPr>
          <w:lang w:val="nl-NL"/>
        </w:rPr>
        <w:t>180</w:t>
      </w:r>
      <w:r w:rsidR="00B55B55">
        <w:rPr>
          <w:lang w:val="nl-NL"/>
        </w:rPr>
        <w:t>7</w:t>
      </w:r>
      <w:r w:rsidR="00B55B55" w:rsidRPr="006D0278">
        <w:rPr>
          <w:lang w:val="nl-NL"/>
        </w:rPr>
        <w:t xml:space="preserve"> </w:t>
      </w:r>
      <w:r w:rsidR="00CC26BF">
        <w:rPr>
          <w:lang w:val="nl-NL"/>
        </w:rPr>
        <w:t xml:space="preserve">ontvankelijke dossiers, hetzij </w:t>
      </w:r>
      <w:r w:rsidR="00CD7A69">
        <w:rPr>
          <w:lang w:val="nl-NL"/>
        </w:rPr>
        <w:t>2</w:t>
      </w:r>
      <w:r w:rsidRPr="006D0278">
        <w:rPr>
          <w:lang w:val="nl-NL"/>
        </w:rPr>
        <w:t xml:space="preserve"> %</w:t>
      </w:r>
    </w:p>
    <w:p w:rsidR="006E7408" w:rsidRPr="006D0278" w:rsidRDefault="008E706C" w:rsidP="00330DAC">
      <w:pPr>
        <w:ind w:left="720" w:firstLine="720"/>
        <w:jc w:val="both"/>
        <w:rPr>
          <w:highlight w:val="yellow"/>
          <w:lang w:val="nl-NL"/>
        </w:rPr>
      </w:pPr>
      <w:r w:rsidRPr="006D0278">
        <w:rPr>
          <w:lang w:val="nl-NL"/>
        </w:rPr>
        <w:t xml:space="preserve">Franstalige dossiers: </w:t>
      </w:r>
      <w:r w:rsidR="00CC26BF">
        <w:rPr>
          <w:lang w:val="nl-NL"/>
        </w:rPr>
        <w:t>8</w:t>
      </w:r>
      <w:r w:rsidR="00B55B55" w:rsidRPr="006D0278">
        <w:rPr>
          <w:lang w:val="nl-NL"/>
        </w:rPr>
        <w:t xml:space="preserve"> </w:t>
      </w:r>
      <w:r w:rsidRPr="006D0278">
        <w:rPr>
          <w:lang w:val="nl-NL"/>
        </w:rPr>
        <w:t xml:space="preserve">op </w:t>
      </w:r>
      <w:r w:rsidR="00CC26BF">
        <w:rPr>
          <w:lang w:val="nl-NL"/>
        </w:rPr>
        <w:t>313</w:t>
      </w:r>
      <w:r w:rsidR="00B55B55" w:rsidRPr="006D0278">
        <w:rPr>
          <w:lang w:val="nl-NL"/>
        </w:rPr>
        <w:t xml:space="preserve"> </w:t>
      </w:r>
      <w:r w:rsidRPr="006D0278">
        <w:rPr>
          <w:lang w:val="nl-NL"/>
        </w:rPr>
        <w:t xml:space="preserve">ontvankelijke dossiers, hetzij </w:t>
      </w:r>
      <w:r w:rsidR="00B55B55">
        <w:rPr>
          <w:lang w:val="nl-NL"/>
        </w:rPr>
        <w:t>3</w:t>
      </w:r>
      <w:r w:rsidR="00B55B55" w:rsidRPr="006D0278">
        <w:rPr>
          <w:lang w:val="nl-NL"/>
        </w:rPr>
        <w:t xml:space="preserve"> </w:t>
      </w:r>
      <w:r w:rsidRPr="006D0278">
        <w:rPr>
          <w:lang w:val="nl-NL"/>
        </w:rPr>
        <w:t>%</w:t>
      </w:r>
    </w:p>
    <w:p w:rsidR="006E7408" w:rsidRDefault="006E7408" w:rsidP="00330DAC">
      <w:pPr>
        <w:ind w:left="900"/>
        <w:jc w:val="both"/>
        <w:rPr>
          <w:lang w:val="nl-NL"/>
        </w:rPr>
      </w:pPr>
    </w:p>
    <w:p w:rsidR="0090319E" w:rsidRPr="006D0278" w:rsidRDefault="00980B85" w:rsidP="00BF4C67">
      <w:pPr>
        <w:ind w:left="1440"/>
        <w:jc w:val="both"/>
        <w:rPr>
          <w:lang w:val="nl-NL"/>
        </w:rPr>
      </w:pPr>
      <w:r w:rsidRPr="00980B85">
        <w:rPr>
          <w:lang w:val="nl-NL"/>
        </w:rPr>
        <w:t xml:space="preserve">In </w:t>
      </w:r>
      <w:r w:rsidR="00B55B55" w:rsidRPr="00980B85">
        <w:rPr>
          <w:lang w:val="nl-NL"/>
        </w:rPr>
        <w:t>201</w:t>
      </w:r>
      <w:r w:rsidR="00CC26BF">
        <w:rPr>
          <w:lang w:val="nl-NL"/>
        </w:rPr>
        <w:t>4</w:t>
      </w:r>
      <w:r w:rsidR="00B55B55" w:rsidRPr="00980B85">
        <w:rPr>
          <w:lang w:val="nl-NL"/>
        </w:rPr>
        <w:t xml:space="preserve"> </w:t>
      </w:r>
      <w:r w:rsidRPr="00980B85">
        <w:rPr>
          <w:lang w:val="nl-NL"/>
        </w:rPr>
        <w:t xml:space="preserve">is het aantal dossiers met betrekking tot de asielzoekers </w:t>
      </w:r>
      <w:r w:rsidR="00B55B55">
        <w:rPr>
          <w:lang w:val="nl-NL"/>
        </w:rPr>
        <w:t xml:space="preserve">verder </w:t>
      </w:r>
      <w:r w:rsidR="003C6341">
        <w:rPr>
          <w:lang w:val="nl-NL"/>
        </w:rPr>
        <w:t xml:space="preserve">verminderd </w:t>
      </w:r>
      <w:r w:rsidRPr="00980B85">
        <w:rPr>
          <w:lang w:val="nl-NL"/>
        </w:rPr>
        <w:t xml:space="preserve">tegenover </w:t>
      </w:r>
      <w:r w:rsidR="00B55B55">
        <w:rPr>
          <w:lang w:val="nl-NL"/>
        </w:rPr>
        <w:t>de twee voorgaande</w:t>
      </w:r>
      <w:r w:rsidR="00B55B55" w:rsidRPr="00980B85">
        <w:rPr>
          <w:lang w:val="nl-NL"/>
        </w:rPr>
        <w:t xml:space="preserve"> </w:t>
      </w:r>
      <w:r w:rsidRPr="00980B85">
        <w:rPr>
          <w:lang w:val="nl-NL"/>
        </w:rPr>
        <w:t>jar</w:t>
      </w:r>
      <w:r w:rsidR="00B55B55">
        <w:rPr>
          <w:lang w:val="nl-NL"/>
        </w:rPr>
        <w:t>en</w:t>
      </w:r>
      <w:r w:rsidRPr="00980B85">
        <w:rPr>
          <w:lang w:val="nl-NL"/>
        </w:rPr>
        <w:t xml:space="preserve"> </w:t>
      </w:r>
    </w:p>
    <w:p w:rsidR="0090319E" w:rsidRPr="006D0278" w:rsidRDefault="0090319E" w:rsidP="00571417">
      <w:pPr>
        <w:ind w:left="900"/>
        <w:jc w:val="both"/>
        <w:rPr>
          <w:lang w:val="nl-NL"/>
        </w:rPr>
      </w:pPr>
    </w:p>
    <w:p w:rsidR="00B42A88" w:rsidRPr="006D0278" w:rsidRDefault="008E706C" w:rsidP="00955BB0">
      <w:pPr>
        <w:pStyle w:val="Titre3"/>
        <w:ind w:left="720" w:firstLine="0"/>
        <w:jc w:val="both"/>
        <w:rPr>
          <w:b/>
          <w:bCs/>
          <w:i/>
          <w:sz w:val="24"/>
          <w:u w:val="single"/>
          <w:lang w:val="nl-NL"/>
        </w:rPr>
      </w:pPr>
      <w:bookmarkStart w:id="63" w:name="_Toc423509550"/>
      <w:r w:rsidRPr="006D0278">
        <w:rPr>
          <w:b/>
          <w:bCs/>
          <w:sz w:val="24"/>
          <w:u w:val="single"/>
          <w:lang w:val="nl-NL"/>
        </w:rPr>
        <w:t>2. De bevoegdheidsregel van artikel 2, §5, van de wet van 1965 april betreffende het ten laste nemen van de steun verleend door de openbare centra voor maatschappelijk welzijn</w:t>
      </w:r>
      <w:bookmarkEnd w:id="63"/>
    </w:p>
    <w:p w:rsidR="007F3E05" w:rsidRDefault="007F3E05" w:rsidP="00EF2DFE">
      <w:pPr>
        <w:ind w:left="720"/>
        <w:rPr>
          <w:lang w:val="nl-NL"/>
        </w:rPr>
      </w:pPr>
    </w:p>
    <w:p w:rsidR="00EF2DFE" w:rsidRPr="006D0278" w:rsidRDefault="00EF2DFE" w:rsidP="00EF2DFE">
      <w:pPr>
        <w:ind w:left="720"/>
        <w:jc w:val="both"/>
        <w:rPr>
          <w:bCs/>
          <w:lang w:val="nl-NL"/>
        </w:rPr>
      </w:pPr>
    </w:p>
    <w:p w:rsidR="00A353AD" w:rsidRPr="006D0278" w:rsidRDefault="008E706C" w:rsidP="00BD2403">
      <w:pPr>
        <w:pStyle w:val="Titre4"/>
        <w:ind w:left="900"/>
        <w:rPr>
          <w:bCs w:val="0"/>
          <w:lang w:val="nl-NL"/>
        </w:rPr>
      </w:pPr>
      <w:bookmarkStart w:id="64" w:name="_Toc423509551"/>
      <w:r w:rsidRPr="006D0278">
        <w:rPr>
          <w:bCs w:val="0"/>
          <w:lang w:val="nl-NL"/>
        </w:rPr>
        <w:t>1. Wettelijke bepaling</w:t>
      </w:r>
      <w:bookmarkEnd w:id="64"/>
    </w:p>
    <w:p w:rsidR="00A353AD" w:rsidRPr="006D0278" w:rsidRDefault="00A353AD" w:rsidP="00A353AD">
      <w:pPr>
        <w:ind w:left="1080"/>
        <w:jc w:val="both"/>
        <w:rPr>
          <w:bCs/>
          <w:lang w:val="nl-NL"/>
        </w:rPr>
      </w:pPr>
    </w:p>
    <w:p w:rsidR="00EF2DFE" w:rsidRPr="006D0278" w:rsidRDefault="008E706C" w:rsidP="006E7408">
      <w:pPr>
        <w:ind w:left="1260"/>
        <w:jc w:val="both"/>
        <w:rPr>
          <w:lang w:val="nl-NL"/>
        </w:rPr>
      </w:pPr>
      <w:r w:rsidRPr="006D0278">
        <w:rPr>
          <w:bCs/>
          <w:lang w:val="nl-NL"/>
        </w:rPr>
        <w:t>Artikel 2, §5, van de wet van 2 april 1965</w:t>
      </w:r>
      <w:r w:rsidR="00EF2DFE">
        <w:rPr>
          <w:rStyle w:val="Appelnotedebasdep"/>
          <w:bCs/>
          <w:lang w:val="fr-BE"/>
        </w:rPr>
        <w:footnoteReference w:id="5"/>
      </w:r>
      <w:r w:rsidR="007F3E05">
        <w:rPr>
          <w:bCs/>
          <w:lang w:val="nl-NL"/>
        </w:rPr>
        <w:t xml:space="preserve"> </w:t>
      </w:r>
      <w:r w:rsidRPr="006D0278">
        <w:rPr>
          <w:bCs/>
          <w:lang w:val="nl-NL"/>
        </w:rPr>
        <w:t xml:space="preserve">werd gewijzigd door artikel 164 van de wet houdende diverse bepalingen van 29 december 2010 (Belgisch Staatsblad van 31.12.2010 - Ed. 3) en bepaalt voortaan dat: </w:t>
      </w:r>
    </w:p>
    <w:p w:rsidR="00EF2DFE" w:rsidRPr="006D0278" w:rsidRDefault="00EF2DFE" w:rsidP="00EF2DFE">
      <w:pPr>
        <w:ind w:left="720"/>
        <w:rPr>
          <w:lang w:val="nl-NL"/>
        </w:rPr>
      </w:pPr>
    </w:p>
    <w:p w:rsidR="005B0531"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lang w:val="nl-NL"/>
        </w:rPr>
        <w:t>Art. 2, §5, van de wet van 1965 april betreffende het ten laste nemen van de steun verleend door de openbare centra voor maatschappelijk welzijn:</w:t>
      </w:r>
    </w:p>
    <w:p w:rsidR="00225991"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r w:rsidRPr="006D0278">
        <w:rPr>
          <w:bCs/>
          <w:lang w:val="nl-NL"/>
        </w:rPr>
        <w:t>"</w:t>
      </w:r>
      <w:r w:rsidRPr="006D0278">
        <w:rPr>
          <w:bCs/>
          <w:i/>
          <w:lang w:val="nl-NL"/>
        </w:rPr>
        <w:t xml:space="preserve">In afwijking van artikel 1, 1°, is bevoegd om maatschappelijke dienstverlening aan een kandidaat-vluchteling of aan een persoon die van de tijdelijke bescherming geniet in het kader van de massale toestroom van ontheemden toe te kennen, het openbaar centrum voor maatschappelijk welzijn: </w:t>
      </w:r>
    </w:p>
    <w:p w:rsidR="00EF2DFE" w:rsidRPr="006D0278" w:rsidRDefault="008E706C" w:rsidP="00DA101F">
      <w:pPr>
        <w:numPr>
          <w:ilvl w:val="0"/>
          <w:numId w:val="13"/>
        </w:numPr>
        <w:pBdr>
          <w:top w:val="dotDotDash" w:sz="4" w:space="1" w:color="auto"/>
          <w:left w:val="dotDotDash" w:sz="4" w:space="4" w:color="auto"/>
          <w:bottom w:val="dotDotDash" w:sz="4" w:space="1" w:color="auto"/>
          <w:right w:val="dotDotDash" w:sz="4" w:space="4" w:color="auto"/>
        </w:pBdr>
        <w:shd w:val="clear" w:color="auto" w:fill="CCFFFF"/>
        <w:jc w:val="both"/>
        <w:rPr>
          <w:bCs/>
          <w:i/>
          <w:lang w:val="nl-NL"/>
        </w:rPr>
      </w:pPr>
      <w:r w:rsidRPr="006D0278">
        <w:rPr>
          <w:bCs/>
          <w:i/>
          <w:lang w:val="nl-NL"/>
        </w:rPr>
        <w:t>van de gemeente waar hij in het wachtregister is ingeschreven</w:t>
      </w:r>
      <w:r w:rsidRPr="00BF4C67">
        <w:rPr>
          <w:bCs/>
          <w:i/>
          <w:u w:val="single"/>
          <w:lang w:val="nl-NL"/>
        </w:rPr>
        <w:t>, voor zover deze inschrijving niet het adres van de Dienst Vreemdelingenzaken of het Commissariaat-generaal voor de Vluchtelingen en de Staatlozen betreft</w:t>
      </w:r>
      <w:r w:rsidRPr="006D0278">
        <w:rPr>
          <w:bCs/>
          <w:i/>
          <w:lang w:val="nl-NL"/>
        </w:rPr>
        <w:t>, of</w:t>
      </w:r>
    </w:p>
    <w:p w:rsidR="001653F7"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r w:rsidRPr="006D0278">
        <w:rPr>
          <w:bCs/>
          <w:i/>
          <w:lang w:val="nl-NL"/>
        </w:rPr>
        <w:t xml:space="preserve"> b) van de gemeente waar hij in de bevolkingsregister of in het vreemdelingenregister is ingeschreven.</w:t>
      </w:r>
    </w:p>
    <w:p w:rsidR="005B0531" w:rsidRPr="006D0278" w:rsidRDefault="005B0531"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p>
    <w:p w:rsidR="005B0531"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r w:rsidRPr="006D0278">
        <w:rPr>
          <w:bCs/>
          <w:i/>
          <w:lang w:val="nl-NL"/>
        </w:rPr>
        <w:lastRenderedPageBreak/>
        <w:t>Wanneer verschillende gemeenten vermeld zijn in de inschrijving van een kandidaat-vluchteling of van een persoon die van de tijdelijke bescherming geniet in het kader van de massale toestroom van ontheemden is het openbaar centrum voor maatschappelijk welzijn van de gemeente aangeduid als verplichte plaats van inschrijving, bevoegd om hem maatschappelijke dienstverlening toe te kennen.</w:t>
      </w:r>
    </w:p>
    <w:p w:rsidR="005B0531" w:rsidRPr="006D0278" w:rsidRDefault="005B0531"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p>
    <w:p w:rsidR="005B0531"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r w:rsidRPr="006D0278">
        <w:rPr>
          <w:bCs/>
          <w:i/>
          <w:lang w:val="nl-NL"/>
        </w:rPr>
        <w:t xml:space="preserve">Niettegenstaande het behoud van de aanduiding van een verplichte plaats van inschrijving houdt deze territoriale bevoegdheid op wanneer: </w:t>
      </w:r>
    </w:p>
    <w:p w:rsidR="005B0531" w:rsidRPr="006D0278" w:rsidRDefault="008E706C" w:rsidP="00DA101F">
      <w:pPr>
        <w:numPr>
          <w:ilvl w:val="0"/>
          <w:numId w:val="2"/>
        </w:numPr>
        <w:pBdr>
          <w:top w:val="dotDotDash" w:sz="4" w:space="1" w:color="auto"/>
          <w:left w:val="dotDotDash" w:sz="4" w:space="4" w:color="auto"/>
          <w:bottom w:val="dotDotDash" w:sz="4" w:space="1" w:color="auto"/>
          <w:right w:val="dotDotDash" w:sz="4" w:space="4" w:color="auto"/>
        </w:pBdr>
        <w:shd w:val="clear" w:color="auto" w:fill="CCFFFF"/>
        <w:tabs>
          <w:tab w:val="clear" w:pos="1800"/>
          <w:tab w:val="num" w:pos="720"/>
        </w:tabs>
        <w:jc w:val="both"/>
        <w:rPr>
          <w:bCs/>
          <w:i/>
          <w:lang w:val="nl-NL"/>
        </w:rPr>
      </w:pPr>
      <w:r w:rsidRPr="006D0278">
        <w:rPr>
          <w:bCs/>
          <w:i/>
          <w:lang w:val="nl-NL"/>
        </w:rPr>
        <w:t xml:space="preserve">ofwel de asielprocedure beëindigd is door het verstrijken van de beroepstermijn tegen een beslissing van het Commissariaat-generaal voor Vluchtelingen en Staatlozen of van de Vaste Beroepscommissie voor Vluchtelingen of ingevolge het arrest tot verwerping van het beroep tot nietigverklaring bij de Raad van State tegen een beslissing van het Commissariaat-generaal voor Vluchtelingen en Staatlozen of van de Vaste Beroepscommissie voor Vluchtelingen; </w:t>
      </w:r>
    </w:p>
    <w:p w:rsidR="005B0531" w:rsidRPr="006D0278" w:rsidRDefault="008E706C" w:rsidP="00DA101F">
      <w:pPr>
        <w:numPr>
          <w:ilvl w:val="0"/>
          <w:numId w:val="2"/>
        </w:numPr>
        <w:pBdr>
          <w:top w:val="dotDotDash" w:sz="4" w:space="1" w:color="auto"/>
          <w:left w:val="dotDotDash" w:sz="4" w:space="4" w:color="auto"/>
          <w:bottom w:val="dotDotDash" w:sz="4" w:space="1" w:color="auto"/>
          <w:right w:val="dotDotDash" w:sz="4" w:space="4" w:color="auto"/>
        </w:pBdr>
        <w:shd w:val="clear" w:color="auto" w:fill="CCFFFF"/>
        <w:tabs>
          <w:tab w:val="clear" w:pos="1800"/>
          <w:tab w:val="num" w:pos="720"/>
        </w:tabs>
        <w:jc w:val="both"/>
        <w:rPr>
          <w:bCs/>
          <w:lang w:val="nl-NL"/>
        </w:rPr>
      </w:pPr>
      <w:r w:rsidRPr="006D0278">
        <w:rPr>
          <w:bCs/>
          <w:i/>
          <w:lang w:val="nl-NL"/>
        </w:rPr>
        <w:t>ofwel de tijdelijke bescherming van de ontheemden is beëindigd.</w:t>
      </w:r>
      <w:r w:rsidRPr="006D0278">
        <w:rPr>
          <w:bCs/>
          <w:lang w:val="nl-NL"/>
        </w:rPr>
        <w:t>"</w:t>
      </w:r>
    </w:p>
    <w:p w:rsidR="002024FC" w:rsidRPr="006D0278" w:rsidRDefault="002024FC" w:rsidP="00F87B86">
      <w:pPr>
        <w:ind w:left="180"/>
        <w:jc w:val="both"/>
        <w:rPr>
          <w:lang w:val="nl-NL"/>
        </w:rPr>
      </w:pPr>
    </w:p>
    <w:p w:rsidR="00BD2403" w:rsidRPr="006D0278" w:rsidRDefault="00BD2403" w:rsidP="00A353AD">
      <w:pPr>
        <w:ind w:left="1068"/>
        <w:jc w:val="both"/>
        <w:rPr>
          <w:iCs/>
          <w:u w:val="single"/>
          <w:lang w:val="nl-NL" w:eastAsia="fr-FR"/>
        </w:rPr>
      </w:pPr>
    </w:p>
    <w:p w:rsidR="00A353AD" w:rsidRPr="006D0278" w:rsidRDefault="008E706C" w:rsidP="00BD2403">
      <w:pPr>
        <w:pStyle w:val="Titre4"/>
        <w:ind w:left="540"/>
        <w:jc w:val="both"/>
        <w:rPr>
          <w:bCs w:val="0"/>
          <w:lang w:val="nl-NL" w:eastAsia="fr-FR"/>
        </w:rPr>
      </w:pPr>
      <w:bookmarkStart w:id="65" w:name="_Toc423509552"/>
      <w:r w:rsidRPr="006D0278">
        <w:rPr>
          <w:bCs w:val="0"/>
          <w:lang w:val="nl-NL" w:eastAsia="fr-FR"/>
        </w:rPr>
        <w:t>2. Opmerkingen over de toepassing van artikel 2, § 5, van de wet van 2 april 1965</w:t>
      </w:r>
      <w:bookmarkEnd w:id="65"/>
    </w:p>
    <w:p w:rsidR="00A353AD" w:rsidRPr="006D0278" w:rsidRDefault="00A353AD" w:rsidP="00A353AD">
      <w:pPr>
        <w:ind w:left="1080"/>
        <w:jc w:val="both"/>
        <w:rPr>
          <w:iCs/>
          <w:u w:val="single"/>
          <w:lang w:val="nl-NL" w:eastAsia="fr-FR"/>
        </w:rPr>
      </w:pPr>
    </w:p>
    <w:p w:rsidR="00F00091" w:rsidRPr="006D0278" w:rsidRDefault="008E706C" w:rsidP="00BD2403">
      <w:pPr>
        <w:ind w:left="720"/>
        <w:jc w:val="both"/>
        <w:rPr>
          <w:lang w:val="nl-NL"/>
        </w:rPr>
      </w:pPr>
      <w:r w:rsidRPr="006D0278">
        <w:rPr>
          <w:lang w:val="nl-NL"/>
        </w:rPr>
        <w:t>Wanneer een</w:t>
      </w:r>
      <w:r w:rsidR="007F3E05">
        <w:rPr>
          <w:lang w:val="nl-NL"/>
        </w:rPr>
        <w:t xml:space="preserve"> </w:t>
      </w:r>
      <w:r w:rsidRPr="006D0278">
        <w:rPr>
          <w:u w:val="single"/>
          <w:lang w:val="nl-NL"/>
        </w:rPr>
        <w:t>opvangstructuur wordt aangeduid als verplichte</w:t>
      </w:r>
      <w:r w:rsidR="007F3E05">
        <w:rPr>
          <w:u w:val="single"/>
          <w:lang w:val="nl-NL"/>
        </w:rPr>
        <w:t xml:space="preserve"> </w:t>
      </w:r>
      <w:r w:rsidRPr="006D0278">
        <w:rPr>
          <w:lang w:val="nl-NL"/>
        </w:rPr>
        <w:t xml:space="preserve">inschrijvingsplaats (code 207) kan de asielzoeker enkel steun krijgen in deze opvangstructuur. Het OCMW is dus niet bevoegd om steun toe te kennen (artikel 57ter van de organieke wet van 08/07/1976 betreffende de OCMW's). </w:t>
      </w:r>
    </w:p>
    <w:p w:rsidR="00F00091" w:rsidRPr="006D0278" w:rsidRDefault="00F00091" w:rsidP="00F00091">
      <w:pPr>
        <w:jc w:val="both"/>
        <w:rPr>
          <w:bCs/>
          <w:spacing w:val="-1"/>
          <w:lang w:val="nl-NL"/>
        </w:rPr>
      </w:pPr>
    </w:p>
    <w:p w:rsidR="00F00091" w:rsidRPr="006D0278" w:rsidRDefault="008E706C" w:rsidP="00F00091">
      <w:pPr>
        <w:ind w:left="720"/>
        <w:jc w:val="both"/>
        <w:rPr>
          <w:spacing w:val="-1"/>
          <w:lang w:val="nl-NL"/>
        </w:rPr>
      </w:pPr>
      <w:r w:rsidRPr="006D0278">
        <w:rPr>
          <w:bCs/>
          <w:spacing w:val="-1"/>
          <w:lang w:val="nl-NL"/>
        </w:rPr>
        <w:t>Wanneer een</w:t>
      </w:r>
      <w:r w:rsidR="007F3E05">
        <w:rPr>
          <w:bCs/>
          <w:spacing w:val="-1"/>
          <w:lang w:val="nl-NL"/>
        </w:rPr>
        <w:t xml:space="preserve"> </w:t>
      </w:r>
      <w:r w:rsidRPr="006D0278">
        <w:rPr>
          <w:bCs/>
          <w:spacing w:val="-1"/>
          <w:u w:val="single"/>
          <w:lang w:val="nl-NL"/>
        </w:rPr>
        <w:t xml:space="preserve">OCMW werd aangeduid als </w:t>
      </w:r>
      <w:r w:rsidR="007F3E05" w:rsidRPr="006D0278">
        <w:rPr>
          <w:bCs/>
          <w:spacing w:val="-1"/>
          <w:u w:val="single"/>
          <w:lang w:val="nl-NL"/>
        </w:rPr>
        <w:t>verplichte</w:t>
      </w:r>
      <w:r w:rsidRPr="006D0278">
        <w:rPr>
          <w:bCs/>
          <w:spacing w:val="-1"/>
          <w:u w:val="single"/>
          <w:lang w:val="nl-NL"/>
        </w:rPr>
        <w:t xml:space="preserve"> inschrijvingsplaats</w:t>
      </w:r>
      <w:r w:rsidRPr="006D0278">
        <w:rPr>
          <w:bCs/>
          <w:spacing w:val="-1"/>
          <w:lang w:val="nl-NL"/>
        </w:rPr>
        <w:t xml:space="preserve"> (code 207) is dit OCMW, dat code 207 kreeg aangeduide, bevoegd om de steun toe te kennen.</w:t>
      </w:r>
    </w:p>
    <w:p w:rsidR="00F00091" w:rsidRPr="006D0278" w:rsidRDefault="00F00091" w:rsidP="00F00091">
      <w:pPr>
        <w:jc w:val="both"/>
        <w:rPr>
          <w:lang w:val="nl-NL"/>
        </w:rPr>
      </w:pPr>
    </w:p>
    <w:p w:rsidR="00F00091" w:rsidRPr="006D0278" w:rsidRDefault="008E706C" w:rsidP="00F00091">
      <w:pPr>
        <w:ind w:left="720"/>
        <w:jc w:val="both"/>
        <w:rPr>
          <w:lang w:val="nl-NL"/>
        </w:rPr>
      </w:pPr>
      <w:r w:rsidRPr="006D0278">
        <w:rPr>
          <w:lang w:val="nl-NL"/>
        </w:rPr>
        <w:t>Indien er geen</w:t>
      </w:r>
      <w:r w:rsidRPr="006D0278">
        <w:rPr>
          <w:u w:val="single"/>
          <w:lang w:val="nl-NL"/>
        </w:rPr>
        <w:t xml:space="preserve"> aanduiding is van de</w:t>
      </w:r>
      <w:r w:rsidRPr="006D0278">
        <w:rPr>
          <w:bCs/>
          <w:spacing w:val="-1"/>
          <w:u w:val="single"/>
          <w:lang w:val="nl-NL"/>
        </w:rPr>
        <w:t xml:space="preserve"> verplichte inschrijvingsplaats</w:t>
      </w:r>
      <w:r w:rsidRPr="006D0278">
        <w:rPr>
          <w:bCs/>
          <w:spacing w:val="-1"/>
          <w:lang w:val="nl-NL"/>
        </w:rPr>
        <w:t xml:space="preserve"> (code 207) is het OCMW van de gemeente waar de asielzoeker is ingeschreven in het wachtregister bevoegd om de steun toe te kennen (artikel 2, §5, van de wet van 2 april 1965).</w:t>
      </w:r>
    </w:p>
    <w:p w:rsidR="00F00091" w:rsidRPr="006D0278" w:rsidRDefault="00F00091" w:rsidP="00F00091">
      <w:pPr>
        <w:ind w:left="708"/>
        <w:jc w:val="both"/>
        <w:rPr>
          <w:lang w:val="nl-NL"/>
        </w:rPr>
      </w:pPr>
    </w:p>
    <w:p w:rsidR="002911AC" w:rsidRPr="006D0278" w:rsidRDefault="002911AC" w:rsidP="00BD2403">
      <w:pPr>
        <w:pStyle w:val="Titre5"/>
        <w:ind w:left="720" w:firstLine="720"/>
        <w:rPr>
          <w:rFonts w:ascii="Times New Roman" w:hAnsi="Times New Roman"/>
          <w:iCs w:val="0"/>
          <w:u w:val="single"/>
          <w:lang w:eastAsia="fr-FR"/>
        </w:rPr>
      </w:pPr>
    </w:p>
    <w:p w:rsidR="00A353AD" w:rsidRPr="006D0278" w:rsidRDefault="008E706C" w:rsidP="00BD2403">
      <w:pPr>
        <w:pStyle w:val="Titre5"/>
        <w:ind w:left="720" w:firstLine="720"/>
        <w:rPr>
          <w:rFonts w:ascii="Times New Roman" w:hAnsi="Times New Roman"/>
          <w:iCs w:val="0"/>
          <w:u w:val="single"/>
          <w:lang w:eastAsia="fr-FR"/>
        </w:rPr>
      </w:pPr>
      <w:bookmarkStart w:id="66" w:name="_Toc423509553"/>
      <w:r w:rsidRPr="006D0278">
        <w:rPr>
          <w:rFonts w:ascii="Times New Roman" w:hAnsi="Times New Roman"/>
          <w:iCs w:val="0"/>
          <w:u w:val="single"/>
          <w:lang w:eastAsia="fr-FR"/>
        </w:rPr>
        <w:t>2.1. De inschrijving in het wachtregister</w:t>
      </w:r>
      <w:bookmarkEnd w:id="66"/>
    </w:p>
    <w:p w:rsidR="00EF2DFE" w:rsidRPr="006D0278" w:rsidRDefault="00EF2DFE" w:rsidP="00F87B86">
      <w:pPr>
        <w:ind w:left="180"/>
        <w:jc w:val="both"/>
        <w:rPr>
          <w:lang w:val="nl-NL"/>
        </w:rPr>
      </w:pPr>
    </w:p>
    <w:p w:rsidR="00A353AD" w:rsidRPr="006D0278" w:rsidRDefault="008E706C" w:rsidP="00A353AD">
      <w:pPr>
        <w:ind w:left="708"/>
        <w:jc w:val="both"/>
        <w:rPr>
          <w:lang w:val="nl-NL" w:eastAsia="fr-FR"/>
        </w:rPr>
      </w:pPr>
      <w:r w:rsidRPr="006D0278">
        <w:rPr>
          <w:lang w:val="nl-NL" w:eastAsia="fr-FR"/>
        </w:rPr>
        <w:t xml:space="preserve">Wanneer geen enkel OCMW of opvangstructuur voor asielzoekers werd aangeduid als verplichte inschrijvingsplaats (in code 257) voor de asielzoeker, is </w:t>
      </w:r>
      <w:r w:rsidRPr="006D0278">
        <w:rPr>
          <w:bCs/>
          <w:u w:val="single"/>
          <w:lang w:val="nl-NL"/>
        </w:rPr>
        <w:t>het OCMW van de gemeente waar de betrokkene is ingeschreven in het wachtregister</w:t>
      </w:r>
      <w:r w:rsidRPr="006D0278">
        <w:rPr>
          <w:lang w:val="nl-NL" w:eastAsia="fr-FR"/>
        </w:rPr>
        <w:t xml:space="preserve"> bevoegd om de steun toe te kennen (financiële maatschappelijke hulp, eerste huur, enz.).</w:t>
      </w:r>
    </w:p>
    <w:p w:rsidR="00EF2DFE" w:rsidRPr="006D0278" w:rsidRDefault="00EF2DFE" w:rsidP="00F87B86">
      <w:pPr>
        <w:ind w:left="180"/>
        <w:jc w:val="both"/>
        <w:rPr>
          <w:lang w:val="nl-NL"/>
        </w:rPr>
      </w:pPr>
    </w:p>
    <w:p w:rsidR="00A353AD" w:rsidRPr="006D0278" w:rsidRDefault="008E706C" w:rsidP="00A353AD">
      <w:pPr>
        <w:ind w:left="708"/>
        <w:jc w:val="both"/>
        <w:rPr>
          <w:lang w:val="nl-NL" w:eastAsia="fr-FR"/>
        </w:rPr>
      </w:pPr>
      <w:r w:rsidRPr="006D0278">
        <w:rPr>
          <w:lang w:val="nl-NL" w:eastAsia="fr-FR"/>
        </w:rPr>
        <w:t>Wat de inschrijving in het wachtregister betreft, wordt de asielzoeker ingeschreven in het wachtregister van de gemeente waar hij zijn hoofdverblijfplaats heeft (code 001 en 020). Wanneer de asielzoeker niet in staat is om een willekeurige verblijfplaats op te geven op het ogenblik dat hij zijn asielaanvraag indient, wordt hij tijdelijk ingeschreven op het adres van de Dienst Vreemdelingenzaken of van het Comissariaat-Generaal voor de Vluchtelingen en de Staatlozen</w:t>
      </w:r>
      <w:r w:rsidR="00A353AD" w:rsidRPr="00D76619">
        <w:rPr>
          <w:rStyle w:val="Appelnotedebasdep"/>
          <w:bCs/>
          <w:lang w:val="fr-BE"/>
        </w:rPr>
        <w:footnoteReference w:id="6"/>
      </w:r>
      <w:r w:rsidRPr="006D0278">
        <w:rPr>
          <w:bCs/>
          <w:lang w:val="nl-NL"/>
        </w:rPr>
        <w:t>.</w:t>
      </w:r>
    </w:p>
    <w:p w:rsidR="00A353AD" w:rsidRPr="006D0278" w:rsidRDefault="00A353AD" w:rsidP="00A353AD">
      <w:pPr>
        <w:jc w:val="both"/>
        <w:rPr>
          <w:lang w:val="nl-NL"/>
        </w:rPr>
      </w:pPr>
    </w:p>
    <w:p w:rsidR="00A353AD" w:rsidRPr="006D0278" w:rsidRDefault="008E706C" w:rsidP="00A353AD">
      <w:pPr>
        <w:ind w:left="708"/>
        <w:jc w:val="both"/>
        <w:rPr>
          <w:lang w:val="nl-NL"/>
        </w:rPr>
      </w:pPr>
      <w:r w:rsidRPr="006D0278">
        <w:rPr>
          <w:lang w:val="nl-NL"/>
        </w:rPr>
        <w:t xml:space="preserve">Zoals werd opgemerkt </w:t>
      </w:r>
      <w:r w:rsidR="007F3E05" w:rsidRPr="006D0278">
        <w:rPr>
          <w:lang w:val="nl-NL"/>
        </w:rPr>
        <w:t>tijdens</w:t>
      </w:r>
      <w:r w:rsidRPr="006D0278">
        <w:rPr>
          <w:lang w:val="nl-NL"/>
        </w:rPr>
        <w:t xml:space="preserve"> de voorbereidende werkzaamheden van artikel 164 van de wet houdende diverse bepalingen van 29 december 2010, had, wanneer een asielzoeker niet was ingeschreven in het wachtregister op het adres van de Dienst Vreemdelingenzaken of van het Commissariaat-Generaal voor de Vluchtelingen en de Staatlozen, dit tot gevolg dat de territoriale bevoegdheid van het OCMW van Brussel met het oog op de toekenning van de steun en dit, voor zover er geen aanduiding was van een verplichte inschrijvingsplaats of dat deze aanwijzing geschrapt was bij toepassing van de wet van 12 januari 2007 betreffende de opvang van asielzoekers en van bepaalde andere soorten vreemdelingen. Overwegende dat de inschrijving, in dit geval, overeenkomt met een fictief adres wil de wijziging van artikel 2, §5, van de wet van 2 april 1965 dit ongemak verhelpen. Er zal geen rekening meer gehouden worden met deze administratieve inschrijving op het adres van de Dienst Vreemdelingenzaken of van het Comissariaat-generaal voor de Vluchtelingen en Staatlozen om de territoriale bevoegdheid van het OCMW te bepalen. </w:t>
      </w:r>
    </w:p>
    <w:p w:rsidR="00A353AD" w:rsidRPr="006D0278" w:rsidRDefault="00A353AD" w:rsidP="00A353AD">
      <w:pPr>
        <w:ind w:left="708"/>
        <w:jc w:val="both"/>
        <w:rPr>
          <w:lang w:val="nl-NL"/>
        </w:rPr>
      </w:pPr>
    </w:p>
    <w:p w:rsidR="00A353AD" w:rsidRPr="006D0278" w:rsidRDefault="008E706C" w:rsidP="00A353AD">
      <w:pPr>
        <w:ind w:left="708"/>
        <w:jc w:val="both"/>
        <w:rPr>
          <w:i/>
          <w:lang w:val="nl-NL" w:eastAsia="fr-FR"/>
        </w:rPr>
      </w:pPr>
      <w:r w:rsidRPr="006D0278">
        <w:rPr>
          <w:lang w:val="nl-NL"/>
        </w:rPr>
        <w:t xml:space="preserve">Naar aanleiding van de wijziging door artikel 164 van de wet houdende diverse bepalingen van 29 december 2010, verduidelijkt artikel 2, § 5, van de wet van 2 april 1965 voortaan dat </w:t>
      </w:r>
      <w:r w:rsidRPr="006D0278">
        <w:rPr>
          <w:bCs/>
          <w:i/>
          <w:lang w:val="nl-NL"/>
        </w:rPr>
        <w:t xml:space="preserve">"het openbaar centrum voor maatschappelijk welzijn van de gemeente waar hij is ingeschreven in het </w:t>
      </w:r>
      <w:r w:rsidR="007F3E05" w:rsidRPr="006D0278">
        <w:rPr>
          <w:bCs/>
          <w:i/>
          <w:lang w:val="nl-NL"/>
        </w:rPr>
        <w:t>wachtregister,</w:t>
      </w:r>
      <w:r w:rsidRPr="006D0278">
        <w:rPr>
          <w:b/>
          <w:bCs/>
          <w:i/>
          <w:lang w:val="nl-NL"/>
        </w:rPr>
        <w:t xml:space="preserve"> voor zover deze inschrijving niet het adres van de Dienst Vreemdelingenzaken of het Commissariaat-generaal voor de Vluchtelingen en Staatlozen</w:t>
      </w:r>
      <w:r w:rsidR="007F3E05">
        <w:rPr>
          <w:b/>
          <w:bCs/>
          <w:i/>
          <w:lang w:val="nl-NL"/>
        </w:rPr>
        <w:t xml:space="preserve"> </w:t>
      </w:r>
      <w:r w:rsidRPr="006D0278">
        <w:rPr>
          <w:bCs/>
          <w:i/>
          <w:lang w:val="nl-NL"/>
        </w:rPr>
        <w:t>is", bevoegd is.</w:t>
      </w:r>
    </w:p>
    <w:p w:rsidR="00A353AD" w:rsidRPr="006D0278" w:rsidRDefault="00A353AD" w:rsidP="00A353AD">
      <w:pPr>
        <w:jc w:val="both"/>
        <w:rPr>
          <w:lang w:val="nl-NL"/>
        </w:rPr>
      </w:pPr>
    </w:p>
    <w:p w:rsidR="00A353AD" w:rsidRPr="006D0278" w:rsidRDefault="008E706C" w:rsidP="00A353AD">
      <w:pPr>
        <w:ind w:left="708"/>
        <w:jc w:val="both"/>
        <w:rPr>
          <w:lang w:val="nl-NL"/>
        </w:rPr>
      </w:pPr>
      <w:r w:rsidRPr="006D0278">
        <w:rPr>
          <w:lang w:val="nl-NL"/>
        </w:rPr>
        <w:t>Zo zal,</w:t>
      </w:r>
      <w:r w:rsidRPr="006D0278">
        <w:rPr>
          <w:u w:val="single"/>
          <w:lang w:val="nl-NL"/>
        </w:rPr>
        <w:t xml:space="preserve"> wanneer de asielzoeker is ingeschreven in het wachtregister op het adres van de Dienst Vreemdelingenzaken of van het Comissariaat-generaal voor de Vluchtelingen en de Staatlozen, deze administratieve inschrijving niet meer in aanmerking worden </w:t>
      </w:r>
      <w:r w:rsidR="007F3E05" w:rsidRPr="006D0278">
        <w:rPr>
          <w:u w:val="single"/>
          <w:lang w:val="nl-NL"/>
        </w:rPr>
        <w:t>genomen</w:t>
      </w:r>
      <w:r w:rsidRPr="006D0278">
        <w:rPr>
          <w:u w:val="single"/>
          <w:lang w:val="nl-NL"/>
        </w:rPr>
        <w:t xml:space="preserve"> voor het bepalen van het bevoegde OCMW</w:t>
      </w:r>
      <w:r w:rsidRPr="006D0278">
        <w:rPr>
          <w:lang w:val="nl-NL"/>
        </w:rPr>
        <w:t xml:space="preserve">. </w:t>
      </w:r>
    </w:p>
    <w:p w:rsidR="00A353AD" w:rsidRPr="006D0278" w:rsidRDefault="00A353AD" w:rsidP="00A353AD">
      <w:pPr>
        <w:pStyle w:val="Letter"/>
        <w:jc w:val="both"/>
        <w:rPr>
          <w:rFonts w:ascii="Times New Roman" w:hAnsi="Times New Roman"/>
          <w:sz w:val="24"/>
          <w:szCs w:val="24"/>
          <w:lang w:val="nl-NL"/>
        </w:rPr>
      </w:pPr>
    </w:p>
    <w:p w:rsidR="00A353AD" w:rsidRPr="006D0278" w:rsidRDefault="008E706C" w:rsidP="00A353AD">
      <w:pPr>
        <w:pStyle w:val="Letter"/>
        <w:ind w:left="708"/>
        <w:jc w:val="both"/>
        <w:rPr>
          <w:rFonts w:ascii="Times New Roman" w:hAnsi="Times New Roman"/>
          <w:sz w:val="24"/>
          <w:szCs w:val="24"/>
          <w:lang w:val="nl-NL"/>
        </w:rPr>
      </w:pPr>
      <w:r w:rsidRPr="006D0278">
        <w:rPr>
          <w:rFonts w:ascii="Times New Roman" w:hAnsi="Times New Roman"/>
          <w:sz w:val="24"/>
          <w:szCs w:val="24"/>
          <w:lang w:val="nl-NL"/>
        </w:rPr>
        <w:t>In dit geval is, aangezien deze inschrijving in het wachtregister niet in aanmerking kan worden genomen, de algemene bevoegdheidsregel van artikel 1, 1°, van voornoemde wet van toepassing om het bevoegde OCMW te bepalen, behalve wanneer een andere specifieke bevoegdheidsregel, voorzien bij de wet van 2 april 1965, van toepassing is. Bijvoorbeeld, wanneer de asielzoeker beschouwd wordt als dakloze, is het OCMW van de gemeente waar de betrokkene zijn feitelijke verblijfplaats heeft, bevoegd om tussen te komen, krachtens artikel 2, § 7, van de wet van 2 april 1965.</w:t>
      </w:r>
    </w:p>
    <w:p w:rsidR="00A353AD" w:rsidRPr="006D0278" w:rsidRDefault="00A353AD" w:rsidP="00A353AD">
      <w:pPr>
        <w:jc w:val="both"/>
        <w:rPr>
          <w:lang w:val="nl-NL"/>
        </w:rPr>
      </w:pPr>
    </w:p>
    <w:p w:rsidR="00A353AD" w:rsidRPr="006D0278" w:rsidRDefault="008E706C" w:rsidP="00A353AD">
      <w:pPr>
        <w:ind w:left="708"/>
        <w:jc w:val="both"/>
        <w:rPr>
          <w:lang w:val="nl-NL"/>
        </w:rPr>
      </w:pPr>
      <w:r w:rsidRPr="006D0278">
        <w:rPr>
          <w:lang w:val="nl-NL"/>
        </w:rPr>
        <w:t>Wanneer de asielzoeker is ingeschreven in het wachtregister op het adres van de Dienst Vreemdelingenzaken en verblijft in een instelling bedoeld in artikel 2, § 1, van de wet van 02/04/65, kan zijn administratieve inschrijving op het adres van de Dienst Vreemdelingenzaken niet in aanmerking worden genomen om de territoriale bevoegdheid van het OCMW te bepalen. In dit geval is de algemene bevoegdheidsregel van artikel 1, 1°, van voornoemde wet van toepassing om het bevoegde OCMW te bepalen.</w:t>
      </w:r>
    </w:p>
    <w:p w:rsidR="00A353AD" w:rsidRPr="006D0278" w:rsidRDefault="00A353AD" w:rsidP="00A353AD">
      <w:pPr>
        <w:ind w:left="708"/>
        <w:jc w:val="both"/>
        <w:rPr>
          <w:lang w:val="nl-NL"/>
        </w:rPr>
      </w:pPr>
    </w:p>
    <w:p w:rsidR="00E26811" w:rsidRDefault="00E26811">
      <w:pPr>
        <w:rPr>
          <w:b/>
          <w:bCs/>
          <w:i/>
          <w:iCs/>
          <w:u w:val="single"/>
          <w:lang w:val="nl-NL"/>
        </w:rPr>
      </w:pPr>
      <w:r>
        <w:rPr>
          <w:i/>
          <w:iCs/>
          <w:u w:val="single"/>
          <w:lang w:val="nl-NL"/>
        </w:rPr>
        <w:br w:type="page"/>
      </w:r>
    </w:p>
    <w:p w:rsidR="00A353AD" w:rsidRPr="006D0278" w:rsidRDefault="008E706C" w:rsidP="00BD2403">
      <w:pPr>
        <w:pStyle w:val="Titre5"/>
        <w:ind w:left="720" w:firstLine="720"/>
        <w:rPr>
          <w:rFonts w:ascii="Times New Roman" w:hAnsi="Times New Roman"/>
          <w:iCs w:val="0"/>
          <w:u w:val="single"/>
        </w:rPr>
      </w:pPr>
      <w:bookmarkStart w:id="67" w:name="_Toc423509554"/>
      <w:r w:rsidRPr="006D0278">
        <w:rPr>
          <w:rFonts w:ascii="Times New Roman" w:hAnsi="Times New Roman"/>
          <w:iCs w:val="0"/>
          <w:u w:val="single"/>
        </w:rPr>
        <w:lastRenderedPageBreak/>
        <w:t>2.2. Toepassingsgebied van artikel 2, §5</w:t>
      </w:r>
      <w:bookmarkEnd w:id="67"/>
      <w:r w:rsidRPr="006D0278">
        <w:rPr>
          <w:rFonts w:ascii="Times New Roman" w:hAnsi="Times New Roman"/>
          <w:iCs w:val="0"/>
          <w:u w:val="single"/>
        </w:rPr>
        <w:t xml:space="preserve">  </w:t>
      </w:r>
    </w:p>
    <w:p w:rsidR="00A353AD" w:rsidRPr="006D0278" w:rsidRDefault="00A353AD" w:rsidP="00A353AD">
      <w:pPr>
        <w:jc w:val="both"/>
        <w:rPr>
          <w:b/>
          <w:lang w:val="nl-NL"/>
        </w:rPr>
      </w:pPr>
    </w:p>
    <w:p w:rsidR="00A353AD" w:rsidRPr="006D0278" w:rsidRDefault="008E706C" w:rsidP="00DD6A22">
      <w:pPr>
        <w:ind w:left="708"/>
        <w:jc w:val="both"/>
        <w:rPr>
          <w:lang w:val="nl-NL"/>
        </w:rPr>
      </w:pPr>
      <w:r w:rsidRPr="006D0278">
        <w:rPr>
          <w:lang w:val="nl-NL"/>
        </w:rPr>
        <w:t xml:space="preserve">De specifieke bevoegdheidsregel van artikel 2, § 5, van voornoemde wet is </w:t>
      </w:r>
      <w:r w:rsidR="007F3E05">
        <w:rPr>
          <w:lang w:val="nl-NL"/>
        </w:rPr>
        <w:t>enkel</w:t>
      </w:r>
      <w:r w:rsidRPr="006D0278">
        <w:rPr>
          <w:lang w:val="nl-NL"/>
        </w:rPr>
        <w:t xml:space="preserve"> van toepassing op kandidaat-vluchtelingen. Deze bepaling is nie</w:t>
      </w:r>
      <w:r w:rsidR="007F3E05">
        <w:rPr>
          <w:lang w:val="nl-NL"/>
        </w:rPr>
        <w:t>t</w:t>
      </w:r>
      <w:r w:rsidRPr="006D0278">
        <w:rPr>
          <w:lang w:val="nl-NL"/>
        </w:rPr>
        <w:t xml:space="preserve"> van toepassing op de personen die een erkenning hebben ontvangen van het statuut van vluchteling, een subsidiaire bescherming, een regularisatie van het verblijf of een ontvankelijkheid van hun regularisatie van het verblijf op basis van artikel 9ter van de wet van 15/12/1980 en op de personen waarvan de asielprocedure negatief werd beëindigd en die illegaal op het grondgebied verblijven.</w:t>
      </w:r>
    </w:p>
    <w:p w:rsidR="00DD6A22" w:rsidRPr="006D0278" w:rsidRDefault="00DD6A22" w:rsidP="00DD6A22">
      <w:pPr>
        <w:ind w:left="708"/>
        <w:jc w:val="both"/>
        <w:rPr>
          <w:lang w:val="nl-NL"/>
        </w:rPr>
      </w:pPr>
    </w:p>
    <w:p w:rsidR="00DD6A22" w:rsidRPr="006D0278" w:rsidRDefault="008E706C" w:rsidP="00A353AD">
      <w:pPr>
        <w:ind w:left="708"/>
        <w:jc w:val="both"/>
        <w:rPr>
          <w:lang w:val="nl-NL" w:eastAsia="fr-BE"/>
        </w:rPr>
      </w:pPr>
      <w:r w:rsidRPr="006D0278">
        <w:rPr>
          <w:lang w:val="nl-NL"/>
        </w:rPr>
        <w:t>Wanneer de persoon erkend is als vluchteling door een beslissing van de Commissaris-generaal voor de vluchtelingen en de staatlozen, heeft hij niet meer het statuut van kandidaat-vluchteling vanaf de datum van de beslissing tot erkenning van het statuut van vluchteling</w:t>
      </w:r>
      <w:r w:rsidR="00F00091">
        <w:rPr>
          <w:rStyle w:val="Appelnotedebasdep"/>
          <w:lang w:val="fr-BE"/>
        </w:rPr>
        <w:footnoteReference w:id="7"/>
      </w:r>
      <w:r w:rsidRPr="006D0278">
        <w:rPr>
          <w:lang w:val="nl-NL"/>
        </w:rPr>
        <w:t>, en is artikel 2, § 5, van de wet van 2 april 1965 niet meer van toepassing. Wanneer de betrokkene geregulariseerd is voor het einde van de asielprocedure is er eveneens een substantiële wijziging. De geregulariseerde vreemdeling is legaal vanaf de beslissing van de Minister.</w:t>
      </w:r>
    </w:p>
    <w:p w:rsidR="00DD6A22" w:rsidRPr="006D0278" w:rsidRDefault="008E706C" w:rsidP="00DD6A22">
      <w:pPr>
        <w:autoSpaceDE w:val="0"/>
        <w:autoSpaceDN w:val="0"/>
        <w:adjustRightInd w:val="0"/>
        <w:ind w:left="708"/>
        <w:jc w:val="both"/>
        <w:rPr>
          <w:lang w:val="nl-NL" w:eastAsia="fr-BE"/>
        </w:rPr>
      </w:pPr>
      <w:r w:rsidRPr="006D0278">
        <w:rPr>
          <w:lang w:val="nl-NL" w:eastAsia="fr-BE"/>
        </w:rPr>
        <w:t xml:space="preserve">Wanneer de asielprocedure is </w:t>
      </w:r>
      <w:r w:rsidR="00722E6B" w:rsidRPr="006D0278">
        <w:rPr>
          <w:lang w:val="nl-NL" w:eastAsia="fr-BE"/>
        </w:rPr>
        <w:t>afgelopen</w:t>
      </w:r>
      <w:r w:rsidR="00722E6B" w:rsidRPr="006D0278">
        <w:rPr>
          <w:b/>
          <w:lang w:val="nl-NL" w:eastAsia="fr-BE"/>
        </w:rPr>
        <w:t xml:space="preserve">, </w:t>
      </w:r>
      <w:r w:rsidRPr="006D0278">
        <w:rPr>
          <w:lang w:val="nl-NL" w:eastAsia="fr-BE"/>
        </w:rPr>
        <w:t xml:space="preserve">heeft de inschrijving in het wachtregister geen enkel belang meer. Op dat ogenblik moet de bevoegdheid worden beoordeeld overeenkomstig de algemene bevoegdheidsregel van artikel 1 </w:t>
      </w:r>
      <w:r w:rsidRPr="006D0278">
        <w:rPr>
          <w:lang w:val="nl-NL"/>
        </w:rPr>
        <w:t>, 1° van de wet van 2 april 1965. Die bepaalt dat het OCMW van de gemeente van de gewoonlijke verblijfplaats van de steunaanvrager bevoegd is om tussen te komen.</w:t>
      </w:r>
    </w:p>
    <w:p w:rsidR="00CC6ECC" w:rsidRDefault="00CC6ECC" w:rsidP="00FD1AF6">
      <w:pPr>
        <w:pStyle w:val="Titre4"/>
        <w:ind w:left="720"/>
        <w:rPr>
          <w:bCs w:val="0"/>
          <w:i/>
          <w:iCs/>
          <w:u w:val="single"/>
          <w:lang w:val="nl-NL"/>
        </w:rPr>
      </w:pPr>
    </w:p>
    <w:p w:rsidR="00452184" w:rsidRDefault="00452184" w:rsidP="00452184">
      <w:pPr>
        <w:rPr>
          <w:lang w:val="nl-NL"/>
        </w:rPr>
      </w:pPr>
    </w:p>
    <w:p w:rsidR="00F00091" w:rsidRPr="006D0278" w:rsidRDefault="008E706C" w:rsidP="00BD2403">
      <w:pPr>
        <w:pStyle w:val="Titre5"/>
        <w:ind w:left="720" w:firstLine="720"/>
        <w:rPr>
          <w:rFonts w:ascii="Times New Roman" w:hAnsi="Times New Roman"/>
          <w:bCs w:val="0"/>
          <w:iCs w:val="0"/>
          <w:u w:val="single"/>
        </w:rPr>
      </w:pPr>
      <w:bookmarkStart w:id="68" w:name="_Toc423509555"/>
      <w:r w:rsidRPr="006D0278">
        <w:rPr>
          <w:rFonts w:ascii="Times New Roman" w:hAnsi="Times New Roman"/>
          <w:bCs w:val="0"/>
          <w:iCs w:val="0"/>
          <w:u w:val="single"/>
        </w:rPr>
        <w:t>2.3. Personen die illegaal op het grondgebied verblijven</w:t>
      </w:r>
      <w:bookmarkEnd w:id="68"/>
    </w:p>
    <w:p w:rsidR="00F00091" w:rsidRPr="006D0278" w:rsidRDefault="00F00091" w:rsidP="00F0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nl-NL"/>
        </w:rPr>
      </w:pPr>
    </w:p>
    <w:p w:rsidR="00F00091" w:rsidRPr="006D0278" w:rsidRDefault="008E706C" w:rsidP="00F00091">
      <w:pPr>
        <w:pStyle w:val="Retraitcorpsdetexte"/>
        <w:ind w:left="720"/>
        <w:rPr>
          <w:bCs/>
          <w:lang w:val="nl-NL"/>
        </w:rPr>
      </w:pPr>
      <w:r w:rsidRPr="006D0278">
        <w:rPr>
          <w:lang w:val="nl-NL"/>
        </w:rPr>
        <w:t>Voor de personen die illegaal op het grondgebied verblijven, is de algemene bevoegdheidsregel van artikel 1</w:t>
      </w:r>
      <w:r w:rsidRPr="006D0278">
        <w:rPr>
          <w:bCs/>
          <w:lang w:val="nl-NL"/>
        </w:rPr>
        <w:t>, 1° van de wet van 2 april 1965 van toepassing. Die bepaalt dat het OCMW van de gemeente op wier grondgebied zich de persoon bevindt die bijstand behoeft, zijn hoofdverblijfplaats heeft, bevoegd is om tussen te komen.</w:t>
      </w:r>
    </w:p>
    <w:p w:rsidR="00F00091" w:rsidRPr="006D0278" w:rsidRDefault="00F00091" w:rsidP="00F00091">
      <w:pPr>
        <w:autoSpaceDE w:val="0"/>
        <w:autoSpaceDN w:val="0"/>
        <w:adjustRightInd w:val="0"/>
        <w:jc w:val="both"/>
        <w:rPr>
          <w:bCs/>
          <w:lang w:val="nl-NL"/>
        </w:rPr>
      </w:pPr>
    </w:p>
    <w:p w:rsidR="008D6529" w:rsidRPr="006D0278" w:rsidRDefault="008E706C" w:rsidP="00F00091">
      <w:pPr>
        <w:autoSpaceDE w:val="0"/>
        <w:autoSpaceDN w:val="0"/>
        <w:adjustRightInd w:val="0"/>
        <w:ind w:left="720"/>
        <w:jc w:val="both"/>
        <w:rPr>
          <w:lang w:val="nl-NL" w:eastAsia="nl-NL"/>
        </w:rPr>
      </w:pPr>
      <w:r w:rsidRPr="006D0278">
        <w:rPr>
          <w:lang w:val="nl-NL" w:eastAsia="nl-NL"/>
        </w:rPr>
        <w:t>Voor de uitzonderlijke gevallen waarin het effectief niet zou mogelijk blijken om de gewoonlijke verblijfplaats te bepalen van een illegaal persoon die dringende medische hulp heeft ontvangen in een verplegingsinstelling, kan de zorgverstrekker de aanvraag tot tenlasteneming van de steun ten gunste van de persoon indienen bij het OCMW waar de medische zorg werd verstrekt (</w:t>
      </w:r>
      <w:r w:rsidRPr="006D0278">
        <w:rPr>
          <w:i/>
          <w:lang w:val="nl-NL"/>
        </w:rPr>
        <w:t xml:space="preserve"> Omzendbrief van 09/07/2002 betreffende de dringende medische hulp verstrekt aan vreemdelingen die onwettig in het Rijk verblijven - bevoegdheidsregeling </w:t>
      </w:r>
      <w:r w:rsidRPr="006D0278">
        <w:rPr>
          <w:lang w:val="nl-NL" w:eastAsia="nl-NL"/>
        </w:rPr>
        <w:t>).</w:t>
      </w:r>
    </w:p>
    <w:p w:rsidR="008D6529" w:rsidRPr="006D0278" w:rsidRDefault="008D6529" w:rsidP="00F00091">
      <w:pPr>
        <w:autoSpaceDE w:val="0"/>
        <w:autoSpaceDN w:val="0"/>
        <w:adjustRightInd w:val="0"/>
        <w:ind w:left="720"/>
        <w:jc w:val="both"/>
        <w:rPr>
          <w:lang w:val="nl-NL" w:eastAsia="nl-NL"/>
        </w:rPr>
      </w:pPr>
    </w:p>
    <w:p w:rsidR="00CC6ECC" w:rsidRPr="006D0278" w:rsidRDefault="00CC6ECC" w:rsidP="008D6529">
      <w:pPr>
        <w:ind w:left="708"/>
        <w:jc w:val="both"/>
        <w:rPr>
          <w:lang w:val="nl-NL"/>
        </w:rPr>
      </w:pPr>
    </w:p>
    <w:p w:rsidR="00CC6ECC" w:rsidRPr="006D0278" w:rsidRDefault="00BF4C67" w:rsidP="008D6529">
      <w:pPr>
        <w:ind w:left="708"/>
        <w:jc w:val="both"/>
        <w:rPr>
          <w:lang w:val="nl-NL"/>
        </w:rPr>
      </w:pPr>
      <w:r>
        <w:rPr>
          <w:lang w:val="nl-NL"/>
        </w:rPr>
        <w:br w:type="page"/>
      </w:r>
    </w:p>
    <w:p w:rsidR="00B42A88" w:rsidRPr="006D0278" w:rsidRDefault="008E706C" w:rsidP="00BD2403">
      <w:pPr>
        <w:pStyle w:val="Titre3"/>
        <w:ind w:firstLine="0"/>
        <w:jc w:val="both"/>
        <w:rPr>
          <w:b/>
          <w:bCs/>
          <w:sz w:val="24"/>
          <w:u w:val="single"/>
          <w:lang w:val="nl-NL"/>
        </w:rPr>
      </w:pPr>
      <w:bookmarkStart w:id="69" w:name="_Toc423509556"/>
      <w:r w:rsidRPr="006D0278">
        <w:rPr>
          <w:b/>
          <w:bCs/>
          <w:sz w:val="24"/>
          <w:u w:val="single"/>
          <w:lang w:val="nl-NL"/>
        </w:rPr>
        <w:lastRenderedPageBreak/>
        <w:t>3. De bevoegdheidsregel van artikel 2, § 8, van de wet van 2 april 1965 voor de toekenning van een huurwaarborg aan de personen die een opvangstructuur verlaten.</w:t>
      </w:r>
      <w:bookmarkEnd w:id="69"/>
    </w:p>
    <w:p w:rsidR="00B42A88" w:rsidRPr="006D0278" w:rsidRDefault="00B42A88" w:rsidP="00B42A88">
      <w:pPr>
        <w:ind w:left="900"/>
        <w:jc w:val="both"/>
        <w:rPr>
          <w:lang w:val="nl-NL"/>
        </w:rPr>
      </w:pPr>
    </w:p>
    <w:p w:rsidR="009161E4" w:rsidRPr="006D0278" w:rsidRDefault="008E706C" w:rsidP="00955BB0">
      <w:pPr>
        <w:pStyle w:val="Titre4"/>
        <w:ind w:left="720"/>
        <w:rPr>
          <w:rFonts w:cs="Arial"/>
          <w:bCs w:val="0"/>
          <w:lang w:val="nl-NL"/>
        </w:rPr>
      </w:pPr>
      <w:bookmarkStart w:id="70" w:name="_Toc423509557"/>
      <w:r w:rsidRPr="006D0278">
        <w:rPr>
          <w:rFonts w:cs="Arial"/>
          <w:bCs w:val="0"/>
          <w:lang w:val="nl-NL"/>
        </w:rPr>
        <w:t>1. Wettelijke bepaling</w:t>
      </w:r>
      <w:bookmarkEnd w:id="70"/>
    </w:p>
    <w:p w:rsidR="00955BB0" w:rsidRPr="006D0278" w:rsidRDefault="00955BB0" w:rsidP="00955BB0">
      <w:pPr>
        <w:jc w:val="both"/>
        <w:rPr>
          <w:rFonts w:cs="Arial"/>
          <w:lang w:val="nl-NL"/>
        </w:rPr>
      </w:pPr>
    </w:p>
    <w:p w:rsidR="00B267A1" w:rsidRPr="006D0278" w:rsidRDefault="008E706C" w:rsidP="00452184">
      <w:pPr>
        <w:ind w:left="720"/>
        <w:jc w:val="both"/>
        <w:rPr>
          <w:rFonts w:cs="Arial"/>
          <w:lang w:val="nl-NL"/>
        </w:rPr>
      </w:pPr>
      <w:r w:rsidRPr="006D0278">
        <w:rPr>
          <w:rFonts w:cs="Arial"/>
          <w:lang w:val="nl-NL"/>
        </w:rPr>
        <w:t>Wanneer de personen een opvangstructuur voor asielzoekers verlaten en geen code 207 meer ontvangen, is voortaan een specifieke territoriale bevoegdheidsregel van de OCMW's voorzien voor de toekenning van de huurwaarborg.</w:t>
      </w:r>
    </w:p>
    <w:p w:rsidR="00B267A1" w:rsidRPr="006D0278" w:rsidRDefault="00B267A1" w:rsidP="00B42A88">
      <w:pPr>
        <w:ind w:left="900"/>
        <w:jc w:val="both"/>
        <w:rPr>
          <w:lang w:val="nl-NL"/>
        </w:rPr>
      </w:pPr>
    </w:p>
    <w:p w:rsidR="00E26B18" w:rsidRPr="006D0278" w:rsidRDefault="008E706C" w:rsidP="00452184">
      <w:pPr>
        <w:ind w:left="720"/>
        <w:jc w:val="both"/>
        <w:rPr>
          <w:lang w:val="nl-NL"/>
        </w:rPr>
      </w:pPr>
      <w:r w:rsidRPr="006D0278">
        <w:rPr>
          <w:rFonts w:cs="Arial"/>
          <w:lang w:val="nl-NL"/>
        </w:rPr>
        <w:t xml:space="preserve">Zo werd een nieuwe paragraaf 8 ingevoegd in artikel 2 van de wet van 02/04/1965 door artikel 6 van de programmawet van 22 december 2008 (BS 29.12.2008) die in werking is getreden op 8 januari 2009. </w:t>
      </w:r>
    </w:p>
    <w:p w:rsidR="00E26B18" w:rsidRPr="006D0278" w:rsidRDefault="00E26B18" w:rsidP="00493C80">
      <w:pPr>
        <w:ind w:left="1120"/>
        <w:jc w:val="both"/>
        <w:rPr>
          <w:lang w:val="nl-NL"/>
        </w:rPr>
      </w:pPr>
    </w:p>
    <w:p w:rsidR="00452184" w:rsidRPr="006D0278" w:rsidRDefault="008E706C" w:rsidP="00E26811">
      <w:pPr>
        <w:ind w:left="720"/>
        <w:jc w:val="both"/>
        <w:rPr>
          <w:highlight w:val="yellow"/>
          <w:lang w:val="nl-NL"/>
        </w:rPr>
      </w:pPr>
      <w:r w:rsidRPr="006D0278">
        <w:rPr>
          <w:lang w:val="nl-NL"/>
        </w:rPr>
        <w:t>Het nieuwe artikel 2, §8, van de wet van 1965 april betreffende het ten laste nemen van de steun verleend door de openbare centra voor maatschappelijk welzijn bepaalt dat:</w:t>
      </w:r>
    </w:p>
    <w:p w:rsidR="00214DA1" w:rsidRPr="006D0278" w:rsidRDefault="008E706C" w:rsidP="009D6688">
      <w:pPr>
        <w:widowControl w:val="0"/>
        <w:pBdr>
          <w:top w:val="dashed" w:sz="4" w:space="1" w:color="auto"/>
          <w:left w:val="dashed" w:sz="4" w:space="4" w:color="auto"/>
          <w:bottom w:val="dashed" w:sz="4" w:space="1" w:color="auto"/>
          <w:right w:val="dashed" w:sz="4" w:space="4" w:color="auto"/>
        </w:pBdr>
        <w:shd w:val="clear" w:color="auto" w:fill="CC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lang w:val="nl-NL"/>
        </w:rPr>
      </w:pPr>
      <w:r w:rsidRPr="006D0278">
        <w:rPr>
          <w:shd w:val="clear" w:color="auto" w:fill="CCFFFF"/>
          <w:lang w:val="nl-NL"/>
        </w:rPr>
        <w:t>"</w:t>
      </w:r>
      <w:r w:rsidRPr="006D0278">
        <w:rPr>
          <w:i/>
          <w:shd w:val="clear" w:color="auto" w:fill="CCFFFF"/>
          <w:lang w:val="nl-NL"/>
        </w:rPr>
        <w:t>In afwijking van artikel 1, 1°, is het openbaar centrum voor maatschappelijk welzijn van de gemeente waar de woonst zich bevindt waarvoor de betrokkene de huurwaarborg vraagt, bevoegd om deze hulp te verlenen bij het verlaten van een opvangstructuur in de zin van artikel 2, 10°, van de wet van 12 januari 2007 betreffende de opvang van asielzoekers en van bepaalde andere categorieën van vreemdelingen.</w:t>
      </w:r>
      <w:r w:rsidRPr="006D0278">
        <w:rPr>
          <w:shd w:val="clear" w:color="auto" w:fill="CCFFFF"/>
          <w:lang w:val="nl-NL"/>
        </w:rPr>
        <w:t>."</w:t>
      </w:r>
    </w:p>
    <w:p w:rsidR="00493C80" w:rsidRDefault="00493C80" w:rsidP="00493C80">
      <w:pPr>
        <w:pStyle w:val="Letter"/>
        <w:spacing w:line="288" w:lineRule="auto"/>
        <w:jc w:val="both"/>
        <w:rPr>
          <w:rFonts w:ascii="Times New Roman" w:hAnsi="Times New Roman"/>
          <w:sz w:val="24"/>
          <w:szCs w:val="24"/>
          <w:lang w:val="nl-NL"/>
        </w:rPr>
      </w:pPr>
    </w:p>
    <w:p w:rsidR="00452184" w:rsidRPr="006D0278" w:rsidRDefault="00452184" w:rsidP="00493C80">
      <w:pPr>
        <w:pStyle w:val="Letter"/>
        <w:spacing w:line="288" w:lineRule="auto"/>
        <w:jc w:val="both"/>
        <w:rPr>
          <w:rFonts w:ascii="Times New Roman" w:hAnsi="Times New Roman"/>
          <w:sz w:val="24"/>
          <w:szCs w:val="24"/>
          <w:lang w:val="nl-NL"/>
        </w:rPr>
      </w:pPr>
    </w:p>
    <w:p w:rsidR="00B42A88" w:rsidRPr="006D0278" w:rsidRDefault="008E706C" w:rsidP="00955BB0">
      <w:pPr>
        <w:pStyle w:val="Titre4"/>
        <w:ind w:left="540" w:firstLine="360"/>
        <w:rPr>
          <w:bCs w:val="0"/>
          <w:lang w:val="nl-NL"/>
        </w:rPr>
      </w:pPr>
      <w:bookmarkStart w:id="71" w:name="_Toc184114064"/>
      <w:bookmarkStart w:id="72" w:name="_Toc423509558"/>
      <w:r w:rsidRPr="006D0278">
        <w:rPr>
          <w:bCs w:val="0"/>
          <w:lang w:val="nl-NL"/>
        </w:rPr>
        <w:t xml:space="preserve">2. </w:t>
      </w:r>
      <w:bookmarkEnd w:id="71"/>
      <w:r w:rsidRPr="006D0278">
        <w:rPr>
          <w:bCs w:val="0"/>
          <w:lang w:val="nl-NL"/>
        </w:rPr>
        <w:t>Opmerkingen over de toepassing van artikel 2, § 8, van de wet van 02/04/65</w:t>
      </w:r>
      <w:bookmarkEnd w:id="72"/>
    </w:p>
    <w:p w:rsidR="00CC6ECC" w:rsidRPr="006D0278" w:rsidRDefault="00CC6ECC" w:rsidP="00CC6ECC">
      <w:pPr>
        <w:pStyle w:val="Titre4"/>
        <w:rPr>
          <w:b w:val="0"/>
          <w:bCs w:val="0"/>
          <w:lang w:val="nl-NL"/>
        </w:rPr>
      </w:pPr>
    </w:p>
    <w:p w:rsidR="008D6529" w:rsidRPr="006D0278" w:rsidRDefault="008E706C" w:rsidP="00955BB0">
      <w:pPr>
        <w:pStyle w:val="Titre5"/>
        <w:ind w:left="720" w:firstLine="720"/>
        <w:rPr>
          <w:rFonts w:ascii="Times New Roman" w:hAnsi="Times New Roman"/>
          <w:iCs w:val="0"/>
          <w:u w:val="single"/>
        </w:rPr>
      </w:pPr>
      <w:bookmarkStart w:id="73" w:name="_Toc423509559"/>
      <w:r w:rsidRPr="006D0278">
        <w:rPr>
          <w:rFonts w:ascii="Times New Roman" w:hAnsi="Times New Roman"/>
          <w:iCs w:val="0"/>
          <w:u w:val="single"/>
        </w:rPr>
        <w:t>2.1. Toepassingsgebied van artikel 2, § 8, van de wet van 02/04/65</w:t>
      </w:r>
      <w:bookmarkEnd w:id="73"/>
    </w:p>
    <w:p w:rsidR="008D6529" w:rsidRPr="006D0278" w:rsidRDefault="008D6529" w:rsidP="008D6529">
      <w:pPr>
        <w:pStyle w:val="Letter"/>
        <w:ind w:left="1080"/>
        <w:jc w:val="both"/>
        <w:rPr>
          <w:rFonts w:ascii="Times New Roman" w:hAnsi="Times New Roman"/>
          <w:sz w:val="24"/>
          <w:szCs w:val="24"/>
          <w:lang w:val="nl-NL"/>
        </w:rPr>
      </w:pPr>
    </w:p>
    <w:p w:rsidR="008D6529" w:rsidRPr="006D0278" w:rsidRDefault="008E706C" w:rsidP="00955BB0">
      <w:pPr>
        <w:pStyle w:val="Titre7"/>
        <w:ind w:left="708" w:firstLine="720"/>
        <w:rPr>
          <w:bCs/>
          <w:i/>
        </w:rPr>
      </w:pPr>
      <w:r w:rsidRPr="006D0278">
        <w:rPr>
          <w:bCs/>
          <w:i/>
        </w:rPr>
        <w:t xml:space="preserve">1) Wat de geholpen persoon betreft </w:t>
      </w:r>
    </w:p>
    <w:p w:rsidR="008D6529" w:rsidRPr="006D0278" w:rsidRDefault="008D6529" w:rsidP="008D6529">
      <w:pPr>
        <w:pStyle w:val="Titre3"/>
        <w:spacing w:before="0" w:after="0"/>
        <w:ind w:left="720" w:firstLine="0"/>
        <w:jc w:val="both"/>
        <w:rPr>
          <w:sz w:val="24"/>
          <w:szCs w:val="24"/>
          <w:lang w:val="nl-NL"/>
        </w:rPr>
      </w:pPr>
    </w:p>
    <w:p w:rsidR="00E26B18" w:rsidRPr="006D0278" w:rsidRDefault="008E706C" w:rsidP="00CC6ECC">
      <w:pPr>
        <w:ind w:left="720"/>
        <w:jc w:val="both"/>
        <w:rPr>
          <w:lang w:val="nl-NL"/>
        </w:rPr>
      </w:pPr>
      <w:r w:rsidRPr="006D0278">
        <w:rPr>
          <w:lang w:val="nl-NL"/>
        </w:rPr>
        <w:t xml:space="preserve">De bevoegdheidsregel van artikel 2, §8, van de wet van 02/04/65 is van toepassing op alle personen die het recht hebben om een opvangstructuur te verlaten, in de zin van artikel 2, 10° van de wet van 12 januari 2007 betreffende de opvang van asielzoekers en van bepaalde andere categorieën van vreemdelingen, of het nu gaat om erkende vluchtelingen, geregulariseerden of asielzoekers. </w:t>
      </w:r>
    </w:p>
    <w:p w:rsidR="008D6529" w:rsidRPr="006D0278" w:rsidRDefault="008D6529" w:rsidP="008D6529">
      <w:pPr>
        <w:pStyle w:val="Letter"/>
        <w:jc w:val="both"/>
        <w:rPr>
          <w:rFonts w:ascii="Times New Roman" w:hAnsi="Times New Roman"/>
          <w:sz w:val="24"/>
          <w:szCs w:val="24"/>
          <w:lang w:val="nl-NL"/>
        </w:rPr>
      </w:pPr>
    </w:p>
    <w:p w:rsidR="008D6529" w:rsidRPr="006D0278" w:rsidRDefault="008E706C" w:rsidP="008D6529">
      <w:pPr>
        <w:jc w:val="both"/>
        <w:rPr>
          <w:iCs/>
          <w:lang w:val="nl-NL"/>
        </w:rPr>
      </w:pPr>
      <w:r w:rsidRPr="006D0278">
        <w:rPr>
          <w:iCs/>
          <w:lang w:val="nl-NL"/>
        </w:rPr>
        <w:t xml:space="preserve"> </w:t>
      </w:r>
    </w:p>
    <w:p w:rsidR="008D6529" w:rsidRPr="006D0278" w:rsidRDefault="008E706C" w:rsidP="00955BB0">
      <w:pPr>
        <w:pStyle w:val="Titre7"/>
        <w:ind w:left="708" w:firstLine="720"/>
        <w:rPr>
          <w:bCs/>
          <w:i/>
          <w:iCs/>
        </w:rPr>
      </w:pPr>
      <w:r w:rsidRPr="006D0278">
        <w:rPr>
          <w:bCs/>
          <w:i/>
          <w:iCs/>
        </w:rPr>
        <w:t>2) Wat de aard van de steun betreft</w:t>
      </w:r>
    </w:p>
    <w:p w:rsidR="008D6529" w:rsidRPr="006D0278" w:rsidRDefault="008D6529" w:rsidP="008D6529">
      <w:pPr>
        <w:ind w:firstLine="720"/>
        <w:jc w:val="both"/>
        <w:rPr>
          <w:lang w:val="nl-NL"/>
        </w:rPr>
      </w:pPr>
    </w:p>
    <w:p w:rsidR="008D6529" w:rsidRPr="006D0278" w:rsidRDefault="008E706C" w:rsidP="00CC6ECC">
      <w:pPr>
        <w:ind w:left="720"/>
        <w:jc w:val="both"/>
        <w:rPr>
          <w:lang w:val="nl-NL"/>
        </w:rPr>
      </w:pPr>
      <w:r w:rsidRPr="006D0278">
        <w:rPr>
          <w:lang w:val="nl-NL"/>
        </w:rPr>
        <w:t xml:space="preserve">De gevraagde steun is een </w:t>
      </w:r>
      <w:r w:rsidRPr="006D0278">
        <w:rPr>
          <w:u w:val="single"/>
          <w:lang w:val="nl-NL"/>
        </w:rPr>
        <w:t>huurwaarborg</w:t>
      </w:r>
      <w:r w:rsidRPr="006D0278">
        <w:rPr>
          <w:lang w:val="nl-NL"/>
        </w:rPr>
        <w:t xml:space="preserve"> toe te kennen </w:t>
      </w:r>
      <w:r w:rsidRPr="006D0278">
        <w:rPr>
          <w:u w:val="single"/>
          <w:lang w:val="nl-NL"/>
        </w:rPr>
        <w:t xml:space="preserve">bij het verlaten </w:t>
      </w:r>
      <w:r w:rsidRPr="006D0278">
        <w:rPr>
          <w:shd w:val="clear" w:color="auto" w:fill="FFFFFF"/>
          <w:lang w:val="nl-NL"/>
        </w:rPr>
        <w:t>van een opvangstructuur.</w:t>
      </w:r>
    </w:p>
    <w:p w:rsidR="008D6529" w:rsidRPr="006D0278" w:rsidRDefault="008D6529" w:rsidP="008D6529">
      <w:pPr>
        <w:ind w:left="720"/>
        <w:jc w:val="both"/>
        <w:rPr>
          <w:lang w:val="nl-NL"/>
        </w:rPr>
      </w:pPr>
    </w:p>
    <w:p w:rsidR="00627101" w:rsidRPr="006D0278" w:rsidRDefault="008E706C" w:rsidP="00CC6ECC">
      <w:pPr>
        <w:pStyle w:val="Letter"/>
        <w:ind w:left="720"/>
        <w:jc w:val="both"/>
        <w:rPr>
          <w:rFonts w:ascii="Times New Roman" w:hAnsi="Times New Roman"/>
          <w:sz w:val="24"/>
          <w:szCs w:val="24"/>
          <w:lang w:val="nl-NL"/>
        </w:rPr>
      </w:pPr>
      <w:r w:rsidRPr="006D0278">
        <w:rPr>
          <w:rFonts w:ascii="Times New Roman" w:hAnsi="Times New Roman"/>
          <w:sz w:val="24"/>
          <w:szCs w:val="24"/>
          <w:lang w:val="nl-NL"/>
        </w:rPr>
        <w:t xml:space="preserve">Wat de anderen soorten steun betreft die eventueel kunnen worden toegekend aan een asielzoeker (financiële steun, eerste huur, installatiepremie), </w:t>
      </w:r>
      <w:r w:rsidRPr="006D0278">
        <w:rPr>
          <w:rFonts w:ascii="Times New Roman" w:hAnsi="Times New Roman"/>
          <w:sz w:val="24"/>
          <w:szCs w:val="24"/>
          <w:u w:val="single"/>
          <w:lang w:val="nl-NL"/>
        </w:rPr>
        <w:t xml:space="preserve"> is artikel 2, § 5, </w:t>
      </w:r>
      <w:r w:rsidRPr="006D0278">
        <w:rPr>
          <w:rFonts w:ascii="Times New Roman" w:hAnsi="Times New Roman"/>
          <w:sz w:val="24"/>
          <w:szCs w:val="24"/>
          <w:lang w:val="nl-NL"/>
        </w:rPr>
        <w:t xml:space="preserve"> lid 1, van de wet van 2 april 1965 van toepassing om het bevoegde OCMW te bepalen om deze steunaanvraag te onderzoeken, aangezien de asielprocedure van de betrokkene nog steeds loopt. Het OCMW van de gemeente waar de asielzoeker is ingeschreven in het wachtregister is bevoegd om zijn steunaanvraag (financiële steun, eerste hulp, installatiepremie) te onderzoeken.</w:t>
      </w:r>
    </w:p>
    <w:p w:rsidR="008D6529" w:rsidRPr="006D0278" w:rsidRDefault="008E706C" w:rsidP="00955BB0">
      <w:pPr>
        <w:pStyle w:val="Titre7"/>
        <w:ind w:left="708" w:firstLine="720"/>
        <w:rPr>
          <w:bCs/>
          <w:i/>
          <w:iCs/>
        </w:rPr>
      </w:pPr>
      <w:bookmarkStart w:id="74" w:name="_Toc286908960"/>
      <w:r w:rsidRPr="006D0278">
        <w:rPr>
          <w:bCs/>
          <w:i/>
          <w:iCs/>
        </w:rPr>
        <w:lastRenderedPageBreak/>
        <w:t>3) Wat het ogenblik van de steunaanvraag betreft</w:t>
      </w:r>
      <w:bookmarkEnd w:id="74"/>
    </w:p>
    <w:p w:rsidR="008D6529" w:rsidRPr="006D0278" w:rsidRDefault="008D6529" w:rsidP="008D6529">
      <w:pPr>
        <w:rPr>
          <w:lang w:val="nl-NL"/>
        </w:rPr>
      </w:pPr>
    </w:p>
    <w:p w:rsidR="008D6529" w:rsidRPr="006D0278" w:rsidRDefault="008E706C" w:rsidP="00CC6ECC">
      <w:pPr>
        <w:ind w:left="720"/>
        <w:jc w:val="both"/>
        <w:rPr>
          <w:lang w:val="nl-NL"/>
        </w:rPr>
      </w:pPr>
      <w:r w:rsidRPr="006D0278">
        <w:rPr>
          <w:lang w:val="nl-NL"/>
        </w:rPr>
        <w:t xml:space="preserve">De gevraagde steun moet worden toegekend </w:t>
      </w:r>
      <w:r w:rsidRPr="006D0278">
        <w:rPr>
          <w:u w:val="single"/>
          <w:lang w:val="nl-NL"/>
        </w:rPr>
        <w:t>bij het verlaten</w:t>
      </w:r>
      <w:r w:rsidRPr="006D0278">
        <w:rPr>
          <w:shd w:val="clear" w:color="auto" w:fill="FFFFFF"/>
          <w:lang w:val="nl-NL"/>
        </w:rPr>
        <w:t xml:space="preserve"> van een opvangstructuur. De aanvraag tot toekenning van een huurwaarborg moet dus worden ingediend voor het verlaten van de opvangstructuur. </w:t>
      </w:r>
    </w:p>
    <w:p w:rsidR="008D6529" w:rsidRPr="006D0278" w:rsidRDefault="008E706C" w:rsidP="008D6529">
      <w:pPr>
        <w:ind w:left="720"/>
        <w:jc w:val="both"/>
        <w:rPr>
          <w:lang w:val="nl-NL"/>
        </w:rPr>
      </w:pPr>
      <w:r w:rsidRPr="006D0278">
        <w:rPr>
          <w:lang w:val="nl-NL"/>
        </w:rPr>
        <w:t xml:space="preserve"> </w:t>
      </w:r>
    </w:p>
    <w:p w:rsidR="008D6529" w:rsidRPr="006D0278" w:rsidRDefault="008E706C" w:rsidP="00CC6ECC">
      <w:pPr>
        <w:ind w:left="720"/>
        <w:jc w:val="both"/>
        <w:rPr>
          <w:lang w:val="nl-NL"/>
        </w:rPr>
      </w:pPr>
      <w:r w:rsidRPr="006D0278">
        <w:rPr>
          <w:lang w:val="nl-NL"/>
        </w:rPr>
        <w:t xml:space="preserve">Zoals werd verduidelijkt tijdens de voorbereidende werkzaamheden van artikel 6 van de programmawet van 22 december 2008 </w:t>
      </w:r>
      <w:r w:rsidR="008D6529" w:rsidRPr="00D76619">
        <w:rPr>
          <w:rStyle w:val="Appelnotedebasdep"/>
        </w:rPr>
        <w:footnoteReference w:id="8"/>
      </w:r>
      <w:r w:rsidRPr="006D0278">
        <w:rPr>
          <w:lang w:val="nl-NL"/>
        </w:rPr>
        <w:t>, is deze specifieke regel niet van toepassing wanneer de persoon de opvangstructuur reeds heeft verlaten en zich reeds in een woning heeft gevestigd of dakloos is geworden.</w:t>
      </w:r>
    </w:p>
    <w:p w:rsidR="008D6529" w:rsidRPr="006D0278" w:rsidRDefault="008D6529" w:rsidP="008D6529">
      <w:pPr>
        <w:ind w:left="720"/>
        <w:jc w:val="both"/>
        <w:rPr>
          <w:lang w:val="nl-NL"/>
        </w:rPr>
      </w:pPr>
    </w:p>
    <w:p w:rsidR="008D6529" w:rsidRPr="006D0278" w:rsidRDefault="008E706C" w:rsidP="00CC6ECC">
      <w:pPr>
        <w:pStyle w:val="Letter"/>
        <w:ind w:left="720"/>
        <w:jc w:val="both"/>
        <w:rPr>
          <w:rFonts w:ascii="Times New Roman" w:hAnsi="Times New Roman"/>
          <w:sz w:val="24"/>
          <w:szCs w:val="24"/>
          <w:lang w:val="nl-NL"/>
        </w:rPr>
      </w:pPr>
      <w:r w:rsidRPr="006D0278">
        <w:rPr>
          <w:rFonts w:ascii="Times New Roman" w:hAnsi="Times New Roman"/>
          <w:sz w:val="24"/>
          <w:szCs w:val="24"/>
          <w:lang w:val="nl-NL"/>
        </w:rPr>
        <w:t xml:space="preserve">Deze regel is van toepassing wanneer de asielzoeker een aanvraag indient tot toekenning van een huurwaarborg met het oog op het verlaten van de opvangstructuur. Hij is dus niet van toepassing wanneer de persoon niet meer in de opvangstructuur verblijft en deze reeds heeft verlaten op het ogenblik van de invoering van zijn aanvraag tot huurwaarborg. </w:t>
      </w:r>
    </w:p>
    <w:p w:rsidR="008D6529" w:rsidRPr="006D0278" w:rsidRDefault="008D6529" w:rsidP="008D6529">
      <w:pPr>
        <w:pStyle w:val="Letter"/>
        <w:ind w:left="1080"/>
        <w:jc w:val="both"/>
        <w:rPr>
          <w:rFonts w:ascii="Times New Roman" w:hAnsi="Times New Roman"/>
          <w:sz w:val="24"/>
          <w:szCs w:val="24"/>
          <w:lang w:val="nl-NL"/>
        </w:rPr>
      </w:pPr>
    </w:p>
    <w:p w:rsidR="008D6529" w:rsidRDefault="008D6529" w:rsidP="008D6529">
      <w:pPr>
        <w:pStyle w:val="Letter"/>
        <w:ind w:left="1080"/>
        <w:jc w:val="both"/>
        <w:rPr>
          <w:rFonts w:ascii="Times New Roman" w:hAnsi="Times New Roman"/>
          <w:sz w:val="24"/>
          <w:szCs w:val="24"/>
          <w:lang w:val="nl-NL"/>
        </w:rPr>
      </w:pPr>
    </w:p>
    <w:p w:rsidR="000A1966" w:rsidRPr="006D0278" w:rsidRDefault="000A1966" w:rsidP="008D6529">
      <w:pPr>
        <w:pStyle w:val="Letter"/>
        <w:ind w:left="1080"/>
        <w:jc w:val="both"/>
        <w:rPr>
          <w:rFonts w:ascii="Times New Roman" w:hAnsi="Times New Roman"/>
          <w:sz w:val="24"/>
          <w:szCs w:val="24"/>
          <w:lang w:val="nl-NL"/>
        </w:rPr>
      </w:pPr>
    </w:p>
    <w:p w:rsidR="00627101" w:rsidRPr="006D0278" w:rsidRDefault="008E706C" w:rsidP="00955BB0">
      <w:pPr>
        <w:pStyle w:val="Titre5"/>
        <w:ind w:left="720" w:firstLine="720"/>
        <w:rPr>
          <w:rFonts w:ascii="Times New Roman" w:hAnsi="Times New Roman"/>
          <w:iCs w:val="0"/>
          <w:u w:val="single"/>
        </w:rPr>
      </w:pPr>
      <w:bookmarkStart w:id="75" w:name="_Toc423509560"/>
      <w:r w:rsidRPr="006D0278">
        <w:rPr>
          <w:rFonts w:ascii="Times New Roman" w:hAnsi="Times New Roman"/>
          <w:iCs w:val="0"/>
          <w:u w:val="single"/>
        </w:rPr>
        <w:t>2.2. Het OCMW bevoegd voor de huurwaarborg</w:t>
      </w:r>
      <w:bookmarkEnd w:id="75"/>
    </w:p>
    <w:p w:rsidR="00627101" w:rsidRPr="006D0278" w:rsidRDefault="00627101" w:rsidP="00627101">
      <w:pPr>
        <w:rPr>
          <w:lang w:val="nl-NL"/>
        </w:rPr>
      </w:pPr>
    </w:p>
    <w:p w:rsidR="00627101" w:rsidRPr="006D0278" w:rsidRDefault="008E706C" w:rsidP="00CC6ECC">
      <w:pPr>
        <w:pStyle w:val="Opmaakprofiel1"/>
        <w:ind w:left="720"/>
        <w:rPr>
          <w:u w:val="none"/>
        </w:rPr>
      </w:pPr>
      <w:r w:rsidRPr="006D0278">
        <w:rPr>
          <w:u w:val="none"/>
        </w:rPr>
        <w:t xml:space="preserve">Wanneer een </w:t>
      </w:r>
      <w:r w:rsidR="00722E6B">
        <w:rPr>
          <w:u w:val="none"/>
        </w:rPr>
        <w:t>persoon</w:t>
      </w:r>
      <w:r w:rsidRPr="006D0278">
        <w:rPr>
          <w:u w:val="none"/>
        </w:rPr>
        <w:t xml:space="preserve"> het recht heeft om een opvangstructuur te verlaten en hij een   aanvraag tot huurwaarborg heeft ingediend om de opvangstructuur te kunnen verlaten en zich in een woning te vestigen, is de specifieke bevoegdheidsregel van artikel 2, § 8, van de  wet van 2 april 1965 van toepassing om het bevoegde OCMW te bepalen om de aanvraag tot huurwaarborg </w:t>
      </w:r>
      <w:r w:rsidR="00722E6B" w:rsidRPr="006D0278">
        <w:rPr>
          <w:u w:val="none"/>
        </w:rPr>
        <w:t xml:space="preserve">te </w:t>
      </w:r>
      <w:r w:rsidRPr="006D0278">
        <w:rPr>
          <w:u w:val="none"/>
        </w:rPr>
        <w:t xml:space="preserve">onderzoeken. </w:t>
      </w:r>
    </w:p>
    <w:p w:rsidR="00627101" w:rsidRPr="006D0278" w:rsidRDefault="00CC6ECC" w:rsidP="00627101">
      <w:pPr>
        <w:pStyle w:val="Opmaakprofiel1"/>
        <w:ind w:left="720"/>
        <w:rPr>
          <w:u w:val="none"/>
        </w:rPr>
      </w:pPr>
      <w:r w:rsidRPr="006D0278">
        <w:rPr>
          <w:u w:val="none"/>
        </w:rPr>
        <w:tab/>
      </w:r>
    </w:p>
    <w:p w:rsidR="00627101" w:rsidRPr="006D0278" w:rsidRDefault="008E706C" w:rsidP="00CC6ECC">
      <w:pPr>
        <w:pStyle w:val="Opmaakprofiel1"/>
        <w:ind w:left="720"/>
        <w:rPr>
          <w:u w:val="none"/>
          <w:lang w:eastAsia="nl-NL"/>
        </w:rPr>
      </w:pPr>
      <w:r w:rsidRPr="006D0278">
        <w:rPr>
          <w:u w:val="none"/>
        </w:rPr>
        <w:t>Het</w:t>
      </w:r>
      <w:r w:rsidRPr="006D0278">
        <w:t xml:space="preserve"> OCMW van de </w:t>
      </w:r>
      <w:r w:rsidR="00722E6B" w:rsidRPr="006D0278">
        <w:t>gemeente</w:t>
      </w:r>
      <w:r w:rsidRPr="006D0278">
        <w:t xml:space="preserve"> waar de woning zich </w:t>
      </w:r>
      <w:r w:rsidR="00921B1B" w:rsidRPr="006D0278">
        <w:t xml:space="preserve">bevindt </w:t>
      </w:r>
      <w:r w:rsidRPr="006D0278">
        <w:rPr>
          <w:u w:val="none"/>
        </w:rPr>
        <w:t>waarvoor de betrokkene de huurwaarborg aanvraagt en waarin hij zich zal vestigen na het verlaten van het opvangcentrum is bevoegd om de huurwaarborg te onderzoeken.</w:t>
      </w:r>
    </w:p>
    <w:p w:rsidR="00CC6ECC" w:rsidRDefault="00CC6ECC" w:rsidP="00BF4C67">
      <w:pPr>
        <w:pStyle w:val="Letter"/>
        <w:ind w:left="1080"/>
        <w:jc w:val="both"/>
        <w:rPr>
          <w:lang w:val="nl-NL"/>
        </w:rPr>
      </w:pPr>
    </w:p>
    <w:p w:rsidR="000A1966" w:rsidRDefault="000A1966" w:rsidP="00BF4C67">
      <w:pPr>
        <w:pStyle w:val="Letter"/>
        <w:ind w:left="1080"/>
        <w:jc w:val="both"/>
        <w:rPr>
          <w:lang w:val="nl-NL"/>
        </w:rPr>
      </w:pPr>
    </w:p>
    <w:p w:rsidR="000A1966" w:rsidRPr="00C564F6" w:rsidRDefault="000A1966" w:rsidP="00BF4C67">
      <w:pPr>
        <w:pStyle w:val="Letter"/>
        <w:ind w:left="1080"/>
        <w:jc w:val="both"/>
        <w:rPr>
          <w:lang w:val="nl-NL"/>
        </w:rPr>
      </w:pPr>
    </w:p>
    <w:p w:rsidR="00627101" w:rsidRPr="006D0278" w:rsidRDefault="008E706C" w:rsidP="00955BB0">
      <w:pPr>
        <w:pStyle w:val="Titre5"/>
        <w:ind w:left="1440"/>
        <w:jc w:val="both"/>
        <w:rPr>
          <w:rFonts w:ascii="Times New Roman" w:hAnsi="Times New Roman"/>
          <w:iCs w:val="0"/>
          <w:u w:val="single"/>
        </w:rPr>
      </w:pPr>
      <w:bookmarkStart w:id="76" w:name="_Toc423509561"/>
      <w:bookmarkStart w:id="77" w:name="_Toc70850290"/>
      <w:r w:rsidRPr="006D0278">
        <w:rPr>
          <w:rFonts w:ascii="Times New Roman" w:hAnsi="Times New Roman"/>
          <w:iCs w:val="0"/>
          <w:u w:val="single"/>
        </w:rPr>
        <w:t>2.3. Het OCMW dat bevoegd is om de andere vormen van maatschappelijke hulp dan de huurwaarborg toe te kennen aan de personen die de opvangstructuren verlaten</w:t>
      </w:r>
      <w:bookmarkEnd w:id="76"/>
    </w:p>
    <w:p w:rsidR="00904A8F" w:rsidRPr="006D0278" w:rsidRDefault="00904A8F" w:rsidP="00904A8F">
      <w:pPr>
        <w:rPr>
          <w:lang w:val="nl-NL"/>
        </w:rPr>
      </w:pPr>
    </w:p>
    <w:p w:rsidR="009161E4" w:rsidRPr="006D0278" w:rsidRDefault="009161E4" w:rsidP="009161E4">
      <w:pPr>
        <w:rPr>
          <w:lang w:val="nl-NL"/>
        </w:rPr>
      </w:pPr>
    </w:p>
    <w:p w:rsidR="00627101" w:rsidRPr="006D0278" w:rsidRDefault="008E706C" w:rsidP="00955BB0">
      <w:pPr>
        <w:pStyle w:val="Titre7"/>
        <w:ind w:left="708" w:firstLine="720"/>
        <w:rPr>
          <w:bCs/>
          <w:i/>
          <w:iCs/>
        </w:rPr>
      </w:pPr>
      <w:bookmarkStart w:id="78" w:name="_Toc286908964"/>
      <w:r w:rsidRPr="006D0278">
        <w:rPr>
          <w:bCs/>
          <w:i/>
          <w:iCs/>
        </w:rPr>
        <w:t>1) Kandidaat-vluchtelingen</w:t>
      </w:r>
      <w:bookmarkEnd w:id="78"/>
    </w:p>
    <w:p w:rsidR="00627101" w:rsidRPr="006D0278" w:rsidRDefault="00627101" w:rsidP="00627101">
      <w:pPr>
        <w:pStyle w:val="Letter"/>
        <w:ind w:left="360"/>
        <w:jc w:val="both"/>
        <w:rPr>
          <w:rFonts w:ascii="Times New Roman" w:hAnsi="Times New Roman"/>
          <w:sz w:val="24"/>
          <w:szCs w:val="24"/>
          <w:u w:val="single"/>
          <w:lang w:val="nl-NL"/>
        </w:rPr>
      </w:pPr>
    </w:p>
    <w:p w:rsidR="00627101" w:rsidRPr="006D0278" w:rsidRDefault="008E706C" w:rsidP="00CC6ECC">
      <w:pPr>
        <w:pStyle w:val="Letter"/>
        <w:ind w:left="720"/>
        <w:jc w:val="both"/>
        <w:rPr>
          <w:rFonts w:ascii="Times New Roman" w:hAnsi="Times New Roman"/>
          <w:sz w:val="24"/>
          <w:szCs w:val="24"/>
          <w:lang w:val="nl-NL"/>
        </w:rPr>
      </w:pPr>
      <w:r w:rsidRPr="006D0278">
        <w:rPr>
          <w:rFonts w:ascii="Times New Roman" w:hAnsi="Times New Roman"/>
          <w:sz w:val="24"/>
          <w:szCs w:val="24"/>
          <w:u w:val="single"/>
          <w:lang w:val="nl-NL"/>
        </w:rPr>
        <w:t>Artikel 2, §5,</w:t>
      </w:r>
      <w:r w:rsidRPr="006D0278">
        <w:rPr>
          <w:rFonts w:ascii="Times New Roman" w:hAnsi="Times New Roman"/>
          <w:sz w:val="24"/>
          <w:szCs w:val="24"/>
          <w:lang w:val="nl-NL"/>
        </w:rPr>
        <w:t xml:space="preserve"> lid 1, van de wet van 2 april 1965 is van toepassing op het bevoegde OCMW te bepalen, aangezien de asielprocedure van de betrokkene nog steeds loopt. </w:t>
      </w:r>
    </w:p>
    <w:p w:rsidR="00627101" w:rsidRPr="006D0278" w:rsidRDefault="00627101" w:rsidP="00627101">
      <w:pPr>
        <w:pStyle w:val="Letter"/>
        <w:ind w:left="357"/>
        <w:jc w:val="both"/>
        <w:rPr>
          <w:rFonts w:ascii="Times New Roman" w:hAnsi="Times New Roman"/>
          <w:sz w:val="24"/>
          <w:szCs w:val="24"/>
          <w:lang w:val="nl-NL"/>
        </w:rPr>
      </w:pPr>
    </w:p>
    <w:p w:rsidR="00627101" w:rsidRPr="006D0278" w:rsidRDefault="008E706C" w:rsidP="00CC6ECC">
      <w:pPr>
        <w:pStyle w:val="Letter"/>
        <w:ind w:left="720"/>
        <w:jc w:val="both"/>
        <w:rPr>
          <w:rFonts w:ascii="Times New Roman" w:hAnsi="Times New Roman"/>
          <w:sz w:val="24"/>
          <w:szCs w:val="24"/>
          <w:lang w:val="nl-NL"/>
        </w:rPr>
      </w:pPr>
      <w:r w:rsidRPr="006D0278">
        <w:rPr>
          <w:rFonts w:ascii="Times New Roman" w:hAnsi="Times New Roman"/>
          <w:sz w:val="24"/>
          <w:szCs w:val="24"/>
          <w:lang w:val="nl-NL"/>
        </w:rPr>
        <w:t>Het OCMW van de gemeente waar de asielzoeker is ingeschreven in het wachtregister is bevoegd om zijn steunaanvraag (financiële steun, eerste hulp, installatiepremie) te onderzoeken.</w:t>
      </w:r>
    </w:p>
    <w:p w:rsidR="00627101" w:rsidRPr="006D0278" w:rsidRDefault="00627101" w:rsidP="00627101">
      <w:pPr>
        <w:pStyle w:val="Letter"/>
        <w:ind w:left="720"/>
        <w:jc w:val="both"/>
        <w:rPr>
          <w:rFonts w:ascii="Times New Roman" w:hAnsi="Times New Roman"/>
          <w:sz w:val="24"/>
          <w:szCs w:val="24"/>
          <w:lang w:val="nl-NL"/>
        </w:rPr>
      </w:pPr>
    </w:p>
    <w:p w:rsidR="00627101" w:rsidRPr="006D0278" w:rsidRDefault="00627101" w:rsidP="00627101">
      <w:pPr>
        <w:pStyle w:val="Letter"/>
        <w:ind w:left="720"/>
        <w:jc w:val="both"/>
        <w:rPr>
          <w:rFonts w:ascii="Times New Roman" w:hAnsi="Times New Roman"/>
          <w:sz w:val="24"/>
          <w:szCs w:val="24"/>
          <w:lang w:val="nl-NL"/>
        </w:rPr>
      </w:pPr>
    </w:p>
    <w:p w:rsidR="00627101" w:rsidRPr="006D0278" w:rsidRDefault="008E706C" w:rsidP="00955BB0">
      <w:pPr>
        <w:pStyle w:val="Titre7"/>
        <w:ind w:left="708" w:firstLine="720"/>
        <w:rPr>
          <w:bCs/>
          <w:i/>
          <w:iCs/>
        </w:rPr>
      </w:pPr>
      <w:bookmarkStart w:id="79" w:name="_Toc286908965"/>
      <w:r w:rsidRPr="006D0278">
        <w:rPr>
          <w:bCs/>
          <w:i/>
          <w:iCs/>
        </w:rPr>
        <w:lastRenderedPageBreak/>
        <w:t>2) Andere personen dan de kandidaat-vluchtelingen</w:t>
      </w:r>
      <w:bookmarkEnd w:id="79"/>
    </w:p>
    <w:p w:rsidR="00627101" w:rsidRPr="006D0278" w:rsidRDefault="00627101" w:rsidP="00627101">
      <w:pPr>
        <w:jc w:val="both"/>
        <w:rPr>
          <w:lang w:val="nl-NL"/>
        </w:rPr>
      </w:pPr>
    </w:p>
    <w:p w:rsidR="00627101" w:rsidRPr="006D0278" w:rsidRDefault="008E706C" w:rsidP="00CC6ECC">
      <w:pPr>
        <w:ind w:left="720"/>
        <w:jc w:val="both"/>
        <w:rPr>
          <w:lang w:val="nl-NL"/>
        </w:rPr>
      </w:pPr>
      <w:r w:rsidRPr="006D0278">
        <w:rPr>
          <w:lang w:val="nl-NL"/>
        </w:rPr>
        <w:t>Het gaat om personen die een aanvraag indienen voor eerste huur, installatiepremie en/of financiële maatschappelijke hulp wanneer zij het recht hebben om de opvangstructuur te verlaten, omdat zij:</w:t>
      </w:r>
    </w:p>
    <w:p w:rsidR="00627101" w:rsidRPr="006D0278" w:rsidRDefault="008E706C" w:rsidP="00627101">
      <w:pPr>
        <w:ind w:left="708" w:firstLine="708"/>
        <w:jc w:val="both"/>
        <w:rPr>
          <w:lang w:val="nl-NL"/>
        </w:rPr>
      </w:pPr>
      <w:r w:rsidRPr="006D0278">
        <w:rPr>
          <w:lang w:val="nl-NL"/>
        </w:rPr>
        <w:t xml:space="preserve">- de erkenning van het statuut van vluchteling hebben ontvangen, </w:t>
      </w:r>
    </w:p>
    <w:p w:rsidR="00627101" w:rsidRPr="006D0278" w:rsidRDefault="008E706C" w:rsidP="00627101">
      <w:pPr>
        <w:ind w:left="708" w:firstLine="708"/>
        <w:jc w:val="both"/>
        <w:rPr>
          <w:lang w:val="nl-NL"/>
        </w:rPr>
      </w:pPr>
      <w:r w:rsidRPr="006D0278">
        <w:rPr>
          <w:lang w:val="nl-NL"/>
        </w:rPr>
        <w:t xml:space="preserve">- de regularisatie van het verblijf hebben ontvangen, </w:t>
      </w:r>
    </w:p>
    <w:p w:rsidR="00627101" w:rsidRPr="006D0278" w:rsidRDefault="008E706C" w:rsidP="00627101">
      <w:pPr>
        <w:pStyle w:val="Opmaakprofiel1"/>
        <w:ind w:left="1428"/>
        <w:rPr>
          <w:u w:val="none"/>
        </w:rPr>
      </w:pPr>
      <w:r w:rsidRPr="006D0278">
        <w:rPr>
          <w:u w:val="none"/>
        </w:rPr>
        <w:t xml:space="preserve"> - de ontvankelijkheid hebben ontvangen van de regularisatieaanvraag van het verblijf die werd ingediend op basis van artikel 9ter van de wet van 15/12/1980 </w:t>
      </w:r>
    </w:p>
    <w:p w:rsidR="00627101" w:rsidRPr="006D0278" w:rsidRDefault="00627101" w:rsidP="00627101">
      <w:pPr>
        <w:pStyle w:val="Opmaakprofiel1"/>
        <w:ind w:left="1800"/>
        <w:rPr>
          <w:u w:val="none"/>
        </w:rPr>
      </w:pPr>
    </w:p>
    <w:p w:rsidR="000A1966" w:rsidRDefault="000A1966" w:rsidP="00955BB0">
      <w:pPr>
        <w:ind w:left="708" w:firstLine="720"/>
        <w:rPr>
          <w:u w:val="single"/>
          <w:lang w:val="nl-NL"/>
        </w:rPr>
      </w:pPr>
    </w:p>
    <w:p w:rsidR="00B52C69" w:rsidRPr="006D0278" w:rsidRDefault="008E706C" w:rsidP="00955BB0">
      <w:pPr>
        <w:ind w:left="708" w:firstLine="720"/>
        <w:rPr>
          <w:u w:val="single"/>
          <w:lang w:val="nl-NL"/>
        </w:rPr>
      </w:pPr>
      <w:r w:rsidRPr="006D0278">
        <w:rPr>
          <w:u w:val="single"/>
          <w:lang w:val="nl-NL"/>
        </w:rPr>
        <w:t xml:space="preserve">A. Aanvraag van eerste huur </w:t>
      </w:r>
    </w:p>
    <w:p w:rsidR="00627101" w:rsidRPr="006D0278" w:rsidRDefault="00627101" w:rsidP="00627101">
      <w:pPr>
        <w:pStyle w:val="Opmaakprofiel1"/>
        <w:ind w:left="1440"/>
        <w:rPr>
          <w:u w:val="none"/>
        </w:rPr>
      </w:pPr>
    </w:p>
    <w:bookmarkEnd w:id="77"/>
    <w:p w:rsidR="00AE7DF6" w:rsidRPr="006D0278" w:rsidRDefault="008E706C" w:rsidP="0090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Wat de aanvraag van eerste huur betreft, van de andere personen dan de asielzoekers (de erkende vluchtelingen of geregulariseerden) die een opvangstructuur verlaten, heeft de wetgever geen specifieke regel bepaald om het bevoegde OCMW te bepalen voor deze steunaanvraag en daarom is de algemene bevoegdheidsregel van artikel 1,</w:t>
      </w:r>
      <w:r w:rsidR="00FA753B">
        <w:rPr>
          <w:lang w:val="nl-NL"/>
        </w:rPr>
        <w:t xml:space="preserve"> </w:t>
      </w:r>
      <w:r w:rsidRPr="006D0278">
        <w:rPr>
          <w:lang w:val="nl-NL"/>
        </w:rPr>
        <w:t>1, van de wet van 02/04/1965 van toepassing.</w:t>
      </w:r>
    </w:p>
    <w:p w:rsidR="00FA753B" w:rsidRDefault="00FA753B" w:rsidP="0090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4C22BC" w:rsidRPr="006D0278" w:rsidRDefault="008E706C" w:rsidP="0090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Merk op dat de eerste huur een financiële maatschappelijke steun vormt waardoor de persoon zich definitief kan vestigen in een woning die zijn gewoonlijke verblijfplaats vormt nadat hij het opvangcentrum heeft verlaten en waarvoor hij een huurwaarborg heeft ontvangen. </w:t>
      </w:r>
    </w:p>
    <w:p w:rsidR="00904A8F" w:rsidRPr="006D0278" w:rsidRDefault="00904A8F" w:rsidP="0090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nl-NL"/>
        </w:rPr>
      </w:pPr>
    </w:p>
    <w:p w:rsidR="00955BB0" w:rsidRPr="006D0278" w:rsidRDefault="008E706C"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 Bijgevolg is, wanneer een geregulariseerde een woning gevonden heeft die zich in gemeente X bevindt en een aanvraag voor eerste huur heeft ingediend, het OCMW van gemeente X, krachtens artikel 1, 1, van de wet van 02/04/1965, bevoegd om zijn aanvraag te onderzoeken, aangezien de betrokkene zijn gewoonlijke verblijfplaats vestigt in een woning die is gelegen in gemeente X en waarvoor hij steun ontvangen heeft van het OCMW van X voor het toekennen van de huurwaarborg. </w:t>
      </w:r>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u w:val="single"/>
          <w:lang w:val="nl-NL"/>
        </w:rPr>
      </w:pPr>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ab/>
      </w:r>
      <w:bookmarkStart w:id="80" w:name="_Toc286908967"/>
      <w:r w:rsidR="008E706C" w:rsidRPr="006D0278">
        <w:rPr>
          <w:u w:val="single"/>
          <w:lang w:val="nl-NL"/>
        </w:rPr>
        <w:t>B. De aanvraag van een installatiepremie</w:t>
      </w:r>
      <w:bookmarkEnd w:id="80"/>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81448B" w:rsidRPr="006D0278" w:rsidRDefault="008E706C"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Wat de toekenning van de </w:t>
      </w:r>
      <w:r w:rsidR="003C1CD4" w:rsidRPr="006D0278">
        <w:rPr>
          <w:lang w:val="nl-NL"/>
        </w:rPr>
        <w:t>installatiepremie</w:t>
      </w:r>
      <w:r w:rsidRPr="006D0278">
        <w:rPr>
          <w:lang w:val="nl-NL"/>
        </w:rPr>
        <w:t xml:space="preserve"> betreft, worden andere personen d</w:t>
      </w:r>
      <w:r w:rsidR="003C1CD4">
        <w:rPr>
          <w:lang w:val="nl-NL"/>
        </w:rPr>
        <w:t>an</w:t>
      </w:r>
      <w:r w:rsidRPr="006D0278">
        <w:rPr>
          <w:lang w:val="nl-NL"/>
        </w:rPr>
        <w:t xml:space="preserve"> de asielzoekers die de opvangstructuur verlaten beschouwd als daklozen. Zij hebben dus recht op een installatiepremie wanneer zij de hoedanigheid van dakloze verliezen en in een woning intrekken die dienst doet als gewoonlijke en hoofdverblijfplaats. </w:t>
      </w:r>
    </w:p>
    <w:p w:rsidR="0081448B" w:rsidRPr="006D0278" w:rsidRDefault="0081448B"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955BB0" w:rsidRPr="006D0278" w:rsidRDefault="008E706C"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Krachtens de algemene bevoegdheidsregel van artikel 1, 1, van de wet van 02/04/1965 is het OCMW van de gemeente waar de persoon zijn gewoonlijke verblijfplaats heeft bevoegd om de installatiepremie toe te kennen. Het OCMW van de gemeente waar de woning </w:t>
      </w:r>
      <w:r w:rsidR="003C1CD4">
        <w:rPr>
          <w:lang w:val="nl-NL"/>
        </w:rPr>
        <w:t xml:space="preserve">zich bevindt </w:t>
      </w:r>
      <w:r w:rsidRPr="006D0278">
        <w:rPr>
          <w:lang w:val="nl-NL"/>
        </w:rPr>
        <w:t xml:space="preserve">waarin de persoon zich heeft gevestigd en zijn gewoonlijke verblijfplaats heeft, is bevoegd. </w:t>
      </w:r>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627101" w:rsidRPr="006D0278" w:rsidRDefault="008E706C"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Wanneer de persoon nog in het lokale opvanginitiatief verblijft op het ogenblik van zijn aanvraag tot installatiepremie, heeft hij nog geen recht op een installatiepremie, aangezien hij zijn hoedanigheid van dakloze nog niet heeft verloren, omdat hij een woning bezet. Bijgevolg kan geen enkel OCMW als bevoegd worden aangeduid om zijn aanvraag tot installatiepremie te onderzoeken. De betrokkene zou een aanvraag tot </w:t>
      </w:r>
      <w:r w:rsidRPr="006D0278">
        <w:rPr>
          <w:lang w:val="nl-NL"/>
        </w:rPr>
        <w:lastRenderedPageBreak/>
        <w:t xml:space="preserve">installatiepremie kunnen indienen bij het OCMW van gemeente X, wanneer hij zijn hoedanigheid van dakloze verloren heeft door zich in zijn woning te vestigen </w:t>
      </w:r>
      <w:r w:rsidR="003C1CD4">
        <w:rPr>
          <w:lang w:val="nl-NL"/>
        </w:rPr>
        <w:t>gelegen</w:t>
      </w:r>
      <w:r w:rsidRPr="006D0278">
        <w:rPr>
          <w:lang w:val="nl-NL"/>
        </w:rPr>
        <w:t xml:space="preserve"> in gemeente X.</w:t>
      </w:r>
    </w:p>
    <w:p w:rsidR="00627101" w:rsidRPr="006D0278" w:rsidRDefault="00627101" w:rsidP="00627101">
      <w:pPr>
        <w:jc w:val="both"/>
        <w:rPr>
          <w:b/>
          <w:u w:val="single"/>
          <w:lang w:val="nl-NL"/>
        </w:rPr>
      </w:pPr>
    </w:p>
    <w:p w:rsidR="0081448B" w:rsidRPr="006D0278" w:rsidRDefault="008E706C" w:rsidP="0081448B">
      <w:pPr>
        <w:ind w:left="560"/>
        <w:jc w:val="both"/>
        <w:rPr>
          <w:rFonts w:cs="Arial"/>
          <w:lang w:val="nl-NL"/>
        </w:rPr>
      </w:pPr>
      <w:r w:rsidRPr="006D0278">
        <w:rPr>
          <w:rFonts w:cs="Arial"/>
          <w:lang w:val="nl-NL"/>
        </w:rPr>
        <w:t>In functie van het recht op leefloon of het recht o</w:t>
      </w:r>
      <w:r w:rsidR="003C1CD4">
        <w:rPr>
          <w:rFonts w:cs="Arial"/>
          <w:lang w:val="nl-NL"/>
        </w:rPr>
        <w:t>p individuele</w:t>
      </w:r>
      <w:r w:rsidRPr="006D0278">
        <w:rPr>
          <w:rFonts w:cs="Arial"/>
          <w:lang w:val="nl-NL"/>
        </w:rPr>
        <w:t xml:space="preserve"> maatschappelijke dienstverlening die kunnen worden toegekend aan de betrokken persoon, valt de premie onder verschillende normatieve bepalingen:</w:t>
      </w:r>
    </w:p>
    <w:p w:rsidR="0081448B" w:rsidRPr="006D0278" w:rsidRDefault="008E706C" w:rsidP="0081448B">
      <w:pPr>
        <w:numPr>
          <w:ilvl w:val="0"/>
          <w:numId w:val="24"/>
        </w:numPr>
        <w:jc w:val="both"/>
        <w:rPr>
          <w:lang w:val="nl-NL"/>
        </w:rPr>
      </w:pPr>
      <w:r w:rsidRPr="006D0278">
        <w:rPr>
          <w:rFonts w:cs="Arial"/>
          <w:i/>
          <w:lang w:val="nl-NL"/>
        </w:rPr>
        <w:t>voor de persoon die het recht op leefloon</w:t>
      </w:r>
      <w:r w:rsidRPr="006D0278">
        <w:rPr>
          <w:rFonts w:cs="Arial"/>
          <w:lang w:val="nl-NL"/>
        </w:rPr>
        <w:t xml:space="preserve"> geniet, zoals, bijvoorbeeld een erkende vluchteling, moet artikel 14, §3, van de wet van 26 mei 202 betreffende het recht op maatschappelijke integratie worden toegepast. </w:t>
      </w:r>
    </w:p>
    <w:p w:rsidR="0081448B" w:rsidRPr="006D0278" w:rsidRDefault="008E706C" w:rsidP="0081448B">
      <w:pPr>
        <w:numPr>
          <w:ilvl w:val="0"/>
          <w:numId w:val="24"/>
        </w:numPr>
        <w:jc w:val="both"/>
        <w:rPr>
          <w:b/>
          <w:u w:val="single"/>
          <w:lang w:val="nl-NL"/>
        </w:rPr>
      </w:pPr>
      <w:r w:rsidRPr="006D0278">
        <w:rPr>
          <w:i/>
          <w:lang w:val="nl-NL"/>
        </w:rPr>
        <w:t>voor de persoon die het recht op maatschappelijke dienstverlening geniet</w:t>
      </w:r>
      <w:r w:rsidRPr="006D0278">
        <w:rPr>
          <w:lang w:val="nl-NL"/>
        </w:rPr>
        <w:t xml:space="preserve">, </w:t>
      </w:r>
      <w:r w:rsidR="003C1CD4" w:rsidRPr="006D0278">
        <w:rPr>
          <w:lang w:val="nl-NL"/>
        </w:rPr>
        <w:t>bijvoorbeeld</w:t>
      </w:r>
      <w:r w:rsidRPr="006D0278">
        <w:rPr>
          <w:lang w:val="nl-NL"/>
        </w:rPr>
        <w:t xml:space="preserve"> voor een persoon waarvan het verblijf geregulariseerd wordt of die subsidiaire bescherming geniet, moet het koninklijk besluit van 21 september 2004 tot toekenning van een installatiepremie door het openbaar centrum voor maatschappelijk welzijn aan bepaalde personen die hun hoedanigheid van dakloze verliezen, worden toegepast.</w:t>
      </w:r>
    </w:p>
    <w:p w:rsidR="0081448B" w:rsidRPr="006D0278" w:rsidRDefault="0081448B" w:rsidP="0081448B">
      <w:pPr>
        <w:jc w:val="both"/>
        <w:rPr>
          <w:b/>
          <w:u w:val="single"/>
          <w:lang w:val="nl-NL"/>
        </w:rPr>
      </w:pPr>
    </w:p>
    <w:p w:rsidR="00904A8F" w:rsidRPr="006D0278" w:rsidRDefault="00904A8F" w:rsidP="00627101">
      <w:pPr>
        <w:jc w:val="both"/>
        <w:rPr>
          <w:b/>
          <w:u w:val="single"/>
          <w:lang w:val="nl-NL"/>
        </w:rPr>
      </w:pPr>
    </w:p>
    <w:p w:rsidR="00627101" w:rsidRPr="006D0278" w:rsidRDefault="008E706C" w:rsidP="00955BB0">
      <w:pPr>
        <w:ind w:left="720" w:firstLine="720"/>
        <w:rPr>
          <w:u w:val="single"/>
          <w:lang w:val="nl-NL"/>
        </w:rPr>
      </w:pPr>
      <w:bookmarkStart w:id="81" w:name="_Toc286908968"/>
      <w:r w:rsidRPr="006D0278">
        <w:rPr>
          <w:u w:val="single"/>
          <w:lang w:val="nl-NL"/>
        </w:rPr>
        <w:t>C. De aanvraag tot financiële maatschappelijke steun</w:t>
      </w:r>
      <w:bookmarkEnd w:id="81"/>
    </w:p>
    <w:p w:rsidR="00627101" w:rsidRPr="006D0278" w:rsidRDefault="00627101" w:rsidP="00627101">
      <w:pPr>
        <w:ind w:firstLine="709"/>
        <w:jc w:val="both"/>
        <w:rPr>
          <w:u w:val="single"/>
          <w:lang w:val="nl-NL"/>
        </w:rPr>
      </w:pPr>
    </w:p>
    <w:p w:rsidR="003D41B4" w:rsidRPr="006D0278" w:rsidRDefault="008E706C" w:rsidP="0062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iCs/>
          <w:lang w:val="nl-NL" w:eastAsia="fr-FR"/>
        </w:rPr>
        <w:t xml:space="preserve">Wanneer de betrokkene een aanvraag indient tot financiële maatschappelijke steun, terwijl hij de opvangstructuur nog niet heeft verlaten, geniet hij reeds materiële steun in de opvangstructuur, die hem de noodzakelijke steun moet waarborgen om een menswaardig leven te leiden. Het is dus de taak van het OCMW om er de gevolgen uit te trekken bij het onderzoek van de staat van behoeftigheid van de betrokkene in </w:t>
      </w:r>
      <w:r w:rsidR="007A6C00">
        <w:rPr>
          <w:iCs/>
          <w:lang w:val="nl-NL" w:eastAsia="fr-FR"/>
        </w:rPr>
        <w:t>functie van</w:t>
      </w:r>
      <w:r w:rsidRPr="006D0278">
        <w:rPr>
          <w:iCs/>
          <w:lang w:val="nl-NL" w:eastAsia="fr-FR"/>
        </w:rPr>
        <w:t xml:space="preserve"> de toekenningsvoorwaarden van de financiële maatschappelijke steun. In principe heeft hij geen recht op maatschappelijke steun van een OCMW zolang hij in een opvangstructuur verblijft.</w:t>
      </w:r>
    </w:p>
    <w:p w:rsidR="004B1F39" w:rsidRPr="006D0278" w:rsidRDefault="004B1F39" w:rsidP="003D41B4">
      <w:pPr>
        <w:pStyle w:val="Letter"/>
        <w:ind w:left="360" w:firstLine="360"/>
        <w:jc w:val="both"/>
        <w:rPr>
          <w:rFonts w:ascii="Times New Roman" w:hAnsi="Times New Roman"/>
          <w:sz w:val="24"/>
          <w:szCs w:val="24"/>
          <w:u w:val="single"/>
          <w:lang w:val="nl-NL"/>
        </w:rPr>
      </w:pPr>
    </w:p>
    <w:p w:rsidR="00F96962" w:rsidRPr="006D0278" w:rsidRDefault="00F96962" w:rsidP="000145B6">
      <w:pPr>
        <w:pStyle w:val="Titre2"/>
        <w:rPr>
          <w:sz w:val="28"/>
          <w:lang w:val="nl-NL"/>
        </w:rPr>
      </w:pPr>
      <w:r w:rsidRPr="006D0278">
        <w:rPr>
          <w:u w:val="single"/>
          <w:lang w:val="nl-NL"/>
        </w:rPr>
        <w:br w:type="page"/>
      </w:r>
      <w:bookmarkStart w:id="82" w:name="_Toc423509562"/>
      <w:r w:rsidR="008E706C" w:rsidRPr="006D0278">
        <w:rPr>
          <w:sz w:val="28"/>
          <w:lang w:val="nl-NL"/>
        </w:rPr>
        <w:lastRenderedPageBreak/>
        <w:t>6. Conflicten betreffende daklozen</w:t>
      </w:r>
      <w:bookmarkEnd w:id="82"/>
    </w:p>
    <w:p w:rsidR="00F96962" w:rsidRPr="006D0278" w:rsidRDefault="00F96962" w:rsidP="00F96962">
      <w:pPr>
        <w:ind w:firstLine="720"/>
        <w:rPr>
          <w:u w:val="single"/>
          <w:lang w:val="nl-NL"/>
        </w:rPr>
      </w:pPr>
    </w:p>
    <w:p w:rsidR="0006442F" w:rsidRPr="006D0278" w:rsidRDefault="0006442F" w:rsidP="00F96962">
      <w:pPr>
        <w:ind w:firstLine="720"/>
        <w:rPr>
          <w:u w:val="single"/>
          <w:lang w:val="nl-NL"/>
        </w:rPr>
      </w:pPr>
    </w:p>
    <w:p w:rsidR="009161E4" w:rsidRPr="006D0278" w:rsidRDefault="009161E4" w:rsidP="00F96962">
      <w:pPr>
        <w:ind w:firstLine="720"/>
        <w:rPr>
          <w:u w:val="single"/>
          <w:lang w:val="nl-NL"/>
        </w:rPr>
      </w:pPr>
    </w:p>
    <w:p w:rsidR="00F96962" w:rsidRPr="006D0278" w:rsidRDefault="008E706C" w:rsidP="000145B6">
      <w:pPr>
        <w:pStyle w:val="Titre3"/>
        <w:spacing w:before="0" w:after="0"/>
        <w:rPr>
          <w:b/>
          <w:bCs/>
          <w:sz w:val="24"/>
          <w:u w:val="single"/>
          <w:lang w:val="nl-NL"/>
        </w:rPr>
      </w:pPr>
      <w:bookmarkStart w:id="83" w:name="_Toc423509563"/>
      <w:r w:rsidRPr="006D0278">
        <w:rPr>
          <w:b/>
          <w:bCs/>
          <w:sz w:val="24"/>
          <w:u w:val="single"/>
          <w:lang w:val="nl-NL"/>
        </w:rPr>
        <w:t xml:space="preserve">1. Aantal dossiers in </w:t>
      </w:r>
      <w:r w:rsidR="00DD1646" w:rsidRPr="006D0278">
        <w:rPr>
          <w:b/>
          <w:bCs/>
          <w:sz w:val="24"/>
          <w:u w:val="single"/>
          <w:lang w:val="nl-NL"/>
        </w:rPr>
        <w:t>201</w:t>
      </w:r>
      <w:r w:rsidR="00CC26BF">
        <w:rPr>
          <w:b/>
          <w:bCs/>
          <w:sz w:val="24"/>
          <w:u w:val="single"/>
          <w:lang w:val="nl-NL"/>
        </w:rPr>
        <w:t>4</w:t>
      </w:r>
      <w:bookmarkEnd w:id="83"/>
      <w:r w:rsidR="00DD1646" w:rsidRPr="006D0278">
        <w:rPr>
          <w:b/>
          <w:bCs/>
          <w:sz w:val="24"/>
          <w:u w:val="single"/>
          <w:lang w:val="nl-NL"/>
        </w:rPr>
        <w:t xml:space="preserve"> </w:t>
      </w:r>
    </w:p>
    <w:p w:rsidR="00F96962" w:rsidRPr="006D0278" w:rsidRDefault="00F96962" w:rsidP="00F96962">
      <w:pPr>
        <w:rPr>
          <w:lang w:val="nl-NL"/>
        </w:rPr>
      </w:pPr>
    </w:p>
    <w:p w:rsidR="00CC6ECC" w:rsidRPr="006D0278" w:rsidRDefault="00CD7A69" w:rsidP="00CC6ECC">
      <w:pPr>
        <w:pStyle w:val="Opmaakprofiel1"/>
        <w:ind w:left="720" w:firstLine="720"/>
      </w:pPr>
      <w:r>
        <w:t>1</w:t>
      </w:r>
      <w:r w:rsidR="00CC26BF">
        <w:t>6</w:t>
      </w:r>
      <w:r w:rsidR="008E706C" w:rsidRPr="006D0278">
        <w:t xml:space="preserve"> dossiers op </w:t>
      </w:r>
      <w:r w:rsidR="00DD1646">
        <w:t>4</w:t>
      </w:r>
      <w:r w:rsidR="00CC26BF">
        <w:t>9</w:t>
      </w:r>
      <w:r w:rsidR="00DD1646">
        <w:t>3</w:t>
      </w:r>
      <w:r w:rsidR="00DD1646" w:rsidRPr="006D0278">
        <w:t xml:space="preserve"> </w:t>
      </w:r>
      <w:r w:rsidR="008E706C" w:rsidRPr="006D0278">
        <w:t xml:space="preserve">ontvankelijke dossiers, hetzij </w:t>
      </w:r>
      <w:r w:rsidR="00CC26BF">
        <w:t>3</w:t>
      </w:r>
      <w:r w:rsidR="00DD1646">
        <w:t xml:space="preserve"> </w:t>
      </w:r>
      <w:r w:rsidR="008E706C" w:rsidRPr="006D0278">
        <w:t>%</w:t>
      </w:r>
    </w:p>
    <w:p w:rsidR="00CC6ECC" w:rsidRPr="006D0278" w:rsidRDefault="008E706C" w:rsidP="00CC6ECC">
      <w:pPr>
        <w:ind w:left="720" w:firstLine="720"/>
        <w:jc w:val="both"/>
        <w:rPr>
          <w:lang w:val="nl-NL"/>
        </w:rPr>
      </w:pPr>
      <w:r w:rsidRPr="006D0278">
        <w:rPr>
          <w:lang w:val="nl-NL"/>
        </w:rPr>
        <w:t xml:space="preserve">Nederlandstalige dossiers: </w:t>
      </w:r>
      <w:r w:rsidR="00CC26BF">
        <w:rPr>
          <w:lang w:val="nl-NL"/>
        </w:rPr>
        <w:t>5</w:t>
      </w:r>
      <w:r w:rsidR="00DD1646" w:rsidRPr="006D0278">
        <w:rPr>
          <w:lang w:val="nl-NL"/>
        </w:rPr>
        <w:t xml:space="preserve"> </w:t>
      </w:r>
      <w:r w:rsidRPr="006D0278">
        <w:rPr>
          <w:lang w:val="nl-NL"/>
        </w:rPr>
        <w:t xml:space="preserve">op </w:t>
      </w:r>
      <w:r w:rsidR="00CC26BF">
        <w:rPr>
          <w:lang w:val="nl-NL"/>
        </w:rPr>
        <w:t>180</w:t>
      </w:r>
      <w:r w:rsidR="00DD1646" w:rsidRPr="006D0278">
        <w:rPr>
          <w:lang w:val="nl-NL"/>
        </w:rPr>
        <w:t xml:space="preserve"> </w:t>
      </w:r>
      <w:r w:rsidRPr="006D0278">
        <w:rPr>
          <w:lang w:val="nl-NL"/>
        </w:rPr>
        <w:t xml:space="preserve">ontvankelijke dossiers, hetzij </w:t>
      </w:r>
      <w:r w:rsidR="00CD7A69">
        <w:rPr>
          <w:lang w:val="nl-NL"/>
        </w:rPr>
        <w:t>3</w:t>
      </w:r>
      <w:r w:rsidRPr="006D0278">
        <w:rPr>
          <w:lang w:val="nl-NL"/>
        </w:rPr>
        <w:t>%</w:t>
      </w:r>
    </w:p>
    <w:p w:rsidR="00CC6ECC" w:rsidRPr="006D0278" w:rsidRDefault="008E706C" w:rsidP="00CC6ECC">
      <w:pPr>
        <w:ind w:left="720" w:firstLine="720"/>
        <w:jc w:val="both"/>
        <w:rPr>
          <w:highlight w:val="yellow"/>
          <w:lang w:val="nl-NL"/>
        </w:rPr>
      </w:pPr>
      <w:r w:rsidRPr="006D0278">
        <w:rPr>
          <w:lang w:val="nl-NL"/>
        </w:rPr>
        <w:t xml:space="preserve">Franstalige dossiers: </w:t>
      </w:r>
      <w:r w:rsidR="00CC26BF">
        <w:rPr>
          <w:lang w:val="nl-NL"/>
        </w:rPr>
        <w:t>11</w:t>
      </w:r>
      <w:r w:rsidR="00DD1646">
        <w:rPr>
          <w:lang w:val="nl-NL"/>
        </w:rPr>
        <w:t xml:space="preserve"> </w:t>
      </w:r>
      <w:r w:rsidR="00A35068">
        <w:rPr>
          <w:lang w:val="nl-NL"/>
        </w:rPr>
        <w:t xml:space="preserve">op </w:t>
      </w:r>
      <w:r w:rsidR="00CC26BF">
        <w:rPr>
          <w:lang w:val="nl-NL"/>
        </w:rPr>
        <w:t>313</w:t>
      </w:r>
      <w:r w:rsidR="00DD1646" w:rsidRPr="006D0278">
        <w:rPr>
          <w:lang w:val="nl-NL"/>
        </w:rPr>
        <w:t xml:space="preserve"> </w:t>
      </w:r>
      <w:r w:rsidRPr="006D0278">
        <w:rPr>
          <w:lang w:val="nl-NL"/>
        </w:rPr>
        <w:t>ontvankelijke dossiers, hetzij %</w:t>
      </w:r>
    </w:p>
    <w:p w:rsidR="00CC6ECC" w:rsidRPr="006D0278" w:rsidRDefault="00CC6ECC" w:rsidP="00F96962">
      <w:pPr>
        <w:ind w:left="900"/>
        <w:jc w:val="both"/>
        <w:rPr>
          <w:lang w:val="nl-NL"/>
        </w:rPr>
      </w:pPr>
    </w:p>
    <w:p w:rsidR="00F96962" w:rsidRPr="006D0278" w:rsidRDefault="00DD1646" w:rsidP="0006442F">
      <w:pPr>
        <w:ind w:left="1440"/>
        <w:jc w:val="both"/>
        <w:rPr>
          <w:lang w:val="nl-NL"/>
        </w:rPr>
      </w:pPr>
      <w:r>
        <w:rPr>
          <w:lang w:val="nl-NL"/>
        </w:rPr>
        <w:t>He</w:t>
      </w:r>
      <w:r w:rsidRPr="006D0278">
        <w:rPr>
          <w:lang w:val="nl-NL"/>
        </w:rPr>
        <w:t xml:space="preserve">t </w:t>
      </w:r>
      <w:r>
        <w:rPr>
          <w:lang w:val="nl-NL"/>
        </w:rPr>
        <w:t>aantal conflicten betreffende daklozen</w:t>
      </w:r>
      <w:r w:rsidR="008E706C" w:rsidRPr="006D0278">
        <w:rPr>
          <w:lang w:val="nl-NL"/>
        </w:rPr>
        <w:t xml:space="preserve"> is </w:t>
      </w:r>
      <w:r w:rsidRPr="006D0278">
        <w:rPr>
          <w:lang w:val="nl-NL"/>
        </w:rPr>
        <w:t>st</w:t>
      </w:r>
      <w:r>
        <w:rPr>
          <w:lang w:val="nl-NL"/>
        </w:rPr>
        <w:t>erk</w:t>
      </w:r>
      <w:r w:rsidRPr="006D0278">
        <w:rPr>
          <w:lang w:val="nl-NL"/>
        </w:rPr>
        <w:t xml:space="preserve"> </w:t>
      </w:r>
      <w:r>
        <w:rPr>
          <w:lang w:val="nl-NL"/>
        </w:rPr>
        <w:t>gestegen in vergelijking met 201</w:t>
      </w:r>
      <w:r w:rsidR="00CC26BF">
        <w:rPr>
          <w:lang w:val="nl-NL"/>
        </w:rPr>
        <w:t>3</w:t>
      </w:r>
      <w:r w:rsidR="008E706C" w:rsidRPr="006D0278">
        <w:rPr>
          <w:lang w:val="nl-NL"/>
        </w:rPr>
        <w:t>.</w:t>
      </w:r>
    </w:p>
    <w:p w:rsidR="00F96962" w:rsidRPr="006D0278" w:rsidRDefault="00F96962" w:rsidP="00F96962">
      <w:pPr>
        <w:ind w:left="900"/>
        <w:jc w:val="both"/>
        <w:rPr>
          <w:lang w:val="nl-NL"/>
        </w:rPr>
      </w:pPr>
    </w:p>
    <w:p w:rsidR="00F96962" w:rsidRPr="006D0278" w:rsidRDefault="00F96962" w:rsidP="00F96962">
      <w:pPr>
        <w:ind w:left="900"/>
        <w:jc w:val="both"/>
        <w:rPr>
          <w:lang w:val="nl-NL"/>
        </w:rPr>
      </w:pPr>
    </w:p>
    <w:p w:rsidR="0006442F" w:rsidRPr="006D0278" w:rsidRDefault="0006442F" w:rsidP="00F96962">
      <w:pPr>
        <w:ind w:left="900"/>
        <w:jc w:val="both"/>
        <w:rPr>
          <w:lang w:val="nl-NL"/>
        </w:rPr>
      </w:pPr>
    </w:p>
    <w:p w:rsidR="00F96962" w:rsidRPr="006D0278" w:rsidRDefault="008E706C" w:rsidP="000145B6">
      <w:pPr>
        <w:pStyle w:val="Titre3"/>
        <w:spacing w:before="0" w:after="0"/>
        <w:rPr>
          <w:b/>
          <w:bCs/>
          <w:sz w:val="24"/>
          <w:u w:val="single"/>
          <w:lang w:val="nl-NL"/>
        </w:rPr>
      </w:pPr>
      <w:bookmarkStart w:id="84" w:name="_Toc423509564"/>
      <w:r w:rsidRPr="006D0278">
        <w:rPr>
          <w:b/>
          <w:bCs/>
          <w:sz w:val="24"/>
          <w:u w:val="single"/>
          <w:lang w:val="nl-NL"/>
        </w:rPr>
        <w:t>2. Wettelijke bepaling</w:t>
      </w:r>
      <w:bookmarkEnd w:id="84"/>
    </w:p>
    <w:p w:rsidR="00F96962" w:rsidRPr="006D0278" w:rsidRDefault="00F96962" w:rsidP="00F96962">
      <w:pPr>
        <w:ind w:left="1080"/>
        <w:jc w:val="both"/>
        <w:rPr>
          <w:lang w:val="nl-NL"/>
        </w:rPr>
      </w:pPr>
    </w:p>
    <w:p w:rsidR="00F96962" w:rsidRPr="006D0278" w:rsidRDefault="008E706C" w:rsidP="00F96962">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lang w:val="nl-NL"/>
        </w:rPr>
        <w:t>Art. 2, §7, van de wet van 1965 april betreffende het ten laste nemen van de steun verleend door de openbare centra voor maatschappelijk welzijn:</w:t>
      </w:r>
    </w:p>
    <w:p w:rsidR="00F96962" w:rsidRPr="006D0278" w:rsidRDefault="008E706C" w:rsidP="00F96962">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bCs/>
          <w:i/>
          <w:lang w:val="nl-NL"/>
        </w:rPr>
        <w:t>"In afwijking van artikel 1,</w:t>
      </w:r>
      <w:r w:rsidR="007A6C00">
        <w:rPr>
          <w:bCs/>
          <w:i/>
          <w:lang w:val="nl-NL"/>
        </w:rPr>
        <w:t xml:space="preserve"> </w:t>
      </w:r>
      <w:r w:rsidRPr="006D0278">
        <w:rPr>
          <w:bCs/>
          <w:i/>
          <w:lang w:val="nl-NL"/>
        </w:rPr>
        <w:t>1°, is bevoegd om maatschappelijke dienstverlening aan een dakloze persoon die niet verblijft in een instelling als bedoeld in § 1 toe te kennen, het openbaar centrum voor maatschappelijk welzijn van de gemeente waar de betrokkene zijn feitelijke verblijfplaats heeft.</w:t>
      </w:r>
    </w:p>
    <w:p w:rsidR="00F96962" w:rsidRPr="006D0278" w:rsidRDefault="00F96962" w:rsidP="00F96962">
      <w:pPr>
        <w:pStyle w:val="Opmaakprofiel1"/>
        <w:ind w:left="720"/>
        <w:rPr>
          <w:u w:val="none"/>
        </w:rPr>
      </w:pPr>
    </w:p>
    <w:p w:rsidR="00F96962" w:rsidRPr="006D0278" w:rsidRDefault="00F96962" w:rsidP="00F96962">
      <w:pPr>
        <w:pStyle w:val="Opmaakprofiel1"/>
        <w:ind w:left="720"/>
        <w:rPr>
          <w:u w:val="none"/>
        </w:rPr>
      </w:pPr>
    </w:p>
    <w:p w:rsidR="00904A8F" w:rsidRPr="006D0278" w:rsidRDefault="00904A8F" w:rsidP="00F96962">
      <w:pPr>
        <w:pStyle w:val="Opmaakprofiel1"/>
        <w:ind w:left="720"/>
        <w:rPr>
          <w:u w:val="none"/>
        </w:rPr>
      </w:pPr>
    </w:p>
    <w:p w:rsidR="00F96962" w:rsidRPr="006D0278" w:rsidRDefault="008E706C" w:rsidP="000145B6">
      <w:pPr>
        <w:pStyle w:val="Titre3"/>
        <w:spacing w:before="0" w:after="0"/>
        <w:ind w:left="720" w:firstLine="0"/>
        <w:jc w:val="both"/>
        <w:rPr>
          <w:b/>
          <w:bCs/>
          <w:sz w:val="24"/>
          <w:u w:val="single"/>
          <w:lang w:val="nl-NL"/>
        </w:rPr>
      </w:pPr>
      <w:bookmarkStart w:id="85" w:name="_Toc423509565"/>
      <w:r w:rsidRPr="006D0278">
        <w:rPr>
          <w:b/>
          <w:bCs/>
          <w:sz w:val="24"/>
          <w:u w:val="single"/>
          <w:lang w:val="nl-NL"/>
        </w:rPr>
        <w:t>3. Opmerkingen over de toepassing van artikel 2, § 7, van de wet van 2 april 1965</w:t>
      </w:r>
      <w:bookmarkEnd w:id="85"/>
    </w:p>
    <w:p w:rsidR="00F96962" w:rsidRPr="006D0278" w:rsidRDefault="00F96962" w:rsidP="00F96962">
      <w:pPr>
        <w:jc w:val="both"/>
        <w:rPr>
          <w:lang w:val="nl-NL"/>
        </w:rPr>
      </w:pPr>
    </w:p>
    <w:p w:rsidR="000145B6" w:rsidRPr="006D0278" w:rsidRDefault="000145B6" w:rsidP="00F96962">
      <w:pPr>
        <w:jc w:val="both"/>
        <w:rPr>
          <w:lang w:val="nl-NL"/>
        </w:rPr>
      </w:pPr>
    </w:p>
    <w:p w:rsidR="00F96962" w:rsidRPr="006D0278" w:rsidRDefault="008E706C" w:rsidP="000145B6">
      <w:pPr>
        <w:pStyle w:val="Titre4"/>
        <w:ind w:left="720" w:firstLine="720"/>
        <w:rPr>
          <w:bCs w:val="0"/>
          <w:iCs/>
          <w:u w:val="single"/>
          <w:lang w:val="nl-NL" w:eastAsia="nl-NL"/>
        </w:rPr>
      </w:pPr>
      <w:bookmarkStart w:id="86" w:name="_Toc423509566"/>
      <w:r w:rsidRPr="006D0278">
        <w:rPr>
          <w:bCs w:val="0"/>
          <w:iCs/>
          <w:u w:val="single"/>
          <w:lang w:val="nl-NL" w:eastAsia="nl-NL"/>
        </w:rPr>
        <w:t>3.1. Begrip dakloze</w:t>
      </w:r>
      <w:bookmarkEnd w:id="86"/>
    </w:p>
    <w:p w:rsidR="00F96962" w:rsidRPr="006D0278" w:rsidRDefault="00F96962" w:rsidP="00F96962">
      <w:pPr>
        <w:autoSpaceDE w:val="0"/>
        <w:autoSpaceDN w:val="0"/>
        <w:adjustRightInd w:val="0"/>
        <w:ind w:left="1260"/>
        <w:jc w:val="both"/>
        <w:rPr>
          <w:lang w:val="nl-NL" w:eastAsia="nl-NL"/>
        </w:rPr>
      </w:pPr>
    </w:p>
    <w:p w:rsidR="00F96962" w:rsidRPr="006D0278" w:rsidRDefault="008E706C" w:rsidP="0006442F">
      <w:pPr>
        <w:autoSpaceDE w:val="0"/>
        <w:autoSpaceDN w:val="0"/>
        <w:adjustRightInd w:val="0"/>
        <w:ind w:left="720"/>
        <w:jc w:val="both"/>
        <w:rPr>
          <w:lang w:val="nl-NL" w:eastAsia="nl-NL"/>
        </w:rPr>
      </w:pPr>
      <w:r w:rsidRPr="006D0278">
        <w:rPr>
          <w:lang w:val="nl-NL" w:eastAsia="nl-NL"/>
        </w:rPr>
        <w:t>Onder dakloze moet verstaan worden, de persoon die niet over een eigen woongelegenheid beschikt, die niet de middelen heeft om daar op eigen krachten voor te zorgen en daardoor geen verblijfplaats heeft of die tijdelijk in een tehuis verblijft in afwachting dat hem een eigen woongelegenheid ter beschikking wordt gesteld. Zijn hier ook inbegrepen, de personen die voorlopig opgevangen worden door particulieren om hen tijdelijk en kortstondig uit de nood te helpen, in afwachting dat betrokkenen een eigen woongelegenheid ter beschikking hebben. Een dakloze persoon die daarentegen op een duurzame wijze gaat samenwonen met iemand verliest zijn hoedanigheid van dakloze</w:t>
      </w:r>
      <w:r w:rsidR="00F96962" w:rsidRPr="0026343C">
        <w:rPr>
          <w:rStyle w:val="Appelnotedebasdep"/>
          <w:lang w:val="fr-FR" w:eastAsia="fr-FR"/>
        </w:rPr>
        <w:footnoteReference w:id="9"/>
      </w:r>
      <w:r w:rsidRPr="006D0278">
        <w:rPr>
          <w:lang w:val="nl-NL" w:eastAsia="fr-FR"/>
        </w:rPr>
        <w:t>.</w:t>
      </w:r>
    </w:p>
    <w:p w:rsidR="00F96962" w:rsidRPr="006D0278" w:rsidRDefault="00F96962" w:rsidP="00F96962">
      <w:pPr>
        <w:jc w:val="both"/>
        <w:rPr>
          <w:lang w:val="nl-NL"/>
        </w:rPr>
      </w:pPr>
    </w:p>
    <w:p w:rsidR="00F96962" w:rsidRPr="006D0278" w:rsidRDefault="008E706C" w:rsidP="0006442F">
      <w:pPr>
        <w:ind w:left="720"/>
        <w:jc w:val="both"/>
        <w:rPr>
          <w:lang w:val="nl-NL"/>
        </w:rPr>
      </w:pPr>
      <w:r w:rsidRPr="006D0278">
        <w:rPr>
          <w:lang w:val="nl-NL"/>
        </w:rPr>
        <w:t xml:space="preserve">Het komt het OCMW toe om de aanvrager al dan niet te kwalificeren als </w:t>
      </w:r>
      <w:r w:rsidR="007A6C00" w:rsidRPr="006D0278">
        <w:rPr>
          <w:lang w:val="nl-NL"/>
        </w:rPr>
        <w:t xml:space="preserve">dakloze. </w:t>
      </w:r>
    </w:p>
    <w:p w:rsidR="009161E4" w:rsidRPr="006D0278" w:rsidRDefault="009161E4" w:rsidP="00F96962">
      <w:pPr>
        <w:ind w:left="900"/>
        <w:jc w:val="both"/>
        <w:rPr>
          <w:lang w:val="nl-NL"/>
        </w:rPr>
      </w:pPr>
    </w:p>
    <w:p w:rsidR="00F96962" w:rsidRPr="006D0278" w:rsidRDefault="00F96962" w:rsidP="00F96962">
      <w:pPr>
        <w:jc w:val="both"/>
        <w:rPr>
          <w:lang w:val="nl-NL"/>
        </w:rPr>
      </w:pPr>
    </w:p>
    <w:p w:rsidR="000145B6" w:rsidRPr="006D0278" w:rsidRDefault="000145B6" w:rsidP="000145B6">
      <w:pPr>
        <w:pStyle w:val="Titre4"/>
        <w:ind w:left="720" w:firstLine="720"/>
        <w:rPr>
          <w:bCs w:val="0"/>
          <w:iCs/>
          <w:u w:val="single"/>
          <w:lang w:val="nl-NL"/>
        </w:rPr>
      </w:pPr>
    </w:p>
    <w:p w:rsidR="00F96962" w:rsidRPr="006D0278" w:rsidRDefault="008E706C" w:rsidP="000145B6">
      <w:pPr>
        <w:pStyle w:val="Titre4"/>
        <w:ind w:left="720" w:firstLine="720"/>
        <w:rPr>
          <w:bCs w:val="0"/>
          <w:iCs/>
          <w:u w:val="single"/>
          <w:lang w:val="nl-NL"/>
        </w:rPr>
      </w:pPr>
      <w:bookmarkStart w:id="87" w:name="_Toc423509567"/>
      <w:r w:rsidRPr="006D0278">
        <w:rPr>
          <w:bCs w:val="0"/>
          <w:iCs/>
          <w:u w:val="single"/>
          <w:lang w:val="nl-NL"/>
        </w:rPr>
        <w:t>3.2. Het bevoegde OCMW</w:t>
      </w:r>
      <w:bookmarkEnd w:id="87"/>
      <w:r w:rsidRPr="006D0278">
        <w:rPr>
          <w:bCs w:val="0"/>
          <w:iCs/>
          <w:u w:val="single"/>
          <w:lang w:val="nl-NL"/>
        </w:rPr>
        <w:t xml:space="preserve"> </w:t>
      </w:r>
    </w:p>
    <w:p w:rsidR="00F96962" w:rsidRPr="006D0278" w:rsidRDefault="00F96962" w:rsidP="00F96962">
      <w:pPr>
        <w:ind w:left="1260"/>
        <w:jc w:val="both"/>
        <w:rPr>
          <w:lang w:val="nl-NL"/>
        </w:rPr>
      </w:pPr>
    </w:p>
    <w:p w:rsidR="00F96962" w:rsidRPr="006D0278" w:rsidRDefault="008E706C" w:rsidP="00F96962">
      <w:pPr>
        <w:ind w:left="900"/>
        <w:jc w:val="both"/>
        <w:rPr>
          <w:lang w:val="nl-NL"/>
        </w:rPr>
      </w:pPr>
      <w:r w:rsidRPr="006D0278">
        <w:rPr>
          <w:lang w:val="nl-NL"/>
        </w:rPr>
        <w:t xml:space="preserve"> Het bevoegde OCMW om een dakloze te </w:t>
      </w:r>
      <w:r w:rsidR="007A6C00" w:rsidRPr="006D0278">
        <w:rPr>
          <w:lang w:val="nl-NL"/>
        </w:rPr>
        <w:t>hulp</w:t>
      </w:r>
      <w:r w:rsidRPr="006D0278">
        <w:rPr>
          <w:lang w:val="nl-NL"/>
        </w:rPr>
        <w:t xml:space="preserve"> te komen is het OCMW van de gemeente waar de dakloze zijn feitelijke verblijfplaats heeft, zelfs wanneer hij niet permanent in deze gemeente verblijft en zelfs wanneer hij gedomicilieerd is in een andere gemeente of ingeschreven is</w:t>
      </w:r>
      <w:r w:rsidR="007A6C00">
        <w:rPr>
          <w:lang w:val="nl-NL"/>
        </w:rPr>
        <w:t xml:space="preserve"> op</w:t>
      </w:r>
      <w:r w:rsidRPr="006D0278">
        <w:rPr>
          <w:lang w:val="nl-NL"/>
        </w:rPr>
        <w:t xml:space="preserve"> een referentieadres bij een ander OCMW.</w:t>
      </w:r>
    </w:p>
    <w:p w:rsidR="00F96962" w:rsidRPr="006D0278" w:rsidRDefault="00F96962" w:rsidP="00F96962">
      <w:pPr>
        <w:ind w:left="900"/>
        <w:jc w:val="both"/>
        <w:rPr>
          <w:lang w:val="nl-NL"/>
        </w:rPr>
      </w:pPr>
    </w:p>
    <w:p w:rsidR="00F96962" w:rsidRPr="006D0278" w:rsidRDefault="008E706C" w:rsidP="00F96962">
      <w:pPr>
        <w:ind w:left="900"/>
        <w:jc w:val="both"/>
        <w:rPr>
          <w:sz w:val="25"/>
          <w:szCs w:val="25"/>
          <w:lang w:val="nl-NL" w:eastAsia="fr-FR"/>
        </w:rPr>
      </w:pPr>
      <w:r w:rsidRPr="006D0278">
        <w:rPr>
          <w:lang w:val="nl-NL"/>
        </w:rPr>
        <w:t xml:space="preserve">De moeilijkheden hebben vooral te maken met discussies over de feitelijke verblijfplaats van de dakloze op het ogenblik van zijn </w:t>
      </w:r>
      <w:r w:rsidR="007A6C00" w:rsidRPr="006D0278">
        <w:rPr>
          <w:lang w:val="nl-NL"/>
        </w:rPr>
        <w:t xml:space="preserve">steunaanvraag. </w:t>
      </w:r>
      <w:r w:rsidRPr="006D0278">
        <w:rPr>
          <w:sz w:val="25"/>
          <w:szCs w:val="25"/>
          <w:lang w:val="nl-NL" w:eastAsia="fr-FR"/>
        </w:rPr>
        <w:t xml:space="preserve">Om het bevoegde OCMW te bepalen, moet men zich baseren op de feitelijke toestand op het moment van de steunaanvraag. Deze feitelijke verblijfplaats onderscheidt zich van het begrip gewoonlijke verblijfplaats die wordt toegepast op personen waarvan het verblijf op het grondgebied van de gemeente een blijvend </w:t>
      </w:r>
      <w:r w:rsidR="007A6C00">
        <w:rPr>
          <w:sz w:val="25"/>
          <w:szCs w:val="25"/>
          <w:lang w:val="nl-NL" w:eastAsia="fr-FR"/>
        </w:rPr>
        <w:t xml:space="preserve">duurzaam </w:t>
      </w:r>
      <w:r w:rsidRPr="006D0278">
        <w:rPr>
          <w:sz w:val="25"/>
          <w:szCs w:val="25"/>
          <w:lang w:val="nl-NL" w:eastAsia="fr-FR"/>
        </w:rPr>
        <w:t>karakte</w:t>
      </w:r>
      <w:r w:rsidR="007A6C00">
        <w:rPr>
          <w:sz w:val="25"/>
          <w:szCs w:val="25"/>
          <w:lang w:val="nl-NL" w:eastAsia="fr-FR"/>
        </w:rPr>
        <w:t>r</w:t>
      </w:r>
      <w:r w:rsidRPr="006D0278">
        <w:rPr>
          <w:sz w:val="25"/>
          <w:szCs w:val="25"/>
          <w:lang w:val="nl-NL" w:eastAsia="fr-FR"/>
        </w:rPr>
        <w:t xml:space="preserve"> heeft. </w:t>
      </w:r>
    </w:p>
    <w:p w:rsidR="00F96962" w:rsidRPr="006D0278" w:rsidRDefault="00F96962" w:rsidP="00F96962">
      <w:pPr>
        <w:autoSpaceDE w:val="0"/>
        <w:autoSpaceDN w:val="0"/>
        <w:adjustRightInd w:val="0"/>
        <w:ind w:left="1440"/>
        <w:jc w:val="both"/>
        <w:rPr>
          <w:sz w:val="25"/>
          <w:szCs w:val="25"/>
          <w:lang w:val="nl-NL" w:eastAsia="fr-FR"/>
        </w:rPr>
      </w:pPr>
    </w:p>
    <w:p w:rsidR="00F96962" w:rsidRPr="006D0278" w:rsidRDefault="00F96962" w:rsidP="00F96962">
      <w:pPr>
        <w:autoSpaceDE w:val="0"/>
        <w:autoSpaceDN w:val="0"/>
        <w:adjustRightInd w:val="0"/>
        <w:ind w:left="1440"/>
        <w:jc w:val="both"/>
        <w:rPr>
          <w:sz w:val="25"/>
          <w:szCs w:val="25"/>
          <w:lang w:val="nl-NL" w:eastAsia="fr-FR"/>
        </w:rPr>
      </w:pPr>
    </w:p>
    <w:p w:rsidR="00F96962" w:rsidRPr="006D0278" w:rsidRDefault="008E706C" w:rsidP="000145B6">
      <w:pPr>
        <w:pStyle w:val="Titre4"/>
        <w:ind w:left="720" w:firstLine="720"/>
        <w:rPr>
          <w:bCs w:val="0"/>
          <w:iCs/>
          <w:szCs w:val="25"/>
          <w:u w:val="single"/>
          <w:lang w:val="nl-NL" w:eastAsia="fr-FR"/>
        </w:rPr>
      </w:pPr>
      <w:bookmarkStart w:id="88" w:name="_Toc423509568"/>
      <w:r w:rsidRPr="006D0278">
        <w:rPr>
          <w:bCs w:val="0"/>
          <w:iCs/>
          <w:u w:val="single"/>
          <w:lang w:val="nl-NL" w:eastAsia="fr-FR"/>
        </w:rPr>
        <w:t>3.3. Het referentieadres</w:t>
      </w:r>
      <w:bookmarkEnd w:id="88"/>
    </w:p>
    <w:p w:rsidR="00F96962" w:rsidRPr="006D0278" w:rsidRDefault="00F96962" w:rsidP="00F96962">
      <w:pPr>
        <w:autoSpaceDE w:val="0"/>
        <w:autoSpaceDN w:val="0"/>
        <w:adjustRightInd w:val="0"/>
        <w:ind w:left="900"/>
        <w:jc w:val="both"/>
        <w:rPr>
          <w:lang w:val="nl-NL" w:eastAsia="fr-FR"/>
        </w:rPr>
      </w:pPr>
    </w:p>
    <w:p w:rsidR="00F96962" w:rsidRPr="006D0278" w:rsidRDefault="008E706C" w:rsidP="00F96962">
      <w:pPr>
        <w:autoSpaceDE w:val="0"/>
        <w:autoSpaceDN w:val="0"/>
        <w:adjustRightInd w:val="0"/>
        <w:ind w:left="900"/>
        <w:jc w:val="both"/>
        <w:rPr>
          <w:sz w:val="25"/>
          <w:szCs w:val="25"/>
          <w:lang w:val="nl-NL" w:eastAsia="fr-FR"/>
        </w:rPr>
      </w:pPr>
      <w:r w:rsidRPr="006D0278">
        <w:rPr>
          <w:lang w:val="nl-NL" w:eastAsia="fr-FR"/>
        </w:rPr>
        <w:t>Het referentieadres bepaalt de territoriale bevoegdheid van een OCMW niet.</w:t>
      </w:r>
    </w:p>
    <w:p w:rsidR="00F96962" w:rsidRDefault="008E706C" w:rsidP="00F96962">
      <w:pPr>
        <w:autoSpaceDE w:val="0"/>
        <w:autoSpaceDN w:val="0"/>
        <w:adjustRightInd w:val="0"/>
        <w:ind w:left="900"/>
        <w:jc w:val="both"/>
        <w:rPr>
          <w:sz w:val="25"/>
          <w:szCs w:val="25"/>
          <w:lang w:val="nl-NL" w:eastAsia="fr-FR"/>
        </w:rPr>
      </w:pPr>
      <w:r w:rsidRPr="006D0278">
        <w:rPr>
          <w:sz w:val="25"/>
          <w:szCs w:val="25"/>
          <w:lang w:val="nl-NL" w:eastAsia="fr-FR"/>
        </w:rPr>
        <w:t xml:space="preserve">Wanneer een dakloze een referentieadres heeft bij OCMW X, mag OCMW Y de inschrijving als referentieadres in de andere gemeente X niet aanwenden om de maatschappelijke dienstverlening te weigeren, terwijl de dakloze reeds zijn feitelijke verblijfplaats heeft op haar grondgebied. </w:t>
      </w:r>
    </w:p>
    <w:p w:rsidR="007A6C00" w:rsidRPr="006D0278" w:rsidRDefault="007A6C00" w:rsidP="00F96962">
      <w:pPr>
        <w:autoSpaceDE w:val="0"/>
        <w:autoSpaceDN w:val="0"/>
        <w:adjustRightInd w:val="0"/>
        <w:ind w:left="900"/>
        <w:jc w:val="both"/>
        <w:rPr>
          <w:sz w:val="25"/>
          <w:szCs w:val="25"/>
          <w:lang w:val="nl-NL" w:eastAsia="fr-FR"/>
        </w:rPr>
      </w:pPr>
    </w:p>
    <w:p w:rsidR="00F96962" w:rsidRPr="006D0278" w:rsidRDefault="00F96962" w:rsidP="00F96962">
      <w:pPr>
        <w:autoSpaceDE w:val="0"/>
        <w:autoSpaceDN w:val="0"/>
        <w:adjustRightInd w:val="0"/>
        <w:ind w:left="900"/>
        <w:jc w:val="both"/>
        <w:rPr>
          <w:sz w:val="25"/>
          <w:szCs w:val="25"/>
          <w:lang w:val="nl-NL" w:eastAsia="fr-FR"/>
        </w:rPr>
      </w:pPr>
    </w:p>
    <w:p w:rsidR="00F96962" w:rsidRPr="006D0278" w:rsidRDefault="008E706C" w:rsidP="000145B6">
      <w:pPr>
        <w:pStyle w:val="Titre4"/>
        <w:ind w:left="1440"/>
        <w:rPr>
          <w:bCs w:val="0"/>
          <w:szCs w:val="25"/>
          <w:u w:val="single"/>
          <w:lang w:val="nl-NL" w:eastAsia="fr-FR"/>
        </w:rPr>
      </w:pPr>
      <w:bookmarkStart w:id="89" w:name="_Toc423509569"/>
      <w:r w:rsidRPr="006D0278">
        <w:rPr>
          <w:bCs w:val="0"/>
          <w:u w:val="single"/>
          <w:lang w:val="nl-NL"/>
        </w:rPr>
        <w:t>3.4. De dakloze verblijft in één van de instellingen bedoeld in artikel 2, §1, van dezelfde wet</w:t>
      </w:r>
      <w:bookmarkEnd w:id="89"/>
    </w:p>
    <w:p w:rsidR="00F96962" w:rsidRPr="006D0278" w:rsidRDefault="00F96962" w:rsidP="00F96962">
      <w:pPr>
        <w:jc w:val="both"/>
        <w:rPr>
          <w:lang w:val="nl-NL"/>
        </w:rPr>
      </w:pPr>
    </w:p>
    <w:p w:rsidR="00F96962" w:rsidRPr="006D0278" w:rsidRDefault="008E706C" w:rsidP="00F96962">
      <w:pPr>
        <w:ind w:left="900"/>
        <w:jc w:val="both"/>
        <w:rPr>
          <w:lang w:val="nl-NL"/>
        </w:rPr>
      </w:pPr>
      <w:r w:rsidRPr="006D0278">
        <w:rPr>
          <w:lang w:val="nl-NL"/>
        </w:rPr>
        <w:t>De wet voorziet erin dat wanneer de dakloze verblijft in een van de instellingen bedoeld in artikel 2, §1, van dezelfde wet (erkend opvangtehuis, psychiatrisch ziekenhuis, erkend rusthuis, enz.), de bevoegdheidregel van artikel 2, §1, van toepassing is. Het OCMW van de gemeente waar de dakloze was ingeschreven op het ogenblik van zijn opname in de instelling is bevoegd.</w:t>
      </w:r>
    </w:p>
    <w:p w:rsidR="00F96962" w:rsidRPr="006D0278" w:rsidRDefault="00F96962" w:rsidP="00F96962">
      <w:pPr>
        <w:ind w:left="900"/>
        <w:jc w:val="both"/>
        <w:rPr>
          <w:lang w:val="nl-NL"/>
        </w:rPr>
      </w:pPr>
    </w:p>
    <w:p w:rsidR="00F96962" w:rsidRPr="006D0278" w:rsidRDefault="008E706C" w:rsidP="00F96962">
      <w:pPr>
        <w:ind w:left="900"/>
        <w:jc w:val="both"/>
        <w:rPr>
          <w:lang w:val="nl-NL"/>
        </w:rPr>
      </w:pPr>
      <w:r w:rsidRPr="006D0278">
        <w:rPr>
          <w:lang w:val="nl-NL"/>
        </w:rPr>
        <w:t>Wanneer de dakloze niet ingeschreven is in de registers of geen inschrijving heeft "als hoofdverblijfplaats", maar een inschrijving heeft al</w:t>
      </w:r>
      <w:r w:rsidR="007A6C00">
        <w:rPr>
          <w:lang w:val="nl-NL"/>
        </w:rPr>
        <w:t>s "referentieadres", zal men</w:t>
      </w:r>
      <w:r w:rsidRPr="006D0278">
        <w:rPr>
          <w:lang w:val="nl-NL"/>
        </w:rPr>
        <w:t xml:space="preserve"> terugvallen op de algemene bevoegdheidsregel van de gewoonlijke verblijfplaats. Het </w:t>
      </w:r>
      <w:r w:rsidR="007A6C00">
        <w:rPr>
          <w:lang w:val="nl-NL"/>
        </w:rPr>
        <w:t xml:space="preserve">zal het </w:t>
      </w:r>
      <w:r w:rsidRPr="006D0278">
        <w:rPr>
          <w:lang w:val="nl-NL"/>
        </w:rPr>
        <w:t>OCMW van de plaats zijn waar de bet</w:t>
      </w:r>
      <w:r w:rsidR="007A6C00">
        <w:rPr>
          <w:lang w:val="nl-NL"/>
        </w:rPr>
        <w:t>rokken instelling gevestigd is die</w:t>
      </w:r>
      <w:r w:rsidRPr="006D0278">
        <w:rPr>
          <w:lang w:val="nl-NL"/>
        </w:rPr>
        <w:t xml:space="preserve"> bevoegd </w:t>
      </w:r>
      <w:r w:rsidR="007A6C00">
        <w:rPr>
          <w:lang w:val="nl-NL"/>
        </w:rPr>
        <w:t xml:space="preserve">zal </w:t>
      </w:r>
      <w:r w:rsidRPr="006D0278">
        <w:rPr>
          <w:lang w:val="nl-NL"/>
        </w:rPr>
        <w:t>zijn.</w:t>
      </w:r>
    </w:p>
    <w:p w:rsidR="003D41B4" w:rsidRPr="006D0278" w:rsidRDefault="003D41B4" w:rsidP="003D41B4">
      <w:pPr>
        <w:pStyle w:val="Letter"/>
        <w:ind w:left="360" w:firstLine="360"/>
        <w:jc w:val="both"/>
        <w:rPr>
          <w:rFonts w:ascii="Times New Roman" w:hAnsi="Times New Roman"/>
          <w:sz w:val="24"/>
          <w:szCs w:val="24"/>
          <w:u w:val="single"/>
          <w:lang w:val="nl-NL"/>
        </w:rPr>
      </w:pPr>
    </w:p>
    <w:p w:rsidR="00191942" w:rsidRPr="006D0278" w:rsidRDefault="00191942" w:rsidP="00191942">
      <w:pPr>
        <w:rPr>
          <w:lang w:val="nl-NL"/>
        </w:rPr>
      </w:pPr>
    </w:p>
    <w:p w:rsidR="00464092" w:rsidRPr="000A1966" w:rsidRDefault="00464092" w:rsidP="000A1966">
      <w:pPr>
        <w:pStyle w:val="Titre1"/>
        <w:pBdr>
          <w:top w:val="single" w:sz="4" w:space="1" w:color="auto"/>
          <w:left w:val="single" w:sz="4" w:space="4" w:color="auto"/>
          <w:bottom w:val="single" w:sz="4" w:space="1" w:color="auto"/>
          <w:right w:val="single" w:sz="4" w:space="4" w:color="auto"/>
        </w:pBdr>
        <w:jc w:val="both"/>
        <w:rPr>
          <w:lang w:val="nl-NL"/>
        </w:rPr>
      </w:pPr>
      <w:r w:rsidRPr="006D0278">
        <w:rPr>
          <w:lang w:val="nl-NL"/>
        </w:rPr>
        <w:br w:type="page"/>
      </w:r>
      <w:bookmarkStart w:id="90" w:name="_Toc423509570"/>
      <w:r w:rsidR="008E706C" w:rsidRPr="000A1966">
        <w:rPr>
          <w:lang w:val="nl-NL"/>
        </w:rPr>
        <w:lastRenderedPageBreak/>
        <w:t>I</w:t>
      </w:r>
      <w:bookmarkStart w:id="91" w:name="_Toc199312604"/>
      <w:r w:rsidR="008E706C" w:rsidRPr="000A1966">
        <w:rPr>
          <w:lang w:val="nl-NL"/>
        </w:rPr>
        <w:t>V. Acties en voorstellen van de Dienst Bevoegdheidsconflicten om de OCMW's te helpen bij het behandelen van de bevoegdheids</w:t>
      </w:r>
      <w:bookmarkEnd w:id="91"/>
      <w:r w:rsidR="008E706C" w:rsidRPr="000A1966">
        <w:rPr>
          <w:lang w:val="nl-NL"/>
        </w:rPr>
        <w:t>conflicten</w:t>
      </w:r>
      <w:bookmarkEnd w:id="90"/>
      <w:r w:rsidR="008E706C" w:rsidRPr="000A1966">
        <w:rPr>
          <w:lang w:val="nl-NL"/>
        </w:rPr>
        <w:t xml:space="preserve"> </w:t>
      </w:r>
    </w:p>
    <w:p w:rsidR="00464092" w:rsidRPr="006D0278" w:rsidRDefault="00464092" w:rsidP="00464092">
      <w:pPr>
        <w:jc w:val="both"/>
        <w:rPr>
          <w:lang w:val="nl-NL"/>
        </w:rPr>
      </w:pPr>
    </w:p>
    <w:p w:rsidR="00464092" w:rsidRPr="006D0278" w:rsidRDefault="00464092" w:rsidP="00464092">
      <w:pPr>
        <w:jc w:val="both"/>
        <w:rPr>
          <w:lang w:val="nl-NL"/>
        </w:rPr>
      </w:pPr>
    </w:p>
    <w:p w:rsidR="00CD422A" w:rsidRPr="006D0278" w:rsidRDefault="008E706C" w:rsidP="00464092">
      <w:pPr>
        <w:jc w:val="both"/>
        <w:rPr>
          <w:lang w:val="nl-NL"/>
        </w:rPr>
      </w:pPr>
      <w:r w:rsidRPr="006D0278">
        <w:rPr>
          <w:lang w:val="nl-NL"/>
        </w:rPr>
        <w:t>Om de OCMW’s zo goed mogelijk te informeren, heeft de Dienst Bevoegdheidsconflicten een aantal FAQ</w:t>
      </w:r>
      <w:r w:rsidR="007A6C00">
        <w:rPr>
          <w:lang w:val="nl-NL"/>
        </w:rPr>
        <w:t>’</w:t>
      </w:r>
      <w:r w:rsidRPr="006D0278">
        <w:rPr>
          <w:lang w:val="nl-NL"/>
        </w:rPr>
        <w:t>s opgesteld</w:t>
      </w:r>
      <w:r w:rsidR="007A6C00">
        <w:rPr>
          <w:lang w:val="nl-NL"/>
        </w:rPr>
        <w:t xml:space="preserve"> </w:t>
      </w:r>
      <w:r w:rsidRPr="006D0278">
        <w:rPr>
          <w:lang w:val="nl-NL"/>
        </w:rPr>
        <w:t xml:space="preserve">en op de website geplaatst van de POD Maatschappelijke Integratie </w:t>
      </w:r>
      <w:r w:rsidR="007A6C00">
        <w:rPr>
          <w:lang w:val="nl-NL"/>
        </w:rPr>
        <w:t>m.b.t.</w:t>
      </w:r>
      <w:r w:rsidRPr="006D0278">
        <w:rPr>
          <w:lang w:val="nl-NL"/>
        </w:rPr>
        <w:t xml:space="preserve"> de diverse territoriale bevoegdheidsregels van de OCMW's.  </w:t>
      </w:r>
    </w:p>
    <w:p w:rsidR="00CD422A" w:rsidRPr="006D0278" w:rsidRDefault="00CD422A" w:rsidP="00464092">
      <w:pPr>
        <w:jc w:val="both"/>
        <w:rPr>
          <w:lang w:val="nl-NL"/>
        </w:rPr>
      </w:pPr>
    </w:p>
    <w:p w:rsidR="00464092" w:rsidRPr="006D0278" w:rsidRDefault="008E706C" w:rsidP="00464092">
      <w:pPr>
        <w:jc w:val="both"/>
        <w:rPr>
          <w:lang w:val="nl-NL"/>
        </w:rPr>
      </w:pPr>
      <w:r w:rsidRPr="006D0278">
        <w:rPr>
          <w:lang w:val="nl-NL"/>
        </w:rPr>
        <w:t>In het belang van de steunaanvrager geeft de dienst proactief adviezen aan de OCMW’s over de concrete toepassing van deze verschillende regels in specifieke situaties, zodat bevoegdheidsconflicten tussen OCMW’s kunnen worden vermeden.</w:t>
      </w:r>
    </w:p>
    <w:p w:rsidR="002A274B" w:rsidRPr="006D0278" w:rsidRDefault="002A274B" w:rsidP="00464092">
      <w:pPr>
        <w:jc w:val="both"/>
        <w:rPr>
          <w:lang w:val="nl-NL"/>
        </w:rPr>
      </w:pPr>
    </w:p>
    <w:p w:rsidR="00464092" w:rsidRPr="006D0278" w:rsidRDefault="008E706C" w:rsidP="00464092">
      <w:pPr>
        <w:jc w:val="both"/>
        <w:rPr>
          <w:lang w:val="nl-NL"/>
        </w:rPr>
      </w:pPr>
      <w:r w:rsidRPr="006D0278">
        <w:rPr>
          <w:lang w:val="nl-NL"/>
        </w:rPr>
        <w:t>Met het oog op de administratieve vereenvoudiging en de verbetering van de procedure tot oplossing van bevoegdheidsconflicten, wordt gebruik gemaakt van de elektronische handtekening en verloopt de communicatie naar de OCMW’s via elektronische weg.</w:t>
      </w:r>
    </w:p>
    <w:p w:rsidR="00191942" w:rsidRPr="006D0278" w:rsidRDefault="00191942" w:rsidP="00191942">
      <w:pPr>
        <w:rPr>
          <w:lang w:val="nl-NL"/>
        </w:rPr>
      </w:pPr>
    </w:p>
    <w:p w:rsidR="00161F9B" w:rsidRDefault="008E706C" w:rsidP="00161F9B">
      <w:pPr>
        <w:jc w:val="both"/>
        <w:rPr>
          <w:lang w:val="nl-NL"/>
        </w:rPr>
      </w:pPr>
      <w:r w:rsidRPr="006D0278">
        <w:rPr>
          <w:lang w:val="nl-NL"/>
        </w:rPr>
        <w:t xml:space="preserve">Om onmiddellijk over alle juridische en feitelijke elementen te kunnen beschikken om met alle kennis van zaken een beslissing te kunnen nemen, heeft de Dienst Bevoegdheidsconflicten het </w:t>
      </w:r>
      <w:r w:rsidRPr="00CD7A69">
        <w:rPr>
          <w:lang w:val="nl-NL"/>
        </w:rPr>
        <w:t xml:space="preserve">aanvraagformulier </w:t>
      </w:r>
      <w:r w:rsidRPr="006D0278">
        <w:rPr>
          <w:lang w:val="nl-NL"/>
        </w:rPr>
        <w:t>tot regeling van een bevoegdheidsconflict aangepast, zodat de OCMW's duidelijke informatie bezorgen over de toestand van de steunaanvrager door het formulier in te vullen.</w:t>
      </w:r>
    </w:p>
    <w:p w:rsidR="00240726" w:rsidRDefault="00240726" w:rsidP="00161F9B">
      <w:pPr>
        <w:jc w:val="both"/>
        <w:rPr>
          <w:lang w:val="nl-NL"/>
        </w:rPr>
      </w:pPr>
    </w:p>
    <w:p w:rsidR="00240726" w:rsidRPr="00CC26BF" w:rsidRDefault="00240726" w:rsidP="00161F9B">
      <w:pPr>
        <w:jc w:val="both"/>
        <w:rPr>
          <w:lang w:val="fr-BE"/>
        </w:rPr>
      </w:pPr>
    </w:p>
    <w:p w:rsidR="00240726" w:rsidRPr="00655650" w:rsidRDefault="00424CE2" w:rsidP="00161F9B">
      <w:pPr>
        <w:jc w:val="both"/>
        <w:rPr>
          <w:lang w:val="nl-NL"/>
        </w:rPr>
      </w:pPr>
      <w:r w:rsidRPr="00655650">
        <w:rPr>
          <w:lang w:val="nl-NL"/>
        </w:rPr>
        <w:t xml:space="preserve">Een interactief electronisch formulier is ontworpen en is beschikbaar op de website van de POD Maatschappelijke Integratie : </w:t>
      </w:r>
      <w:hyperlink r:id="rId18" w:history="1">
        <w:r w:rsidRPr="00655650">
          <w:rPr>
            <w:rStyle w:val="Lienhypertexte"/>
            <w:lang w:val="nl-NL"/>
          </w:rPr>
          <w:t>www.mi-is.be</w:t>
        </w:r>
      </w:hyperlink>
      <w:r w:rsidRPr="00655650">
        <w:rPr>
          <w:lang w:val="nl-NL"/>
        </w:rPr>
        <w:t>, in de rubriek OCMW’s, Bevoegdheidsconflicten, Documenten, Formulieren, Aanvraagformulier om een bevoegdheidsconflict op te lossen : interactieve versie.</w:t>
      </w:r>
    </w:p>
    <w:p w:rsidR="00240726" w:rsidRDefault="00240726" w:rsidP="00161F9B">
      <w:pPr>
        <w:jc w:val="both"/>
        <w:rPr>
          <w:lang w:val="nl-NL"/>
        </w:rPr>
      </w:pPr>
    </w:p>
    <w:p w:rsidR="00240726" w:rsidRDefault="00240726" w:rsidP="00161F9B">
      <w:pPr>
        <w:jc w:val="both"/>
        <w:rPr>
          <w:lang w:val="nl-NL"/>
        </w:rPr>
      </w:pPr>
    </w:p>
    <w:p w:rsidR="00240726" w:rsidRDefault="00240726" w:rsidP="00161F9B">
      <w:pPr>
        <w:jc w:val="both"/>
        <w:rPr>
          <w:lang w:val="nl-NL"/>
        </w:rPr>
      </w:pPr>
    </w:p>
    <w:p w:rsidR="00240726" w:rsidRDefault="00240726" w:rsidP="00161F9B">
      <w:pPr>
        <w:jc w:val="both"/>
        <w:rPr>
          <w:lang w:val="nl-NL"/>
        </w:rPr>
      </w:pPr>
    </w:p>
    <w:p w:rsidR="00240726" w:rsidRPr="006D0278" w:rsidRDefault="00240726" w:rsidP="00161F9B">
      <w:pPr>
        <w:jc w:val="both"/>
        <w:rPr>
          <w:lang w:val="nl-NL"/>
        </w:rPr>
      </w:pPr>
    </w:p>
    <w:p w:rsidR="00161F9B" w:rsidRPr="006D0278" w:rsidRDefault="00161F9B" w:rsidP="00191942">
      <w:pPr>
        <w:rPr>
          <w:lang w:val="nl-NL"/>
        </w:rPr>
      </w:pPr>
    </w:p>
    <w:sectPr w:rsidR="00161F9B" w:rsidRPr="006D0278" w:rsidSect="009D6688">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48" w:rsidRDefault="007C0B48">
      <w:r>
        <w:separator/>
      </w:r>
    </w:p>
  </w:endnote>
  <w:endnote w:type="continuationSeparator" w:id="0">
    <w:p w:rsidR="007C0B48" w:rsidRDefault="007C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NAJNLA+Tahom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48" w:rsidRDefault="007C0B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39</w:t>
    </w:r>
    <w:r>
      <w:rPr>
        <w:rStyle w:val="Numrodepage"/>
      </w:rPr>
      <w:fldChar w:fldCharType="end"/>
    </w:r>
  </w:p>
  <w:p w:rsidR="007C0B48" w:rsidRDefault="007C0B4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48" w:rsidRDefault="007C0B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E7175">
      <w:rPr>
        <w:rStyle w:val="Numrodepage"/>
        <w:noProof/>
      </w:rPr>
      <w:t>1</w:t>
    </w:r>
    <w:r>
      <w:rPr>
        <w:rStyle w:val="Numrodepage"/>
      </w:rPr>
      <w:fldChar w:fldCharType="end"/>
    </w:r>
  </w:p>
  <w:p w:rsidR="007C0B48" w:rsidRDefault="007C0B4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48" w:rsidRDefault="007C0B48">
      <w:r>
        <w:separator/>
      </w:r>
    </w:p>
  </w:footnote>
  <w:footnote w:type="continuationSeparator" w:id="0">
    <w:p w:rsidR="007C0B48" w:rsidRDefault="007C0B48">
      <w:r>
        <w:continuationSeparator/>
      </w:r>
    </w:p>
  </w:footnote>
  <w:footnote w:id="1">
    <w:p w:rsidR="007C0B48" w:rsidRPr="006D0278" w:rsidRDefault="007C0B48" w:rsidP="001D07A6">
      <w:pPr>
        <w:pStyle w:val="Notedebasdepage"/>
        <w:rPr>
          <w:lang w:val="nl-NL"/>
        </w:rPr>
      </w:pPr>
      <w:r>
        <w:rPr>
          <w:rStyle w:val="Appelnotedebasdep"/>
        </w:rPr>
        <w:footnoteRef/>
      </w:r>
      <w:r w:rsidRPr="006D0278">
        <w:rPr>
          <w:lang w:val="nl-NL"/>
        </w:rPr>
        <w:t xml:space="preserve"> </w:t>
      </w:r>
      <w:r w:rsidRPr="006D0278">
        <w:rPr>
          <w:sz w:val="24"/>
          <w:szCs w:val="24"/>
          <w:lang w:val="nl-NL"/>
        </w:rPr>
        <w:t xml:space="preserve">Er wordt </w:t>
      </w:r>
      <w:r>
        <w:rPr>
          <w:sz w:val="24"/>
          <w:szCs w:val="24"/>
          <w:lang w:val="nl-NL"/>
        </w:rPr>
        <w:t>dus</w:t>
      </w:r>
      <w:r w:rsidRPr="006D0278">
        <w:rPr>
          <w:sz w:val="24"/>
          <w:szCs w:val="24"/>
          <w:lang w:val="nl-NL"/>
        </w:rPr>
        <w:t xml:space="preserve"> geen rekening gehouden met onontvankelijke dossiers en de aanvragen zonder voorwerp.</w:t>
      </w:r>
    </w:p>
  </w:footnote>
  <w:footnote w:id="2">
    <w:p w:rsidR="007C0B48" w:rsidRPr="00CF1F2D" w:rsidRDefault="007C0B48" w:rsidP="009011AE">
      <w:pPr>
        <w:pStyle w:val="Notedebasdepage"/>
        <w:jc w:val="both"/>
        <w:rPr>
          <w:lang w:val="nl-NL"/>
        </w:rPr>
      </w:pPr>
      <w:r>
        <w:rPr>
          <w:rStyle w:val="Appelnotedebasdep"/>
        </w:rPr>
        <w:footnoteRef/>
      </w:r>
      <w:r w:rsidRPr="00CF1F2D">
        <w:rPr>
          <w:lang w:val="nl-NL"/>
        </w:rPr>
        <w:t xml:space="preserve"> </w:t>
      </w:r>
      <w:r w:rsidRPr="009011AE">
        <w:rPr>
          <w:sz w:val="18"/>
          <w:szCs w:val="18"/>
          <w:lang w:val="nl-NL"/>
        </w:rPr>
        <w:t>Gemiddelde tevredenheidsgraad bij alle ondervraagde stakeholders in %, als antwoord op de vraag: ‘ Wat is uw tevredenheidsgraad ten overstaan van de verwezenlijkingen van de Juridische dienst qua bevoegdheidsconflicten?’</w:t>
      </w:r>
    </w:p>
  </w:footnote>
  <w:footnote w:id="3">
    <w:p w:rsidR="007C0B48" w:rsidRPr="006D0278" w:rsidRDefault="007C0B48" w:rsidP="00DB7A15">
      <w:pPr>
        <w:pStyle w:val="Notedebasdepage"/>
        <w:rPr>
          <w:lang w:val="nl-NL"/>
        </w:rPr>
      </w:pPr>
      <w:r>
        <w:rPr>
          <w:rStyle w:val="Appelnotedebasdep"/>
        </w:rPr>
        <w:footnoteRef/>
      </w:r>
      <w:r w:rsidRPr="006D0278">
        <w:rPr>
          <w:lang w:val="nl-NL"/>
        </w:rPr>
        <w:t xml:space="preserve"> </w:t>
      </w:r>
      <w:r w:rsidRPr="006D0278">
        <w:rPr>
          <w:sz w:val="24"/>
          <w:szCs w:val="24"/>
          <w:lang w:val="nl-NL"/>
        </w:rPr>
        <w:t>Er wordt hier geen rekening gehouden met onontvankelijke dossiers en de aanvragen zonder voorwerp.</w:t>
      </w:r>
    </w:p>
  </w:footnote>
  <w:footnote w:id="4">
    <w:p w:rsidR="007C0B48" w:rsidRPr="006D0278" w:rsidRDefault="007C0B48" w:rsidP="0056642D">
      <w:pPr>
        <w:pStyle w:val="Notedebasdepage"/>
        <w:rPr>
          <w:lang w:val="nl-NL"/>
        </w:rPr>
      </w:pPr>
      <w:r w:rsidRPr="00BE42C4">
        <w:rPr>
          <w:rStyle w:val="Appelnotedebasdep"/>
        </w:rPr>
        <w:footnoteRef/>
      </w:r>
      <w:r w:rsidRPr="006D0278">
        <w:rPr>
          <w:lang w:val="nl-NL"/>
        </w:rPr>
        <w:t>Kamer, 14/12/2004, CRIV 51 COM 438, vraag nr. V5104722, p.14</w:t>
      </w:r>
    </w:p>
  </w:footnote>
  <w:footnote w:id="5">
    <w:p w:rsidR="007C0B48" w:rsidRPr="006D0278" w:rsidRDefault="007C0B48" w:rsidP="00EF2DFE">
      <w:pPr>
        <w:pStyle w:val="Notedebasdepage"/>
        <w:jc w:val="both"/>
        <w:rPr>
          <w:lang w:val="nl-NL"/>
        </w:rPr>
      </w:pPr>
      <w:r>
        <w:rPr>
          <w:rStyle w:val="Appelnotedebasdep"/>
        </w:rPr>
        <w:footnoteRef/>
      </w:r>
      <w:r w:rsidRPr="006D0278">
        <w:rPr>
          <w:lang w:val="nl-NL"/>
        </w:rPr>
        <w:t xml:space="preserve">  De wet van 24 mei 1994 tot oprichting van een wachtregister voor vreemdelingen die zich vluchteling verklaren of die vragen om als vluchteling te worden erkend (B.S. van 21.07.1994) heeft een paragraaf 5 toegevoegd aan artikel 2 van de wet van 02.04.1965 die voorziet in een bijzonder bevoegdheidsregel voor de kandidaat-vluchtelingen.</w:t>
      </w:r>
    </w:p>
  </w:footnote>
  <w:footnote w:id="6">
    <w:p w:rsidR="007C0B48" w:rsidRPr="006D0278" w:rsidRDefault="007C0B48" w:rsidP="00A353AD">
      <w:pPr>
        <w:pStyle w:val="Notedebasdepage"/>
        <w:jc w:val="both"/>
        <w:rPr>
          <w:lang w:val="nl-NL"/>
        </w:rPr>
      </w:pPr>
      <w:r w:rsidRPr="00216542">
        <w:rPr>
          <w:rStyle w:val="Appelnotedebasdep"/>
          <w:sz w:val="22"/>
        </w:rPr>
        <w:footnoteRef/>
      </w:r>
      <w:r w:rsidRPr="006D0278">
        <w:rPr>
          <w:lang w:val="nl-NL"/>
        </w:rPr>
        <w:t xml:space="preserve"> Overeenkomstig de omzendbrief</w:t>
      </w:r>
      <w:r>
        <w:rPr>
          <w:lang w:val="nl-NL"/>
        </w:rPr>
        <w:t xml:space="preserve"> </w:t>
      </w:r>
      <w:r w:rsidRPr="006D0278">
        <w:rPr>
          <w:lang w:val="nl-NL"/>
        </w:rPr>
        <w:t>van de Minister van Binnenlandse Zaken van 30 oktober 1995 betreffende het houden van het wachtregister.</w:t>
      </w:r>
    </w:p>
  </w:footnote>
  <w:footnote w:id="7">
    <w:p w:rsidR="007C0B48" w:rsidRPr="006D0278" w:rsidRDefault="007C0B48" w:rsidP="00F00091">
      <w:pPr>
        <w:pStyle w:val="Notedebasdepage"/>
        <w:jc w:val="both"/>
        <w:rPr>
          <w:lang w:val="nl-NL"/>
        </w:rPr>
      </w:pPr>
      <w:r>
        <w:rPr>
          <w:rStyle w:val="Appelnotedebasdep"/>
        </w:rPr>
        <w:footnoteRef/>
      </w:r>
      <w:r w:rsidRPr="006D0278">
        <w:rPr>
          <w:lang w:val="nl-NL"/>
        </w:rPr>
        <w:t xml:space="preserve"> Krachtens de wet van 15/12/1980 betreffende de toegang tot het grondgebied, het verblijf, de vestiging en de verwijdering van vreemdelingen wordt de kandidaat-vluchteling erkend als vluchteling op de datum van de beslissing tot erkenning van de hoedanigheid van vluchteling van de Commissaris-generaal voor de vluchtelingen en de staatlozen.</w:t>
      </w:r>
    </w:p>
  </w:footnote>
  <w:footnote w:id="8">
    <w:p w:rsidR="007C0B48" w:rsidRPr="006D0278" w:rsidRDefault="007C0B48" w:rsidP="008D6529">
      <w:pPr>
        <w:pStyle w:val="Notedebasdepage"/>
        <w:rPr>
          <w:lang w:val="nl-NL"/>
        </w:rPr>
      </w:pPr>
      <w:r>
        <w:rPr>
          <w:rStyle w:val="Appelnotedebasdep"/>
        </w:rPr>
        <w:footnoteRef/>
      </w:r>
      <w:r w:rsidRPr="006D0278">
        <w:rPr>
          <w:lang w:val="nl-NL"/>
        </w:rPr>
        <w:t xml:space="preserve"> </w:t>
      </w:r>
      <w:r w:rsidRPr="006D0278">
        <w:rPr>
          <w:sz w:val="18"/>
          <w:szCs w:val="18"/>
          <w:lang w:val="nl-NL"/>
        </w:rPr>
        <w:t>Doc. Parl. Kamer, nr. 52/1608/001, p.11.</w:t>
      </w:r>
    </w:p>
  </w:footnote>
  <w:footnote w:id="9">
    <w:p w:rsidR="007C0B48" w:rsidRPr="006D0278" w:rsidRDefault="007C0B48" w:rsidP="00F96962">
      <w:pPr>
        <w:autoSpaceDE w:val="0"/>
        <w:autoSpaceDN w:val="0"/>
        <w:adjustRightInd w:val="0"/>
        <w:jc w:val="both"/>
        <w:rPr>
          <w:lang w:val="nl-NL"/>
        </w:rPr>
      </w:pPr>
      <w:r>
        <w:rPr>
          <w:rStyle w:val="Appelnotedebasdep"/>
        </w:rPr>
        <w:footnoteRef/>
      </w:r>
      <w:r w:rsidRPr="006D0278">
        <w:rPr>
          <w:lang w:val="nl-NL"/>
        </w:rPr>
        <w:t xml:space="preserve"> </w:t>
      </w:r>
      <w:r w:rsidRPr="006D0278">
        <w:rPr>
          <w:sz w:val="20"/>
          <w:szCs w:val="20"/>
          <w:lang w:val="nl-NL"/>
        </w:rPr>
        <w:t>Omzendbrief van 07/05/2007 betreffende de wet van 26 oktober 2006 tot wijziging van de wet van 26 mei 2002 betreffende het recht op maatschappelijke integratie, tot aanmoediging van de inspanning die een openbaar centrum voor maatschappelijk welzijn levert voor de integratie van daklozen.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767"/>
    <w:multiLevelType w:val="multilevel"/>
    <w:tmpl w:val="6930DA02"/>
    <w:lvl w:ilvl="0">
      <w:start w:val="1"/>
      <w:numFmt w:val="decimal"/>
      <w:lvlText w:val="%1."/>
      <w:lvlJc w:val="left"/>
      <w:pPr>
        <w:tabs>
          <w:tab w:val="num" w:pos="720"/>
        </w:tabs>
        <w:ind w:left="720" w:hanging="360"/>
      </w:pPr>
    </w:lvl>
    <w:lvl w:ilvl="1">
      <w:start w:val="2"/>
      <w:numFmt w:val="decimal"/>
      <w:isLgl/>
      <w:lvlText w:val="%1.%2."/>
      <w:lvlJc w:val="left"/>
      <w:pPr>
        <w:ind w:left="112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09344519"/>
    <w:multiLevelType w:val="hybridMultilevel"/>
    <w:tmpl w:val="3B6286B8"/>
    <w:lvl w:ilvl="0" w:tplc="4CB66A4A">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nsid w:val="105F33A5"/>
    <w:multiLevelType w:val="hybridMultilevel"/>
    <w:tmpl w:val="87844548"/>
    <w:lvl w:ilvl="0" w:tplc="C1E28248">
      <w:numFmt w:val="bullet"/>
      <w:lvlText w:val="-"/>
      <w:lvlJc w:val="left"/>
      <w:pPr>
        <w:tabs>
          <w:tab w:val="num" w:pos="1100"/>
        </w:tabs>
        <w:ind w:left="1100" w:hanging="540"/>
      </w:pPr>
      <w:rPr>
        <w:rFonts w:ascii="Arial" w:eastAsia="Times New Roman" w:hAnsi="Arial" w:cs="Arial" w:hint="default"/>
      </w:rPr>
    </w:lvl>
    <w:lvl w:ilvl="1" w:tplc="040C0003" w:tentative="1">
      <w:start w:val="1"/>
      <w:numFmt w:val="bullet"/>
      <w:lvlText w:val="o"/>
      <w:lvlJc w:val="left"/>
      <w:pPr>
        <w:tabs>
          <w:tab w:val="num" w:pos="1640"/>
        </w:tabs>
        <w:ind w:left="1640" w:hanging="360"/>
      </w:pPr>
      <w:rPr>
        <w:rFonts w:ascii="Courier New" w:hAnsi="Courier New" w:cs="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cs="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cs="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3">
    <w:nsid w:val="1A82108C"/>
    <w:multiLevelType w:val="hybridMultilevel"/>
    <w:tmpl w:val="3870B18E"/>
    <w:lvl w:ilvl="0" w:tplc="0809000F">
      <w:start w:val="2"/>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D267806"/>
    <w:multiLevelType w:val="hybridMultilevel"/>
    <w:tmpl w:val="6C8EDC8C"/>
    <w:lvl w:ilvl="0" w:tplc="5616105E">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5">
    <w:nsid w:val="1E7D6221"/>
    <w:multiLevelType w:val="hybridMultilevel"/>
    <w:tmpl w:val="FD9275D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29B4355"/>
    <w:multiLevelType w:val="hybridMultilevel"/>
    <w:tmpl w:val="E132DD30"/>
    <w:lvl w:ilvl="0" w:tplc="C1E28248">
      <w:numFmt w:val="bullet"/>
      <w:lvlText w:val="-"/>
      <w:lvlJc w:val="left"/>
      <w:pPr>
        <w:tabs>
          <w:tab w:val="num" w:pos="1440"/>
        </w:tabs>
        <w:ind w:left="1440" w:hanging="540"/>
      </w:pPr>
      <w:rPr>
        <w:rFonts w:ascii="Arial" w:eastAsia="Times New Roman" w:hAnsi="Arial" w:cs="Arial"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7">
    <w:nsid w:val="24DE185F"/>
    <w:multiLevelType w:val="hybridMultilevel"/>
    <w:tmpl w:val="70EC7412"/>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8">
    <w:nsid w:val="25EC1A61"/>
    <w:multiLevelType w:val="hybridMultilevel"/>
    <w:tmpl w:val="0A3883FE"/>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nsid w:val="282D0962"/>
    <w:multiLevelType w:val="hybridMultilevel"/>
    <w:tmpl w:val="319A4F88"/>
    <w:lvl w:ilvl="0" w:tplc="C30EAAF6">
      <w:start w:val="1"/>
      <w:numFmt w:val="bullet"/>
      <w:lvlText w:val="-"/>
      <w:lvlJc w:val="left"/>
      <w:pPr>
        <w:tabs>
          <w:tab w:val="num" w:pos="2520"/>
        </w:tabs>
        <w:ind w:left="2520" w:hanging="360"/>
      </w:pPr>
      <w:rPr>
        <w:rFonts w:ascii="Times New Roman" w:eastAsia="Times New Roman" w:hAnsi="Times New Roman" w:cs="Times New Roman" w:hint="default"/>
      </w:rPr>
    </w:lvl>
    <w:lvl w:ilvl="1" w:tplc="040C0005">
      <w:start w:val="1"/>
      <w:numFmt w:val="bullet"/>
      <w:lvlText w:val=""/>
      <w:lvlJc w:val="left"/>
      <w:pPr>
        <w:tabs>
          <w:tab w:val="num" w:pos="2160"/>
        </w:tabs>
        <w:ind w:left="2160" w:hanging="360"/>
      </w:pPr>
      <w:rPr>
        <w:rFonts w:ascii="Wingdings" w:hAnsi="Wingdings"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3BBE2FAC"/>
    <w:multiLevelType w:val="multilevel"/>
    <w:tmpl w:val="5F906BA4"/>
    <w:lvl w:ilvl="0">
      <w:start w:val="1"/>
      <w:numFmt w:val="decimal"/>
      <w:lvlText w:val="%1."/>
      <w:lvlJc w:val="left"/>
      <w:pPr>
        <w:ind w:left="12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140" w:hanging="1800"/>
      </w:pPr>
      <w:rPr>
        <w:rFonts w:hint="default"/>
      </w:rPr>
    </w:lvl>
  </w:abstractNum>
  <w:abstractNum w:abstractNumId="11">
    <w:nsid w:val="3CDC1230"/>
    <w:multiLevelType w:val="hybridMultilevel"/>
    <w:tmpl w:val="6862E8C2"/>
    <w:lvl w:ilvl="0" w:tplc="040C0005">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3F0723F1"/>
    <w:multiLevelType w:val="hybridMultilevel"/>
    <w:tmpl w:val="3726212E"/>
    <w:lvl w:ilvl="0" w:tplc="1D70C084">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nsid w:val="410D5E5A"/>
    <w:multiLevelType w:val="hybridMultilevel"/>
    <w:tmpl w:val="2CF0471C"/>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4">
    <w:nsid w:val="45AB6AED"/>
    <w:multiLevelType w:val="hybridMultilevel"/>
    <w:tmpl w:val="C5886D82"/>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5">
    <w:nsid w:val="4C0D5A84"/>
    <w:multiLevelType w:val="hybridMultilevel"/>
    <w:tmpl w:val="2EF86184"/>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4F827EC4"/>
    <w:multiLevelType w:val="hybridMultilevel"/>
    <w:tmpl w:val="1C6224E4"/>
    <w:lvl w:ilvl="0" w:tplc="A224C88C">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7">
    <w:nsid w:val="50131EF6"/>
    <w:multiLevelType w:val="hybridMultilevel"/>
    <w:tmpl w:val="84AAFAD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0DC5926"/>
    <w:multiLevelType w:val="hybridMultilevel"/>
    <w:tmpl w:val="961C2F08"/>
    <w:lvl w:ilvl="0" w:tplc="EFBEF26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4F21057"/>
    <w:multiLevelType w:val="hybridMultilevel"/>
    <w:tmpl w:val="25C417F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nsid w:val="59AA1460"/>
    <w:multiLevelType w:val="hybridMultilevel"/>
    <w:tmpl w:val="FA648140"/>
    <w:lvl w:ilvl="0" w:tplc="46C0A54C">
      <w:start w:val="1"/>
      <w:numFmt w:val="lowerLetter"/>
      <w:lvlText w:val="%1)"/>
      <w:lvlJc w:val="left"/>
      <w:pPr>
        <w:ind w:left="1800" w:hanging="360"/>
      </w:pPr>
      <w:rPr>
        <w:rFonts w:hint="default"/>
      </w:rPr>
    </w:lvl>
    <w:lvl w:ilvl="1" w:tplc="080C0019">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1">
    <w:nsid w:val="5AF07C64"/>
    <w:multiLevelType w:val="hybridMultilevel"/>
    <w:tmpl w:val="BA087E5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BF80770"/>
    <w:multiLevelType w:val="hybridMultilevel"/>
    <w:tmpl w:val="FB3CBB08"/>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nsid w:val="61CF0CC1"/>
    <w:multiLevelType w:val="hybridMultilevel"/>
    <w:tmpl w:val="545CD2F0"/>
    <w:lvl w:ilvl="0" w:tplc="555C3AF6">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65E67D2C"/>
    <w:multiLevelType w:val="hybridMultilevel"/>
    <w:tmpl w:val="25C0AEAE"/>
    <w:lvl w:ilvl="0" w:tplc="080C000F">
      <w:start w:val="1"/>
      <w:numFmt w:val="decimal"/>
      <w:lvlText w:val="%1."/>
      <w:lvlJc w:val="left"/>
      <w:pPr>
        <w:ind w:left="1080" w:hanging="360"/>
      </w:pPr>
      <w:rPr>
        <w:rFonts w:hint="default"/>
      </w:rPr>
    </w:lvl>
    <w:lvl w:ilvl="1" w:tplc="F8545C68">
      <w:start w:val="2"/>
      <w:numFmt w:val="upperLetter"/>
      <w:lvlText w:val="%2."/>
      <w:lvlJc w:val="left"/>
      <w:pPr>
        <w:tabs>
          <w:tab w:val="num" w:pos="1800"/>
        </w:tabs>
        <w:ind w:left="1800" w:hanging="360"/>
      </w:pPr>
      <w:rPr>
        <w:rFonts w:hint="default"/>
      </w:rPr>
    </w:lvl>
    <w:lvl w:ilvl="2" w:tplc="FBDA75EC">
      <w:start w:val="2"/>
      <w:numFmt w:val="decimal"/>
      <w:lvlText w:val="%3)"/>
      <w:lvlJc w:val="left"/>
      <w:pPr>
        <w:tabs>
          <w:tab w:val="num" w:pos="2700"/>
        </w:tabs>
        <w:ind w:left="2700" w:hanging="360"/>
      </w:pPr>
      <w:rPr>
        <w:rFonts w:hint="default"/>
      </w:r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nsid w:val="67EE6BA2"/>
    <w:multiLevelType w:val="multilevel"/>
    <w:tmpl w:val="1166C854"/>
    <w:lvl w:ilvl="0">
      <w:start w:val="1"/>
      <w:numFmt w:val="decimal"/>
      <w:lvlText w:val="%1."/>
      <w:lvlJc w:val="left"/>
      <w:pPr>
        <w:ind w:left="126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140"/>
        </w:tabs>
        <w:ind w:left="414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580"/>
        </w:tabs>
        <w:ind w:left="5580" w:hanging="1440"/>
      </w:pPr>
      <w:rPr>
        <w:rFonts w:hint="default"/>
      </w:rPr>
    </w:lvl>
    <w:lvl w:ilvl="7">
      <w:start w:val="1"/>
      <w:numFmt w:val="decimal"/>
      <w:isLgl/>
      <w:lvlText w:val="%1.%2.%3.%4.%5.%6.%7.%8."/>
      <w:lvlJc w:val="left"/>
      <w:pPr>
        <w:tabs>
          <w:tab w:val="num" w:pos="6120"/>
        </w:tabs>
        <w:ind w:left="6120" w:hanging="1440"/>
      </w:pPr>
      <w:rPr>
        <w:rFonts w:hint="default"/>
      </w:rPr>
    </w:lvl>
    <w:lvl w:ilvl="8">
      <w:start w:val="1"/>
      <w:numFmt w:val="decimal"/>
      <w:isLgl/>
      <w:lvlText w:val="%1.%2.%3.%4.%5.%6.%7.%8.%9."/>
      <w:lvlJc w:val="left"/>
      <w:pPr>
        <w:tabs>
          <w:tab w:val="num" w:pos="7020"/>
        </w:tabs>
        <w:ind w:left="7020" w:hanging="1800"/>
      </w:pPr>
      <w:rPr>
        <w:rFonts w:hint="default"/>
      </w:rPr>
    </w:lvl>
  </w:abstractNum>
  <w:abstractNum w:abstractNumId="26">
    <w:nsid w:val="6CF846F4"/>
    <w:multiLevelType w:val="hybridMultilevel"/>
    <w:tmpl w:val="FF12DF04"/>
    <w:lvl w:ilvl="0" w:tplc="C30EAAF6">
      <w:start w:val="1"/>
      <w:numFmt w:val="bullet"/>
      <w:lvlText w:val="-"/>
      <w:lvlJc w:val="left"/>
      <w:pPr>
        <w:tabs>
          <w:tab w:val="num" w:pos="1800"/>
        </w:tabs>
        <w:ind w:left="1800" w:hanging="360"/>
      </w:pPr>
      <w:rPr>
        <w:rFonts w:ascii="Times New Roman" w:eastAsia="Times New Roman" w:hAnsi="Times New Roman"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nsid w:val="6D8A03CF"/>
    <w:multiLevelType w:val="hybridMultilevel"/>
    <w:tmpl w:val="C840EAF2"/>
    <w:lvl w:ilvl="0" w:tplc="080C000B">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8">
    <w:nsid w:val="6FD80467"/>
    <w:multiLevelType w:val="hybridMultilevel"/>
    <w:tmpl w:val="77AC96CE"/>
    <w:lvl w:ilvl="0" w:tplc="DDF0E520">
      <w:start w:val="1"/>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9">
    <w:nsid w:val="71C849D7"/>
    <w:multiLevelType w:val="hybridMultilevel"/>
    <w:tmpl w:val="2752C17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4065572"/>
    <w:multiLevelType w:val="hybridMultilevel"/>
    <w:tmpl w:val="B966126A"/>
    <w:lvl w:ilvl="0" w:tplc="17429A3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nsid w:val="758D04C7"/>
    <w:multiLevelType w:val="hybridMultilevel"/>
    <w:tmpl w:val="F9BAECE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18"/>
  </w:num>
  <w:num w:numId="3">
    <w:abstractNumId w:val="26"/>
  </w:num>
  <w:num w:numId="4">
    <w:abstractNumId w:val="3"/>
  </w:num>
  <w:num w:numId="5">
    <w:abstractNumId w:val="1"/>
  </w:num>
  <w:num w:numId="6">
    <w:abstractNumId w:val="19"/>
  </w:num>
  <w:num w:numId="7">
    <w:abstractNumId w:val="12"/>
  </w:num>
  <w:num w:numId="8">
    <w:abstractNumId w:val="8"/>
  </w:num>
  <w:num w:numId="9">
    <w:abstractNumId w:val="0"/>
  </w:num>
  <w:num w:numId="10">
    <w:abstractNumId w:val="30"/>
  </w:num>
  <w:num w:numId="11">
    <w:abstractNumId w:val="9"/>
  </w:num>
  <w:num w:numId="12">
    <w:abstractNumId w:val="23"/>
  </w:num>
  <w:num w:numId="13">
    <w:abstractNumId w:val="4"/>
  </w:num>
  <w:num w:numId="14">
    <w:abstractNumId w:val="24"/>
  </w:num>
  <w:num w:numId="15">
    <w:abstractNumId w:val="25"/>
  </w:num>
  <w:num w:numId="16">
    <w:abstractNumId w:val="10"/>
  </w:num>
  <w:num w:numId="17">
    <w:abstractNumId w:val="22"/>
  </w:num>
  <w:num w:numId="18">
    <w:abstractNumId w:val="7"/>
  </w:num>
  <w:num w:numId="19">
    <w:abstractNumId w:val="11"/>
  </w:num>
  <w:num w:numId="20">
    <w:abstractNumId w:val="29"/>
  </w:num>
  <w:num w:numId="21">
    <w:abstractNumId w:val="15"/>
  </w:num>
  <w:num w:numId="22">
    <w:abstractNumId w:val="31"/>
  </w:num>
  <w:num w:numId="23">
    <w:abstractNumId w:val="6"/>
  </w:num>
  <w:num w:numId="24">
    <w:abstractNumId w:val="2"/>
  </w:num>
  <w:num w:numId="25">
    <w:abstractNumId w:val="17"/>
  </w:num>
  <w:num w:numId="26">
    <w:abstractNumId w:val="16"/>
  </w:num>
  <w:num w:numId="27">
    <w:abstractNumId w:val="20"/>
  </w:num>
  <w:num w:numId="28">
    <w:abstractNumId w:val="13"/>
  </w:num>
  <w:num w:numId="29">
    <w:abstractNumId w:val="5"/>
  </w:num>
  <w:num w:numId="30">
    <w:abstractNumId w:val="14"/>
  </w:num>
  <w:num w:numId="31">
    <w:abstractNumId w:val="21"/>
  </w:num>
  <w:num w:numId="3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w_prof" w:val="@default@"/>
  </w:docVars>
  <w:rsids>
    <w:rsidRoot w:val="00BD1685"/>
    <w:rsid w:val="00004A25"/>
    <w:rsid w:val="00006549"/>
    <w:rsid w:val="000072BE"/>
    <w:rsid w:val="00007652"/>
    <w:rsid w:val="000077E5"/>
    <w:rsid w:val="000145B6"/>
    <w:rsid w:val="00014758"/>
    <w:rsid w:val="0002059C"/>
    <w:rsid w:val="00024247"/>
    <w:rsid w:val="0002480D"/>
    <w:rsid w:val="000251CA"/>
    <w:rsid w:val="00025AA7"/>
    <w:rsid w:val="000308E0"/>
    <w:rsid w:val="000322D0"/>
    <w:rsid w:val="000372E5"/>
    <w:rsid w:val="00041D9B"/>
    <w:rsid w:val="00043507"/>
    <w:rsid w:val="00045EB5"/>
    <w:rsid w:val="00050870"/>
    <w:rsid w:val="00052B7E"/>
    <w:rsid w:val="00055029"/>
    <w:rsid w:val="000579B8"/>
    <w:rsid w:val="00062345"/>
    <w:rsid w:val="0006442F"/>
    <w:rsid w:val="00064CF8"/>
    <w:rsid w:val="00070672"/>
    <w:rsid w:val="00072535"/>
    <w:rsid w:val="000729EC"/>
    <w:rsid w:val="000743A9"/>
    <w:rsid w:val="00075090"/>
    <w:rsid w:val="0007583D"/>
    <w:rsid w:val="00077F0B"/>
    <w:rsid w:val="00080F90"/>
    <w:rsid w:val="00082913"/>
    <w:rsid w:val="00085A6E"/>
    <w:rsid w:val="000861CE"/>
    <w:rsid w:val="000901F2"/>
    <w:rsid w:val="00092002"/>
    <w:rsid w:val="00093DEB"/>
    <w:rsid w:val="00096984"/>
    <w:rsid w:val="000A1296"/>
    <w:rsid w:val="000A174A"/>
    <w:rsid w:val="000A1966"/>
    <w:rsid w:val="000A2DEA"/>
    <w:rsid w:val="000A5F0C"/>
    <w:rsid w:val="000A67E3"/>
    <w:rsid w:val="000B0CBB"/>
    <w:rsid w:val="000B2430"/>
    <w:rsid w:val="000B588B"/>
    <w:rsid w:val="000B62C2"/>
    <w:rsid w:val="000B7A4A"/>
    <w:rsid w:val="000C16D2"/>
    <w:rsid w:val="000C1E2C"/>
    <w:rsid w:val="000C50EC"/>
    <w:rsid w:val="000D1800"/>
    <w:rsid w:val="000D259D"/>
    <w:rsid w:val="000D335E"/>
    <w:rsid w:val="000D4DBC"/>
    <w:rsid w:val="000D532E"/>
    <w:rsid w:val="000D70EC"/>
    <w:rsid w:val="000E1C2A"/>
    <w:rsid w:val="000E37FB"/>
    <w:rsid w:val="000E4C64"/>
    <w:rsid w:val="000E531B"/>
    <w:rsid w:val="000E6974"/>
    <w:rsid w:val="000F0381"/>
    <w:rsid w:val="000F53EF"/>
    <w:rsid w:val="001015DB"/>
    <w:rsid w:val="00102302"/>
    <w:rsid w:val="00102A75"/>
    <w:rsid w:val="00104172"/>
    <w:rsid w:val="00110986"/>
    <w:rsid w:val="00111864"/>
    <w:rsid w:val="001157D0"/>
    <w:rsid w:val="00116A32"/>
    <w:rsid w:val="0012170D"/>
    <w:rsid w:val="00127B97"/>
    <w:rsid w:val="00130B3E"/>
    <w:rsid w:val="00130BE0"/>
    <w:rsid w:val="00131457"/>
    <w:rsid w:val="00132F44"/>
    <w:rsid w:val="001332A5"/>
    <w:rsid w:val="0013358E"/>
    <w:rsid w:val="001335F9"/>
    <w:rsid w:val="001336AC"/>
    <w:rsid w:val="0013393B"/>
    <w:rsid w:val="0013431F"/>
    <w:rsid w:val="00134C80"/>
    <w:rsid w:val="00136795"/>
    <w:rsid w:val="00136E2A"/>
    <w:rsid w:val="00140DB1"/>
    <w:rsid w:val="001421EB"/>
    <w:rsid w:val="00144A50"/>
    <w:rsid w:val="00145577"/>
    <w:rsid w:val="00146A27"/>
    <w:rsid w:val="00150F29"/>
    <w:rsid w:val="00151BD2"/>
    <w:rsid w:val="00156101"/>
    <w:rsid w:val="001614F4"/>
    <w:rsid w:val="001615F7"/>
    <w:rsid w:val="00161F9B"/>
    <w:rsid w:val="00163F31"/>
    <w:rsid w:val="001641EB"/>
    <w:rsid w:val="001653F7"/>
    <w:rsid w:val="001700CB"/>
    <w:rsid w:val="001702EC"/>
    <w:rsid w:val="00171B62"/>
    <w:rsid w:val="00176FE0"/>
    <w:rsid w:val="001773FE"/>
    <w:rsid w:val="00177E94"/>
    <w:rsid w:val="00181914"/>
    <w:rsid w:val="0018622E"/>
    <w:rsid w:val="00191942"/>
    <w:rsid w:val="0019194A"/>
    <w:rsid w:val="001A0FDB"/>
    <w:rsid w:val="001A1AB0"/>
    <w:rsid w:val="001A2287"/>
    <w:rsid w:val="001A24D7"/>
    <w:rsid w:val="001A3A9B"/>
    <w:rsid w:val="001A4C52"/>
    <w:rsid w:val="001A61BD"/>
    <w:rsid w:val="001B023F"/>
    <w:rsid w:val="001B13A8"/>
    <w:rsid w:val="001B235A"/>
    <w:rsid w:val="001B4CAD"/>
    <w:rsid w:val="001C0301"/>
    <w:rsid w:val="001C1E01"/>
    <w:rsid w:val="001C6E66"/>
    <w:rsid w:val="001D07A6"/>
    <w:rsid w:val="001D0B69"/>
    <w:rsid w:val="001D1B90"/>
    <w:rsid w:val="001D4267"/>
    <w:rsid w:val="001D57CE"/>
    <w:rsid w:val="001D66B4"/>
    <w:rsid w:val="001D718E"/>
    <w:rsid w:val="001D7A90"/>
    <w:rsid w:val="001E5C47"/>
    <w:rsid w:val="001E604F"/>
    <w:rsid w:val="001F12F1"/>
    <w:rsid w:val="001F138E"/>
    <w:rsid w:val="001F17DC"/>
    <w:rsid w:val="001F394B"/>
    <w:rsid w:val="001F4D0F"/>
    <w:rsid w:val="002001DC"/>
    <w:rsid w:val="002018E1"/>
    <w:rsid w:val="00201D4E"/>
    <w:rsid w:val="002024FC"/>
    <w:rsid w:val="0020394A"/>
    <w:rsid w:val="002105B4"/>
    <w:rsid w:val="00214DA1"/>
    <w:rsid w:val="00214FEF"/>
    <w:rsid w:val="00216775"/>
    <w:rsid w:val="0021749A"/>
    <w:rsid w:val="00220C3C"/>
    <w:rsid w:val="002210C1"/>
    <w:rsid w:val="002213A3"/>
    <w:rsid w:val="00221B13"/>
    <w:rsid w:val="00222D69"/>
    <w:rsid w:val="0022590B"/>
    <w:rsid w:val="00225991"/>
    <w:rsid w:val="0022652F"/>
    <w:rsid w:val="00226946"/>
    <w:rsid w:val="00226BAD"/>
    <w:rsid w:val="0022795E"/>
    <w:rsid w:val="00230968"/>
    <w:rsid w:val="00230DDC"/>
    <w:rsid w:val="00233D17"/>
    <w:rsid w:val="00234BC4"/>
    <w:rsid w:val="00240726"/>
    <w:rsid w:val="00241185"/>
    <w:rsid w:val="002422E1"/>
    <w:rsid w:val="00242815"/>
    <w:rsid w:val="00242CBB"/>
    <w:rsid w:val="0024570B"/>
    <w:rsid w:val="00245FB5"/>
    <w:rsid w:val="00246B1B"/>
    <w:rsid w:val="00247B91"/>
    <w:rsid w:val="00250E7B"/>
    <w:rsid w:val="00257C37"/>
    <w:rsid w:val="00262EAE"/>
    <w:rsid w:val="0026343C"/>
    <w:rsid w:val="002653FF"/>
    <w:rsid w:val="002668EA"/>
    <w:rsid w:val="00267C5A"/>
    <w:rsid w:val="00270191"/>
    <w:rsid w:val="002710D0"/>
    <w:rsid w:val="00271C3C"/>
    <w:rsid w:val="00272476"/>
    <w:rsid w:val="00277ADA"/>
    <w:rsid w:val="00277DB7"/>
    <w:rsid w:val="00277E29"/>
    <w:rsid w:val="00281247"/>
    <w:rsid w:val="002838FD"/>
    <w:rsid w:val="002872BB"/>
    <w:rsid w:val="002911AC"/>
    <w:rsid w:val="00292548"/>
    <w:rsid w:val="0029691B"/>
    <w:rsid w:val="00296A2B"/>
    <w:rsid w:val="00296D5D"/>
    <w:rsid w:val="002A1B46"/>
    <w:rsid w:val="002A274B"/>
    <w:rsid w:val="002A4346"/>
    <w:rsid w:val="002B0198"/>
    <w:rsid w:val="002B0D8F"/>
    <w:rsid w:val="002B1856"/>
    <w:rsid w:val="002B535D"/>
    <w:rsid w:val="002B7A22"/>
    <w:rsid w:val="002C2969"/>
    <w:rsid w:val="002C526B"/>
    <w:rsid w:val="002D2B37"/>
    <w:rsid w:val="002D393D"/>
    <w:rsid w:val="002D406C"/>
    <w:rsid w:val="002D61BF"/>
    <w:rsid w:val="002D7634"/>
    <w:rsid w:val="002E0FF3"/>
    <w:rsid w:val="002E59DD"/>
    <w:rsid w:val="002E6527"/>
    <w:rsid w:val="002E7175"/>
    <w:rsid w:val="002F2F9C"/>
    <w:rsid w:val="002F4F24"/>
    <w:rsid w:val="002F5490"/>
    <w:rsid w:val="002F6832"/>
    <w:rsid w:val="002F6D38"/>
    <w:rsid w:val="0030020B"/>
    <w:rsid w:val="003003B6"/>
    <w:rsid w:val="0030541E"/>
    <w:rsid w:val="00305A3A"/>
    <w:rsid w:val="0030616C"/>
    <w:rsid w:val="003136EF"/>
    <w:rsid w:val="003152B6"/>
    <w:rsid w:val="0031589C"/>
    <w:rsid w:val="0031595E"/>
    <w:rsid w:val="00316A91"/>
    <w:rsid w:val="0031752A"/>
    <w:rsid w:val="00317DC2"/>
    <w:rsid w:val="0032285A"/>
    <w:rsid w:val="00322F19"/>
    <w:rsid w:val="00323F90"/>
    <w:rsid w:val="00325CA5"/>
    <w:rsid w:val="00326ACE"/>
    <w:rsid w:val="00326B3B"/>
    <w:rsid w:val="0033058E"/>
    <w:rsid w:val="00330DAC"/>
    <w:rsid w:val="00332164"/>
    <w:rsid w:val="003328AC"/>
    <w:rsid w:val="003331CF"/>
    <w:rsid w:val="00334A69"/>
    <w:rsid w:val="003403AD"/>
    <w:rsid w:val="00341034"/>
    <w:rsid w:val="00341C0E"/>
    <w:rsid w:val="00344282"/>
    <w:rsid w:val="003449FF"/>
    <w:rsid w:val="00344F0A"/>
    <w:rsid w:val="00346A96"/>
    <w:rsid w:val="0034746C"/>
    <w:rsid w:val="0034772F"/>
    <w:rsid w:val="00351821"/>
    <w:rsid w:val="003532E7"/>
    <w:rsid w:val="00356FA9"/>
    <w:rsid w:val="003571CA"/>
    <w:rsid w:val="00372F94"/>
    <w:rsid w:val="00373537"/>
    <w:rsid w:val="00374FCF"/>
    <w:rsid w:val="00376C37"/>
    <w:rsid w:val="00377DBB"/>
    <w:rsid w:val="00381A84"/>
    <w:rsid w:val="00381E9B"/>
    <w:rsid w:val="0038394A"/>
    <w:rsid w:val="00383E3D"/>
    <w:rsid w:val="003863B5"/>
    <w:rsid w:val="00390527"/>
    <w:rsid w:val="003915BC"/>
    <w:rsid w:val="003919E1"/>
    <w:rsid w:val="00393A06"/>
    <w:rsid w:val="003961EE"/>
    <w:rsid w:val="003A0AC1"/>
    <w:rsid w:val="003A0E9C"/>
    <w:rsid w:val="003A199E"/>
    <w:rsid w:val="003A6DA2"/>
    <w:rsid w:val="003A708A"/>
    <w:rsid w:val="003B046B"/>
    <w:rsid w:val="003B192A"/>
    <w:rsid w:val="003B3643"/>
    <w:rsid w:val="003B4606"/>
    <w:rsid w:val="003B4ABE"/>
    <w:rsid w:val="003B667A"/>
    <w:rsid w:val="003B6DC0"/>
    <w:rsid w:val="003C1CD4"/>
    <w:rsid w:val="003C292B"/>
    <w:rsid w:val="003C6341"/>
    <w:rsid w:val="003C7E41"/>
    <w:rsid w:val="003D0416"/>
    <w:rsid w:val="003D0B25"/>
    <w:rsid w:val="003D1E62"/>
    <w:rsid w:val="003D2AE3"/>
    <w:rsid w:val="003D41B4"/>
    <w:rsid w:val="003D4AC8"/>
    <w:rsid w:val="003D6724"/>
    <w:rsid w:val="003E5CCE"/>
    <w:rsid w:val="003E60E5"/>
    <w:rsid w:val="003E6C3D"/>
    <w:rsid w:val="003F3F37"/>
    <w:rsid w:val="003F6A60"/>
    <w:rsid w:val="004023AA"/>
    <w:rsid w:val="004037A0"/>
    <w:rsid w:val="00403FE7"/>
    <w:rsid w:val="004044F5"/>
    <w:rsid w:val="00410229"/>
    <w:rsid w:val="00416537"/>
    <w:rsid w:val="004215B8"/>
    <w:rsid w:val="00421DE5"/>
    <w:rsid w:val="00424CE2"/>
    <w:rsid w:val="0042573D"/>
    <w:rsid w:val="00426E33"/>
    <w:rsid w:val="0042789B"/>
    <w:rsid w:val="00427D84"/>
    <w:rsid w:val="00427DE5"/>
    <w:rsid w:val="00431E76"/>
    <w:rsid w:val="00433BBE"/>
    <w:rsid w:val="00435298"/>
    <w:rsid w:val="00441BD0"/>
    <w:rsid w:val="00447E8E"/>
    <w:rsid w:val="004517CB"/>
    <w:rsid w:val="00452184"/>
    <w:rsid w:val="00452C63"/>
    <w:rsid w:val="00453EBC"/>
    <w:rsid w:val="0045448C"/>
    <w:rsid w:val="004560F9"/>
    <w:rsid w:val="00464092"/>
    <w:rsid w:val="00465B75"/>
    <w:rsid w:val="00470325"/>
    <w:rsid w:val="004705B8"/>
    <w:rsid w:val="00470771"/>
    <w:rsid w:val="0047190A"/>
    <w:rsid w:val="0047247B"/>
    <w:rsid w:val="0047444E"/>
    <w:rsid w:val="004760B5"/>
    <w:rsid w:val="00480831"/>
    <w:rsid w:val="0048268D"/>
    <w:rsid w:val="00487C2A"/>
    <w:rsid w:val="004908CC"/>
    <w:rsid w:val="00493C80"/>
    <w:rsid w:val="00493E42"/>
    <w:rsid w:val="004952D5"/>
    <w:rsid w:val="00495B93"/>
    <w:rsid w:val="00496A96"/>
    <w:rsid w:val="00496EAB"/>
    <w:rsid w:val="004A68BB"/>
    <w:rsid w:val="004A6EC7"/>
    <w:rsid w:val="004B0B92"/>
    <w:rsid w:val="004B1B27"/>
    <w:rsid w:val="004B1F39"/>
    <w:rsid w:val="004B45CB"/>
    <w:rsid w:val="004B6A7A"/>
    <w:rsid w:val="004C0560"/>
    <w:rsid w:val="004C1227"/>
    <w:rsid w:val="004C1763"/>
    <w:rsid w:val="004C22BC"/>
    <w:rsid w:val="004C3987"/>
    <w:rsid w:val="004C674D"/>
    <w:rsid w:val="004D00F6"/>
    <w:rsid w:val="004D1C2F"/>
    <w:rsid w:val="004D3F6F"/>
    <w:rsid w:val="004D4093"/>
    <w:rsid w:val="004D44F1"/>
    <w:rsid w:val="004D4948"/>
    <w:rsid w:val="004D4C9B"/>
    <w:rsid w:val="004E16D0"/>
    <w:rsid w:val="004E1970"/>
    <w:rsid w:val="004E28B5"/>
    <w:rsid w:val="004E3981"/>
    <w:rsid w:val="004E6BEE"/>
    <w:rsid w:val="004E6D5E"/>
    <w:rsid w:val="004F012C"/>
    <w:rsid w:val="004F0FA6"/>
    <w:rsid w:val="004F2431"/>
    <w:rsid w:val="004F3F26"/>
    <w:rsid w:val="004F5116"/>
    <w:rsid w:val="004F534B"/>
    <w:rsid w:val="00500321"/>
    <w:rsid w:val="00500A07"/>
    <w:rsid w:val="00503252"/>
    <w:rsid w:val="00505DDA"/>
    <w:rsid w:val="00505F0E"/>
    <w:rsid w:val="00506146"/>
    <w:rsid w:val="005079CA"/>
    <w:rsid w:val="0051449C"/>
    <w:rsid w:val="00515169"/>
    <w:rsid w:val="00516844"/>
    <w:rsid w:val="00521E4E"/>
    <w:rsid w:val="0052222D"/>
    <w:rsid w:val="005246B3"/>
    <w:rsid w:val="0053026C"/>
    <w:rsid w:val="00530D7D"/>
    <w:rsid w:val="00531107"/>
    <w:rsid w:val="00537A63"/>
    <w:rsid w:val="005431F1"/>
    <w:rsid w:val="005431FC"/>
    <w:rsid w:val="00545949"/>
    <w:rsid w:val="005470D0"/>
    <w:rsid w:val="0054710B"/>
    <w:rsid w:val="005471FF"/>
    <w:rsid w:val="00550FA0"/>
    <w:rsid w:val="00551D20"/>
    <w:rsid w:val="00552673"/>
    <w:rsid w:val="00557127"/>
    <w:rsid w:val="00563717"/>
    <w:rsid w:val="005644CC"/>
    <w:rsid w:val="0056642D"/>
    <w:rsid w:val="00566B60"/>
    <w:rsid w:val="00567013"/>
    <w:rsid w:val="00571417"/>
    <w:rsid w:val="00572623"/>
    <w:rsid w:val="00574555"/>
    <w:rsid w:val="00575E90"/>
    <w:rsid w:val="00580BEC"/>
    <w:rsid w:val="00581C22"/>
    <w:rsid w:val="00581C31"/>
    <w:rsid w:val="005831DE"/>
    <w:rsid w:val="0058324E"/>
    <w:rsid w:val="00583356"/>
    <w:rsid w:val="00584306"/>
    <w:rsid w:val="00590513"/>
    <w:rsid w:val="0059059B"/>
    <w:rsid w:val="00593BFD"/>
    <w:rsid w:val="00595FD0"/>
    <w:rsid w:val="005A029D"/>
    <w:rsid w:val="005A03BD"/>
    <w:rsid w:val="005A141D"/>
    <w:rsid w:val="005A148A"/>
    <w:rsid w:val="005A33E8"/>
    <w:rsid w:val="005A445C"/>
    <w:rsid w:val="005A621C"/>
    <w:rsid w:val="005A6A5A"/>
    <w:rsid w:val="005B0531"/>
    <w:rsid w:val="005B5179"/>
    <w:rsid w:val="005B5D6A"/>
    <w:rsid w:val="005B5E7C"/>
    <w:rsid w:val="005C2976"/>
    <w:rsid w:val="005C2C6D"/>
    <w:rsid w:val="005C31E7"/>
    <w:rsid w:val="005C45A8"/>
    <w:rsid w:val="005D2ABA"/>
    <w:rsid w:val="005D63AA"/>
    <w:rsid w:val="005D7B10"/>
    <w:rsid w:val="005E0103"/>
    <w:rsid w:val="005E12BE"/>
    <w:rsid w:val="005E4AD0"/>
    <w:rsid w:val="005F516A"/>
    <w:rsid w:val="005F6222"/>
    <w:rsid w:val="005F6C03"/>
    <w:rsid w:val="006000A9"/>
    <w:rsid w:val="00600BF3"/>
    <w:rsid w:val="006039D1"/>
    <w:rsid w:val="0060522B"/>
    <w:rsid w:val="006073AB"/>
    <w:rsid w:val="006163A9"/>
    <w:rsid w:val="00620B5F"/>
    <w:rsid w:val="006210D2"/>
    <w:rsid w:val="006215F7"/>
    <w:rsid w:val="00623140"/>
    <w:rsid w:val="0062338E"/>
    <w:rsid w:val="00624AF5"/>
    <w:rsid w:val="00625EF8"/>
    <w:rsid w:val="00625F75"/>
    <w:rsid w:val="00627101"/>
    <w:rsid w:val="00632020"/>
    <w:rsid w:val="006336C3"/>
    <w:rsid w:val="00634CA0"/>
    <w:rsid w:val="006362EE"/>
    <w:rsid w:val="00640E9C"/>
    <w:rsid w:val="00644B00"/>
    <w:rsid w:val="00644CCE"/>
    <w:rsid w:val="00651869"/>
    <w:rsid w:val="0065496C"/>
    <w:rsid w:val="00655650"/>
    <w:rsid w:val="00661D2E"/>
    <w:rsid w:val="00665772"/>
    <w:rsid w:val="00665CC0"/>
    <w:rsid w:val="00666646"/>
    <w:rsid w:val="0067158C"/>
    <w:rsid w:val="0067181F"/>
    <w:rsid w:val="00672255"/>
    <w:rsid w:val="006745B3"/>
    <w:rsid w:val="00674EE2"/>
    <w:rsid w:val="006766A3"/>
    <w:rsid w:val="006816EF"/>
    <w:rsid w:val="00683DB3"/>
    <w:rsid w:val="006906A9"/>
    <w:rsid w:val="00690C35"/>
    <w:rsid w:val="0069130A"/>
    <w:rsid w:val="00691940"/>
    <w:rsid w:val="0069222D"/>
    <w:rsid w:val="006942C1"/>
    <w:rsid w:val="006958F9"/>
    <w:rsid w:val="006A151A"/>
    <w:rsid w:val="006A18FA"/>
    <w:rsid w:val="006A3E4B"/>
    <w:rsid w:val="006A7269"/>
    <w:rsid w:val="006B2704"/>
    <w:rsid w:val="006B5726"/>
    <w:rsid w:val="006B6B70"/>
    <w:rsid w:val="006B7BBA"/>
    <w:rsid w:val="006C0384"/>
    <w:rsid w:val="006C03C9"/>
    <w:rsid w:val="006C0B14"/>
    <w:rsid w:val="006C23F1"/>
    <w:rsid w:val="006C2733"/>
    <w:rsid w:val="006C4B54"/>
    <w:rsid w:val="006C62FC"/>
    <w:rsid w:val="006C633F"/>
    <w:rsid w:val="006C7339"/>
    <w:rsid w:val="006C7D07"/>
    <w:rsid w:val="006C7F98"/>
    <w:rsid w:val="006D0278"/>
    <w:rsid w:val="006D2D4D"/>
    <w:rsid w:val="006D3D96"/>
    <w:rsid w:val="006D47BA"/>
    <w:rsid w:val="006D4A80"/>
    <w:rsid w:val="006D4F53"/>
    <w:rsid w:val="006D6083"/>
    <w:rsid w:val="006D7B1D"/>
    <w:rsid w:val="006E052A"/>
    <w:rsid w:val="006E054D"/>
    <w:rsid w:val="006E340C"/>
    <w:rsid w:val="006E5798"/>
    <w:rsid w:val="006E6D8E"/>
    <w:rsid w:val="006E7408"/>
    <w:rsid w:val="006F20A2"/>
    <w:rsid w:val="006F27C8"/>
    <w:rsid w:val="006F5B59"/>
    <w:rsid w:val="006F733F"/>
    <w:rsid w:val="00701636"/>
    <w:rsid w:val="0070187B"/>
    <w:rsid w:val="007029B0"/>
    <w:rsid w:val="00702A4A"/>
    <w:rsid w:val="00703A40"/>
    <w:rsid w:val="0070545F"/>
    <w:rsid w:val="00711C69"/>
    <w:rsid w:val="00712368"/>
    <w:rsid w:val="00714E1E"/>
    <w:rsid w:val="00715E19"/>
    <w:rsid w:val="00716D4B"/>
    <w:rsid w:val="00717691"/>
    <w:rsid w:val="007215D2"/>
    <w:rsid w:val="00722E6B"/>
    <w:rsid w:val="00733E4A"/>
    <w:rsid w:val="007345EF"/>
    <w:rsid w:val="00734A2D"/>
    <w:rsid w:val="007358B7"/>
    <w:rsid w:val="007405F3"/>
    <w:rsid w:val="00741710"/>
    <w:rsid w:val="00747BBD"/>
    <w:rsid w:val="00750210"/>
    <w:rsid w:val="0075062A"/>
    <w:rsid w:val="007511FD"/>
    <w:rsid w:val="00751C36"/>
    <w:rsid w:val="00752CAC"/>
    <w:rsid w:val="00753218"/>
    <w:rsid w:val="00754696"/>
    <w:rsid w:val="00761705"/>
    <w:rsid w:val="00761AE2"/>
    <w:rsid w:val="00761E92"/>
    <w:rsid w:val="0076621B"/>
    <w:rsid w:val="007666F1"/>
    <w:rsid w:val="00775B96"/>
    <w:rsid w:val="00777B6A"/>
    <w:rsid w:val="00781466"/>
    <w:rsid w:val="007819C7"/>
    <w:rsid w:val="0078232E"/>
    <w:rsid w:val="007823E9"/>
    <w:rsid w:val="007906B5"/>
    <w:rsid w:val="00790750"/>
    <w:rsid w:val="007909B4"/>
    <w:rsid w:val="00790ACF"/>
    <w:rsid w:val="00792EA5"/>
    <w:rsid w:val="00793E2D"/>
    <w:rsid w:val="00794C93"/>
    <w:rsid w:val="007956DD"/>
    <w:rsid w:val="00796487"/>
    <w:rsid w:val="00796C67"/>
    <w:rsid w:val="007A0619"/>
    <w:rsid w:val="007A0930"/>
    <w:rsid w:val="007A1027"/>
    <w:rsid w:val="007A3320"/>
    <w:rsid w:val="007A3D8D"/>
    <w:rsid w:val="007A5445"/>
    <w:rsid w:val="007A61FA"/>
    <w:rsid w:val="007A6C00"/>
    <w:rsid w:val="007B0F28"/>
    <w:rsid w:val="007B28C0"/>
    <w:rsid w:val="007B50F8"/>
    <w:rsid w:val="007B585C"/>
    <w:rsid w:val="007B5C1A"/>
    <w:rsid w:val="007B6367"/>
    <w:rsid w:val="007B7A44"/>
    <w:rsid w:val="007B7F98"/>
    <w:rsid w:val="007C0B48"/>
    <w:rsid w:val="007C1E31"/>
    <w:rsid w:val="007C3900"/>
    <w:rsid w:val="007C537F"/>
    <w:rsid w:val="007C5499"/>
    <w:rsid w:val="007C7751"/>
    <w:rsid w:val="007D410C"/>
    <w:rsid w:val="007D4C0A"/>
    <w:rsid w:val="007D67DC"/>
    <w:rsid w:val="007E0666"/>
    <w:rsid w:val="007E1E75"/>
    <w:rsid w:val="007E23A8"/>
    <w:rsid w:val="007F3E05"/>
    <w:rsid w:val="007F700D"/>
    <w:rsid w:val="008009B6"/>
    <w:rsid w:val="00801468"/>
    <w:rsid w:val="008043B3"/>
    <w:rsid w:val="00805E74"/>
    <w:rsid w:val="00805FCD"/>
    <w:rsid w:val="00807189"/>
    <w:rsid w:val="00807224"/>
    <w:rsid w:val="008117E8"/>
    <w:rsid w:val="0081448B"/>
    <w:rsid w:val="00816020"/>
    <w:rsid w:val="00816877"/>
    <w:rsid w:val="00816F75"/>
    <w:rsid w:val="00817F7B"/>
    <w:rsid w:val="0082030D"/>
    <w:rsid w:val="0082321B"/>
    <w:rsid w:val="00824408"/>
    <w:rsid w:val="00826710"/>
    <w:rsid w:val="00831186"/>
    <w:rsid w:val="00833824"/>
    <w:rsid w:val="00834A10"/>
    <w:rsid w:val="008377F8"/>
    <w:rsid w:val="00841B2F"/>
    <w:rsid w:val="00843780"/>
    <w:rsid w:val="00844371"/>
    <w:rsid w:val="00845B9A"/>
    <w:rsid w:val="00845FE8"/>
    <w:rsid w:val="008461D9"/>
    <w:rsid w:val="008503A6"/>
    <w:rsid w:val="00850E1E"/>
    <w:rsid w:val="00851AFC"/>
    <w:rsid w:val="00852502"/>
    <w:rsid w:val="00852ACF"/>
    <w:rsid w:val="00856AFB"/>
    <w:rsid w:val="00857992"/>
    <w:rsid w:val="0086046F"/>
    <w:rsid w:val="00861870"/>
    <w:rsid w:val="00861ADD"/>
    <w:rsid w:val="008630ED"/>
    <w:rsid w:val="00865859"/>
    <w:rsid w:val="008705E7"/>
    <w:rsid w:val="0087118A"/>
    <w:rsid w:val="008724F3"/>
    <w:rsid w:val="00873E60"/>
    <w:rsid w:val="00874CBD"/>
    <w:rsid w:val="00876D32"/>
    <w:rsid w:val="008776AC"/>
    <w:rsid w:val="00880411"/>
    <w:rsid w:val="00883A48"/>
    <w:rsid w:val="00883A9D"/>
    <w:rsid w:val="00884A4F"/>
    <w:rsid w:val="008851B4"/>
    <w:rsid w:val="00885732"/>
    <w:rsid w:val="00886CE2"/>
    <w:rsid w:val="00887801"/>
    <w:rsid w:val="0089115D"/>
    <w:rsid w:val="008973DE"/>
    <w:rsid w:val="008974B5"/>
    <w:rsid w:val="008A012E"/>
    <w:rsid w:val="008A0C73"/>
    <w:rsid w:val="008A2078"/>
    <w:rsid w:val="008A3EB1"/>
    <w:rsid w:val="008A41B2"/>
    <w:rsid w:val="008A51A6"/>
    <w:rsid w:val="008A620C"/>
    <w:rsid w:val="008A67D0"/>
    <w:rsid w:val="008A6845"/>
    <w:rsid w:val="008A74AE"/>
    <w:rsid w:val="008B1A1D"/>
    <w:rsid w:val="008B4EA3"/>
    <w:rsid w:val="008B51D1"/>
    <w:rsid w:val="008B7EF6"/>
    <w:rsid w:val="008C1424"/>
    <w:rsid w:val="008C1E3E"/>
    <w:rsid w:val="008C4441"/>
    <w:rsid w:val="008C5861"/>
    <w:rsid w:val="008C5E4F"/>
    <w:rsid w:val="008C7D73"/>
    <w:rsid w:val="008D083A"/>
    <w:rsid w:val="008D1FF1"/>
    <w:rsid w:val="008D286F"/>
    <w:rsid w:val="008D4438"/>
    <w:rsid w:val="008D48F1"/>
    <w:rsid w:val="008D56AC"/>
    <w:rsid w:val="008D6529"/>
    <w:rsid w:val="008E293E"/>
    <w:rsid w:val="008E4278"/>
    <w:rsid w:val="008E5D07"/>
    <w:rsid w:val="008E67A4"/>
    <w:rsid w:val="008E6D4E"/>
    <w:rsid w:val="008E706C"/>
    <w:rsid w:val="008F31B3"/>
    <w:rsid w:val="008F5770"/>
    <w:rsid w:val="008F7458"/>
    <w:rsid w:val="009011AE"/>
    <w:rsid w:val="00901CE9"/>
    <w:rsid w:val="009027CE"/>
    <w:rsid w:val="0090319E"/>
    <w:rsid w:val="00903E5A"/>
    <w:rsid w:val="00903FC0"/>
    <w:rsid w:val="00904A8F"/>
    <w:rsid w:val="00904DDC"/>
    <w:rsid w:val="009051EB"/>
    <w:rsid w:val="009061F5"/>
    <w:rsid w:val="00907123"/>
    <w:rsid w:val="0091166D"/>
    <w:rsid w:val="009124F3"/>
    <w:rsid w:val="00913BDD"/>
    <w:rsid w:val="00915D76"/>
    <w:rsid w:val="00915E77"/>
    <w:rsid w:val="009161E4"/>
    <w:rsid w:val="00916E8E"/>
    <w:rsid w:val="00921B1B"/>
    <w:rsid w:val="00925639"/>
    <w:rsid w:val="00925CE4"/>
    <w:rsid w:val="00932C22"/>
    <w:rsid w:val="00933714"/>
    <w:rsid w:val="009347DE"/>
    <w:rsid w:val="009350EE"/>
    <w:rsid w:val="00935118"/>
    <w:rsid w:val="00941F8F"/>
    <w:rsid w:val="00946137"/>
    <w:rsid w:val="0094704B"/>
    <w:rsid w:val="009501E2"/>
    <w:rsid w:val="00951DE5"/>
    <w:rsid w:val="00951DFC"/>
    <w:rsid w:val="0095252A"/>
    <w:rsid w:val="00954E31"/>
    <w:rsid w:val="00955BB0"/>
    <w:rsid w:val="00963C5D"/>
    <w:rsid w:val="0096433A"/>
    <w:rsid w:val="009667F9"/>
    <w:rsid w:val="0096697F"/>
    <w:rsid w:val="009708B5"/>
    <w:rsid w:val="00970D57"/>
    <w:rsid w:val="009713CD"/>
    <w:rsid w:val="0097332E"/>
    <w:rsid w:val="0097767B"/>
    <w:rsid w:val="00977FDC"/>
    <w:rsid w:val="009803C1"/>
    <w:rsid w:val="00980918"/>
    <w:rsid w:val="00980B85"/>
    <w:rsid w:val="00980CE9"/>
    <w:rsid w:val="00980FEF"/>
    <w:rsid w:val="0098254E"/>
    <w:rsid w:val="009914A4"/>
    <w:rsid w:val="0099209B"/>
    <w:rsid w:val="009920D9"/>
    <w:rsid w:val="009937F1"/>
    <w:rsid w:val="009960F4"/>
    <w:rsid w:val="009A2FD4"/>
    <w:rsid w:val="009A3392"/>
    <w:rsid w:val="009A3A5C"/>
    <w:rsid w:val="009A3D4F"/>
    <w:rsid w:val="009A5450"/>
    <w:rsid w:val="009B1A28"/>
    <w:rsid w:val="009B2296"/>
    <w:rsid w:val="009B5D1A"/>
    <w:rsid w:val="009C03F8"/>
    <w:rsid w:val="009C10EA"/>
    <w:rsid w:val="009C1E29"/>
    <w:rsid w:val="009C3BE1"/>
    <w:rsid w:val="009C44E8"/>
    <w:rsid w:val="009C7E92"/>
    <w:rsid w:val="009C7FBD"/>
    <w:rsid w:val="009D099D"/>
    <w:rsid w:val="009D57C1"/>
    <w:rsid w:val="009D6688"/>
    <w:rsid w:val="009D6AAD"/>
    <w:rsid w:val="009E025B"/>
    <w:rsid w:val="009E26C0"/>
    <w:rsid w:val="009E2F7B"/>
    <w:rsid w:val="009E5242"/>
    <w:rsid w:val="009E5F5A"/>
    <w:rsid w:val="009E7711"/>
    <w:rsid w:val="009F26F7"/>
    <w:rsid w:val="009F2CCA"/>
    <w:rsid w:val="009F35AC"/>
    <w:rsid w:val="009F3B54"/>
    <w:rsid w:val="009F4D14"/>
    <w:rsid w:val="009F51BD"/>
    <w:rsid w:val="00A00A62"/>
    <w:rsid w:val="00A00B72"/>
    <w:rsid w:val="00A119A4"/>
    <w:rsid w:val="00A1435F"/>
    <w:rsid w:val="00A15F8E"/>
    <w:rsid w:val="00A17152"/>
    <w:rsid w:val="00A17A5D"/>
    <w:rsid w:val="00A205A8"/>
    <w:rsid w:val="00A22BDE"/>
    <w:rsid w:val="00A27BDE"/>
    <w:rsid w:val="00A30ED9"/>
    <w:rsid w:val="00A35068"/>
    <w:rsid w:val="00A35374"/>
    <w:rsid w:val="00A353AD"/>
    <w:rsid w:val="00A419AB"/>
    <w:rsid w:val="00A45758"/>
    <w:rsid w:val="00A56C73"/>
    <w:rsid w:val="00A5736F"/>
    <w:rsid w:val="00A653CA"/>
    <w:rsid w:val="00A67D59"/>
    <w:rsid w:val="00A704C0"/>
    <w:rsid w:val="00A71396"/>
    <w:rsid w:val="00A72AD9"/>
    <w:rsid w:val="00A775A1"/>
    <w:rsid w:val="00A8079D"/>
    <w:rsid w:val="00A81553"/>
    <w:rsid w:val="00A85283"/>
    <w:rsid w:val="00A87E1F"/>
    <w:rsid w:val="00A92725"/>
    <w:rsid w:val="00A96FF0"/>
    <w:rsid w:val="00A97D89"/>
    <w:rsid w:val="00AA008C"/>
    <w:rsid w:val="00AA5431"/>
    <w:rsid w:val="00AA7674"/>
    <w:rsid w:val="00AB140D"/>
    <w:rsid w:val="00AB1636"/>
    <w:rsid w:val="00AB1FBB"/>
    <w:rsid w:val="00AB7E6B"/>
    <w:rsid w:val="00AC04DF"/>
    <w:rsid w:val="00AC2D5E"/>
    <w:rsid w:val="00AC4A43"/>
    <w:rsid w:val="00AC69EE"/>
    <w:rsid w:val="00AD1722"/>
    <w:rsid w:val="00AD4B7C"/>
    <w:rsid w:val="00AD520F"/>
    <w:rsid w:val="00AD6063"/>
    <w:rsid w:val="00AD6B01"/>
    <w:rsid w:val="00AD7C5F"/>
    <w:rsid w:val="00AE137D"/>
    <w:rsid w:val="00AE2BAC"/>
    <w:rsid w:val="00AE7DF6"/>
    <w:rsid w:val="00AF2730"/>
    <w:rsid w:val="00AF330F"/>
    <w:rsid w:val="00AF3AEB"/>
    <w:rsid w:val="00AF4B2D"/>
    <w:rsid w:val="00AF62C3"/>
    <w:rsid w:val="00AF7DAD"/>
    <w:rsid w:val="00B014B3"/>
    <w:rsid w:val="00B0316C"/>
    <w:rsid w:val="00B06AF1"/>
    <w:rsid w:val="00B07EF4"/>
    <w:rsid w:val="00B07F98"/>
    <w:rsid w:val="00B133F3"/>
    <w:rsid w:val="00B2068D"/>
    <w:rsid w:val="00B20820"/>
    <w:rsid w:val="00B20CFC"/>
    <w:rsid w:val="00B22F0D"/>
    <w:rsid w:val="00B244A8"/>
    <w:rsid w:val="00B25311"/>
    <w:rsid w:val="00B25D29"/>
    <w:rsid w:val="00B267A1"/>
    <w:rsid w:val="00B3183C"/>
    <w:rsid w:val="00B328D8"/>
    <w:rsid w:val="00B35342"/>
    <w:rsid w:val="00B400A5"/>
    <w:rsid w:val="00B4114F"/>
    <w:rsid w:val="00B413B0"/>
    <w:rsid w:val="00B42A88"/>
    <w:rsid w:val="00B45027"/>
    <w:rsid w:val="00B477D2"/>
    <w:rsid w:val="00B52939"/>
    <w:rsid w:val="00B52C69"/>
    <w:rsid w:val="00B54A57"/>
    <w:rsid w:val="00B55B55"/>
    <w:rsid w:val="00B566F0"/>
    <w:rsid w:val="00B66DF8"/>
    <w:rsid w:val="00B703B8"/>
    <w:rsid w:val="00B75B5E"/>
    <w:rsid w:val="00B80BAB"/>
    <w:rsid w:val="00B81C0B"/>
    <w:rsid w:val="00B824DD"/>
    <w:rsid w:val="00B83670"/>
    <w:rsid w:val="00B83C4A"/>
    <w:rsid w:val="00B847DD"/>
    <w:rsid w:val="00B91448"/>
    <w:rsid w:val="00B92F0B"/>
    <w:rsid w:val="00BA0332"/>
    <w:rsid w:val="00BA316D"/>
    <w:rsid w:val="00BA606B"/>
    <w:rsid w:val="00BA6691"/>
    <w:rsid w:val="00BB106B"/>
    <w:rsid w:val="00BB262B"/>
    <w:rsid w:val="00BC217D"/>
    <w:rsid w:val="00BD1272"/>
    <w:rsid w:val="00BD1685"/>
    <w:rsid w:val="00BD2403"/>
    <w:rsid w:val="00BD3AC2"/>
    <w:rsid w:val="00BD3B46"/>
    <w:rsid w:val="00BD4506"/>
    <w:rsid w:val="00BD643A"/>
    <w:rsid w:val="00BD6505"/>
    <w:rsid w:val="00BD6964"/>
    <w:rsid w:val="00BD7C74"/>
    <w:rsid w:val="00BE1C59"/>
    <w:rsid w:val="00BE42C4"/>
    <w:rsid w:val="00BE4739"/>
    <w:rsid w:val="00BE55E6"/>
    <w:rsid w:val="00BF0A81"/>
    <w:rsid w:val="00BF1F5C"/>
    <w:rsid w:val="00BF3143"/>
    <w:rsid w:val="00BF37EC"/>
    <w:rsid w:val="00BF4308"/>
    <w:rsid w:val="00BF4785"/>
    <w:rsid w:val="00BF4C67"/>
    <w:rsid w:val="00BF5479"/>
    <w:rsid w:val="00BF690D"/>
    <w:rsid w:val="00C00C80"/>
    <w:rsid w:val="00C00D31"/>
    <w:rsid w:val="00C011D1"/>
    <w:rsid w:val="00C04D85"/>
    <w:rsid w:val="00C067B5"/>
    <w:rsid w:val="00C07EB2"/>
    <w:rsid w:val="00C10C1F"/>
    <w:rsid w:val="00C11D59"/>
    <w:rsid w:val="00C13C2C"/>
    <w:rsid w:val="00C15533"/>
    <w:rsid w:val="00C155F6"/>
    <w:rsid w:val="00C15CC3"/>
    <w:rsid w:val="00C162F0"/>
    <w:rsid w:val="00C1714D"/>
    <w:rsid w:val="00C2360C"/>
    <w:rsid w:val="00C24920"/>
    <w:rsid w:val="00C26F5B"/>
    <w:rsid w:val="00C3274E"/>
    <w:rsid w:val="00C366C8"/>
    <w:rsid w:val="00C367B6"/>
    <w:rsid w:val="00C41A14"/>
    <w:rsid w:val="00C4527B"/>
    <w:rsid w:val="00C506DC"/>
    <w:rsid w:val="00C54BF8"/>
    <w:rsid w:val="00C553A0"/>
    <w:rsid w:val="00C555B9"/>
    <w:rsid w:val="00C564F6"/>
    <w:rsid w:val="00C576DE"/>
    <w:rsid w:val="00C57702"/>
    <w:rsid w:val="00C578F0"/>
    <w:rsid w:val="00C6115E"/>
    <w:rsid w:val="00C626B8"/>
    <w:rsid w:val="00C6416A"/>
    <w:rsid w:val="00C6633D"/>
    <w:rsid w:val="00C66DD4"/>
    <w:rsid w:val="00C70196"/>
    <w:rsid w:val="00C71B44"/>
    <w:rsid w:val="00C74CBD"/>
    <w:rsid w:val="00C75B99"/>
    <w:rsid w:val="00C75DA1"/>
    <w:rsid w:val="00C76D6F"/>
    <w:rsid w:val="00C83049"/>
    <w:rsid w:val="00C83D78"/>
    <w:rsid w:val="00C848AF"/>
    <w:rsid w:val="00C864BE"/>
    <w:rsid w:val="00C86ACC"/>
    <w:rsid w:val="00C876EA"/>
    <w:rsid w:val="00C927CA"/>
    <w:rsid w:val="00C93D15"/>
    <w:rsid w:val="00C952B1"/>
    <w:rsid w:val="00C95454"/>
    <w:rsid w:val="00C96C9A"/>
    <w:rsid w:val="00CA1CA1"/>
    <w:rsid w:val="00CA249C"/>
    <w:rsid w:val="00CA2735"/>
    <w:rsid w:val="00CA34C4"/>
    <w:rsid w:val="00CA365A"/>
    <w:rsid w:val="00CA4C51"/>
    <w:rsid w:val="00CA6048"/>
    <w:rsid w:val="00CB5291"/>
    <w:rsid w:val="00CB6846"/>
    <w:rsid w:val="00CB72BB"/>
    <w:rsid w:val="00CB7855"/>
    <w:rsid w:val="00CC26BF"/>
    <w:rsid w:val="00CC2FBF"/>
    <w:rsid w:val="00CC370F"/>
    <w:rsid w:val="00CC5422"/>
    <w:rsid w:val="00CC6693"/>
    <w:rsid w:val="00CC6ECC"/>
    <w:rsid w:val="00CD422A"/>
    <w:rsid w:val="00CD4352"/>
    <w:rsid w:val="00CD52AE"/>
    <w:rsid w:val="00CD54CE"/>
    <w:rsid w:val="00CD6021"/>
    <w:rsid w:val="00CD6D65"/>
    <w:rsid w:val="00CD7682"/>
    <w:rsid w:val="00CD7A69"/>
    <w:rsid w:val="00CE3E45"/>
    <w:rsid w:val="00CE4544"/>
    <w:rsid w:val="00CE67EF"/>
    <w:rsid w:val="00CE7A7A"/>
    <w:rsid w:val="00CF0008"/>
    <w:rsid w:val="00CF1F2D"/>
    <w:rsid w:val="00CF6FEC"/>
    <w:rsid w:val="00D01665"/>
    <w:rsid w:val="00D03B04"/>
    <w:rsid w:val="00D06512"/>
    <w:rsid w:val="00D07A24"/>
    <w:rsid w:val="00D10198"/>
    <w:rsid w:val="00D102CC"/>
    <w:rsid w:val="00D13B18"/>
    <w:rsid w:val="00D14F77"/>
    <w:rsid w:val="00D157EC"/>
    <w:rsid w:val="00D162F6"/>
    <w:rsid w:val="00D1706F"/>
    <w:rsid w:val="00D23309"/>
    <w:rsid w:val="00D248B6"/>
    <w:rsid w:val="00D24B18"/>
    <w:rsid w:val="00D3089A"/>
    <w:rsid w:val="00D3253B"/>
    <w:rsid w:val="00D33C9C"/>
    <w:rsid w:val="00D36156"/>
    <w:rsid w:val="00D375CD"/>
    <w:rsid w:val="00D405F5"/>
    <w:rsid w:val="00D418C2"/>
    <w:rsid w:val="00D4222A"/>
    <w:rsid w:val="00D43090"/>
    <w:rsid w:val="00D44E86"/>
    <w:rsid w:val="00D503EA"/>
    <w:rsid w:val="00D50F03"/>
    <w:rsid w:val="00D52996"/>
    <w:rsid w:val="00D53878"/>
    <w:rsid w:val="00D56D67"/>
    <w:rsid w:val="00D6060C"/>
    <w:rsid w:val="00D63988"/>
    <w:rsid w:val="00D64DA0"/>
    <w:rsid w:val="00D67AB4"/>
    <w:rsid w:val="00D71327"/>
    <w:rsid w:val="00D75882"/>
    <w:rsid w:val="00D77206"/>
    <w:rsid w:val="00D803A5"/>
    <w:rsid w:val="00D82512"/>
    <w:rsid w:val="00D83BBC"/>
    <w:rsid w:val="00D84B40"/>
    <w:rsid w:val="00D873C7"/>
    <w:rsid w:val="00D878B0"/>
    <w:rsid w:val="00D900E6"/>
    <w:rsid w:val="00D94B4E"/>
    <w:rsid w:val="00DA101F"/>
    <w:rsid w:val="00DA3160"/>
    <w:rsid w:val="00DA777F"/>
    <w:rsid w:val="00DB7A15"/>
    <w:rsid w:val="00DC1DF8"/>
    <w:rsid w:val="00DC2F22"/>
    <w:rsid w:val="00DC33AA"/>
    <w:rsid w:val="00DC4134"/>
    <w:rsid w:val="00DC6360"/>
    <w:rsid w:val="00DD1004"/>
    <w:rsid w:val="00DD1646"/>
    <w:rsid w:val="00DD238F"/>
    <w:rsid w:val="00DD329F"/>
    <w:rsid w:val="00DD63EA"/>
    <w:rsid w:val="00DD6A22"/>
    <w:rsid w:val="00DD7670"/>
    <w:rsid w:val="00DE01E3"/>
    <w:rsid w:val="00DE06CD"/>
    <w:rsid w:val="00DF0311"/>
    <w:rsid w:val="00DF4C76"/>
    <w:rsid w:val="00E012DA"/>
    <w:rsid w:val="00E047D8"/>
    <w:rsid w:val="00E04BC2"/>
    <w:rsid w:val="00E06506"/>
    <w:rsid w:val="00E07551"/>
    <w:rsid w:val="00E101DB"/>
    <w:rsid w:val="00E1196F"/>
    <w:rsid w:val="00E13BC3"/>
    <w:rsid w:val="00E173B4"/>
    <w:rsid w:val="00E1791D"/>
    <w:rsid w:val="00E2186D"/>
    <w:rsid w:val="00E24CAB"/>
    <w:rsid w:val="00E26494"/>
    <w:rsid w:val="00E26811"/>
    <w:rsid w:val="00E26B18"/>
    <w:rsid w:val="00E27B4F"/>
    <w:rsid w:val="00E30744"/>
    <w:rsid w:val="00E332B3"/>
    <w:rsid w:val="00E33B99"/>
    <w:rsid w:val="00E354A1"/>
    <w:rsid w:val="00E36121"/>
    <w:rsid w:val="00E413F7"/>
    <w:rsid w:val="00E42B57"/>
    <w:rsid w:val="00E43958"/>
    <w:rsid w:val="00E4464A"/>
    <w:rsid w:val="00E44C33"/>
    <w:rsid w:val="00E46C88"/>
    <w:rsid w:val="00E522CD"/>
    <w:rsid w:val="00E55F7F"/>
    <w:rsid w:val="00E62F1C"/>
    <w:rsid w:val="00E65DB0"/>
    <w:rsid w:val="00E66B85"/>
    <w:rsid w:val="00E67637"/>
    <w:rsid w:val="00E67DF4"/>
    <w:rsid w:val="00E7057F"/>
    <w:rsid w:val="00E7082C"/>
    <w:rsid w:val="00E71452"/>
    <w:rsid w:val="00E71E50"/>
    <w:rsid w:val="00E73854"/>
    <w:rsid w:val="00E73BDE"/>
    <w:rsid w:val="00E74ABE"/>
    <w:rsid w:val="00E74CCE"/>
    <w:rsid w:val="00E84266"/>
    <w:rsid w:val="00E8676F"/>
    <w:rsid w:val="00E90237"/>
    <w:rsid w:val="00E911E4"/>
    <w:rsid w:val="00E92E8E"/>
    <w:rsid w:val="00E934AE"/>
    <w:rsid w:val="00E9362B"/>
    <w:rsid w:val="00E938FD"/>
    <w:rsid w:val="00E94338"/>
    <w:rsid w:val="00E95E00"/>
    <w:rsid w:val="00E964BC"/>
    <w:rsid w:val="00EA04AC"/>
    <w:rsid w:val="00EA6F02"/>
    <w:rsid w:val="00EB0DB9"/>
    <w:rsid w:val="00EB0F0F"/>
    <w:rsid w:val="00EB1F29"/>
    <w:rsid w:val="00EB3164"/>
    <w:rsid w:val="00EB3E0E"/>
    <w:rsid w:val="00EB4C4F"/>
    <w:rsid w:val="00EC10DE"/>
    <w:rsid w:val="00EC2750"/>
    <w:rsid w:val="00EC4CD8"/>
    <w:rsid w:val="00EC52F1"/>
    <w:rsid w:val="00EC5FEA"/>
    <w:rsid w:val="00ED1666"/>
    <w:rsid w:val="00ED6EFC"/>
    <w:rsid w:val="00EE1871"/>
    <w:rsid w:val="00EE296E"/>
    <w:rsid w:val="00EE2A21"/>
    <w:rsid w:val="00EE3273"/>
    <w:rsid w:val="00EE422E"/>
    <w:rsid w:val="00EE4BD9"/>
    <w:rsid w:val="00EE5842"/>
    <w:rsid w:val="00EF2B6C"/>
    <w:rsid w:val="00EF2DFE"/>
    <w:rsid w:val="00EF4122"/>
    <w:rsid w:val="00EF6AB3"/>
    <w:rsid w:val="00EF6BB2"/>
    <w:rsid w:val="00F00091"/>
    <w:rsid w:val="00F00376"/>
    <w:rsid w:val="00F00A8C"/>
    <w:rsid w:val="00F02B80"/>
    <w:rsid w:val="00F0571E"/>
    <w:rsid w:val="00F06924"/>
    <w:rsid w:val="00F06C48"/>
    <w:rsid w:val="00F07B68"/>
    <w:rsid w:val="00F10D50"/>
    <w:rsid w:val="00F1333E"/>
    <w:rsid w:val="00F13FE6"/>
    <w:rsid w:val="00F24D96"/>
    <w:rsid w:val="00F25613"/>
    <w:rsid w:val="00F25783"/>
    <w:rsid w:val="00F260A5"/>
    <w:rsid w:val="00F269F4"/>
    <w:rsid w:val="00F26C0C"/>
    <w:rsid w:val="00F27493"/>
    <w:rsid w:val="00F277A9"/>
    <w:rsid w:val="00F40033"/>
    <w:rsid w:val="00F40984"/>
    <w:rsid w:val="00F4134F"/>
    <w:rsid w:val="00F417EA"/>
    <w:rsid w:val="00F443C7"/>
    <w:rsid w:val="00F44527"/>
    <w:rsid w:val="00F44EC7"/>
    <w:rsid w:val="00F46289"/>
    <w:rsid w:val="00F50D3D"/>
    <w:rsid w:val="00F5106B"/>
    <w:rsid w:val="00F51C25"/>
    <w:rsid w:val="00F524F1"/>
    <w:rsid w:val="00F545CE"/>
    <w:rsid w:val="00F55861"/>
    <w:rsid w:val="00F55CB0"/>
    <w:rsid w:val="00F569F1"/>
    <w:rsid w:val="00F56BD4"/>
    <w:rsid w:val="00F575AA"/>
    <w:rsid w:val="00F57B4D"/>
    <w:rsid w:val="00F60337"/>
    <w:rsid w:val="00F611A8"/>
    <w:rsid w:val="00F62218"/>
    <w:rsid w:val="00F63D5D"/>
    <w:rsid w:val="00F6440D"/>
    <w:rsid w:val="00F656AE"/>
    <w:rsid w:val="00F70E91"/>
    <w:rsid w:val="00F7180E"/>
    <w:rsid w:val="00F71EFD"/>
    <w:rsid w:val="00F74666"/>
    <w:rsid w:val="00F74855"/>
    <w:rsid w:val="00F75051"/>
    <w:rsid w:val="00F84357"/>
    <w:rsid w:val="00F87B86"/>
    <w:rsid w:val="00F90AB7"/>
    <w:rsid w:val="00F90BA6"/>
    <w:rsid w:val="00F9388F"/>
    <w:rsid w:val="00F93B68"/>
    <w:rsid w:val="00F93E52"/>
    <w:rsid w:val="00F94D91"/>
    <w:rsid w:val="00F96962"/>
    <w:rsid w:val="00FA0479"/>
    <w:rsid w:val="00FA1D3D"/>
    <w:rsid w:val="00FA670A"/>
    <w:rsid w:val="00FA753B"/>
    <w:rsid w:val="00FB07B8"/>
    <w:rsid w:val="00FB1470"/>
    <w:rsid w:val="00FB1DDC"/>
    <w:rsid w:val="00FB3C54"/>
    <w:rsid w:val="00FB3E2C"/>
    <w:rsid w:val="00FB4BA1"/>
    <w:rsid w:val="00FC2321"/>
    <w:rsid w:val="00FC2675"/>
    <w:rsid w:val="00FC2BD0"/>
    <w:rsid w:val="00FC4E57"/>
    <w:rsid w:val="00FC521F"/>
    <w:rsid w:val="00FC588E"/>
    <w:rsid w:val="00FD1AF6"/>
    <w:rsid w:val="00FD2672"/>
    <w:rsid w:val="00FD6CB0"/>
    <w:rsid w:val="00FE0063"/>
    <w:rsid w:val="00FE0925"/>
    <w:rsid w:val="00FE5252"/>
    <w:rsid w:val="00FF15BE"/>
    <w:rsid w:val="00FF5D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Titre1">
    <w:name w:val="heading 1"/>
    <w:basedOn w:val="Normal"/>
    <w:next w:val="Normal"/>
    <w:qFormat/>
    <w:pPr>
      <w:keepNext/>
      <w:outlineLvl w:val="0"/>
    </w:pPr>
    <w:rPr>
      <w:b/>
      <w:bCs/>
      <w:lang w:val="fr-BE"/>
    </w:rPr>
  </w:style>
  <w:style w:type="paragraph" w:styleId="Titre2">
    <w:name w:val="heading 2"/>
    <w:basedOn w:val="Normal"/>
    <w:next w:val="Normal"/>
    <w:link w:val="Titre2Car1"/>
    <w:qFormat/>
    <w:pPr>
      <w:keepNext/>
      <w:ind w:left="900" w:hanging="540"/>
      <w:jc w:val="both"/>
      <w:outlineLvl w:val="1"/>
    </w:pPr>
    <w:rPr>
      <w:b/>
      <w:bCs/>
      <w:lang w:val="fr-FR"/>
    </w:rPr>
  </w:style>
  <w:style w:type="paragraph" w:styleId="Titre3">
    <w:name w:val="heading 3"/>
    <w:basedOn w:val="Normal"/>
    <w:next w:val="Normal"/>
    <w:link w:val="Titre3Car"/>
    <w:qFormat/>
    <w:pPr>
      <w:keepNext/>
      <w:spacing w:before="240" w:after="60"/>
      <w:ind w:firstLine="720"/>
      <w:outlineLvl w:val="2"/>
    </w:pPr>
    <w:rPr>
      <w:sz w:val="26"/>
      <w:szCs w:val="26"/>
      <w:lang w:val="fr-FR"/>
    </w:rPr>
  </w:style>
  <w:style w:type="paragraph" w:styleId="Titre4">
    <w:name w:val="heading 4"/>
    <w:basedOn w:val="Normal"/>
    <w:next w:val="Normal"/>
    <w:qFormat/>
    <w:pPr>
      <w:keepNext/>
      <w:ind w:left="360"/>
      <w:outlineLvl w:val="3"/>
    </w:pPr>
    <w:rPr>
      <w:b/>
      <w:bCs/>
      <w:lang w:val="fr-BE"/>
    </w:rPr>
  </w:style>
  <w:style w:type="paragraph" w:styleId="Titre5">
    <w:name w:val="heading 5"/>
    <w:basedOn w:val="Normal"/>
    <w:next w:val="Normal"/>
    <w:link w:val="Titre5Car"/>
    <w:qFormat/>
    <w:pPr>
      <w:keepNext/>
      <w:outlineLvl w:val="4"/>
    </w:pPr>
    <w:rPr>
      <w:rFonts w:ascii="Tahoma" w:hAnsi="Tahoma" w:cs="Tahoma"/>
      <w:b/>
      <w:bCs/>
      <w:i/>
      <w:iCs/>
      <w:lang w:val="nl-NL"/>
    </w:rPr>
  </w:style>
  <w:style w:type="paragraph" w:styleId="Titre7">
    <w:name w:val="heading 7"/>
    <w:basedOn w:val="Normal"/>
    <w:next w:val="Normal"/>
    <w:qFormat/>
    <w:pPr>
      <w:keepNext/>
      <w:outlineLvl w:val="6"/>
    </w:pPr>
    <w:rPr>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rsid w:val="0058324E"/>
    <w:pPr>
      <w:ind w:left="240"/>
    </w:pPr>
    <w:rPr>
      <w:smallCaps/>
      <w:szCs w:val="20"/>
    </w:rPr>
  </w:style>
  <w:style w:type="paragraph" w:styleId="Corpsdetexte">
    <w:name w:val="Body Text"/>
    <w:basedOn w:val="Normal"/>
    <w:pPr>
      <w:jc w:val="both"/>
    </w:pPr>
    <w:rPr>
      <w:lang w:val="fr-FR"/>
    </w:rPr>
  </w:style>
  <w:style w:type="paragraph" w:styleId="Retraitcorpsdetexte">
    <w:name w:val="Body Text Indent"/>
    <w:basedOn w:val="Normal"/>
    <w:pPr>
      <w:ind w:left="1080"/>
      <w:jc w:val="both"/>
    </w:pPr>
    <w:rPr>
      <w:lang w:val="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2">
    <w:name w:val="Body Text Indent 2"/>
    <w:basedOn w:val="Normal"/>
    <w:pPr>
      <w:ind w:left="1440"/>
      <w:jc w:val="both"/>
    </w:pPr>
    <w:rPr>
      <w:lang w:val="fr-FR"/>
    </w:rPr>
  </w:style>
  <w:style w:type="paragraph" w:styleId="Retraitcorpsdetexte3">
    <w:name w:val="Body Text Indent 3"/>
    <w:basedOn w:val="Normal"/>
    <w:pPr>
      <w:ind w:left="360"/>
    </w:pPr>
    <w:rPr>
      <w:lang w:val="fr-FR"/>
    </w:rPr>
  </w:style>
  <w:style w:type="paragraph" w:customStyle="1" w:styleId="Opmaakprofiel1">
    <w:name w:val="Opmaakprofiel1"/>
    <w:basedOn w:val="En-tte"/>
    <w:pPr>
      <w:tabs>
        <w:tab w:val="clear" w:pos="4536"/>
        <w:tab w:val="clear" w:pos="9072"/>
      </w:tabs>
      <w:jc w:val="both"/>
    </w:pPr>
    <w:rPr>
      <w:u w:val="single"/>
    </w:rPr>
  </w:style>
  <w:style w:type="paragraph" w:styleId="En-tte">
    <w:name w:val="header"/>
    <w:basedOn w:val="Normal"/>
    <w:pPr>
      <w:tabs>
        <w:tab w:val="center" w:pos="4536"/>
        <w:tab w:val="right" w:pos="9072"/>
      </w:tabs>
    </w:pPr>
    <w:rPr>
      <w:lang w:val="nl-NL"/>
    </w:rPr>
  </w:style>
  <w:style w:type="paragraph" w:styleId="Notedebasdepage">
    <w:name w:val="footnote text"/>
    <w:basedOn w:val="Normal"/>
    <w:link w:val="NotedebasdepageCar"/>
    <w:rPr>
      <w:sz w:val="20"/>
      <w:szCs w:val="20"/>
    </w:rPr>
  </w:style>
  <w:style w:type="character" w:styleId="Appelnotedebasdep">
    <w:name w:val="footnote reference"/>
    <w:rPr>
      <w:vertAlign w:val="superscript"/>
    </w:rPr>
  </w:style>
  <w:style w:type="paragraph" w:styleId="TM1">
    <w:name w:val="toc 1"/>
    <w:basedOn w:val="Normal"/>
    <w:next w:val="Normal"/>
    <w:autoRedefine/>
    <w:uiPriority w:val="39"/>
    <w:rsid w:val="00620B5F"/>
    <w:pPr>
      <w:tabs>
        <w:tab w:val="right" w:leader="dot" w:pos="9062"/>
      </w:tabs>
      <w:spacing w:before="120" w:after="120"/>
    </w:pPr>
    <w:rPr>
      <w:b/>
      <w:bCs/>
      <w:caps/>
      <w:noProof/>
      <w:sz w:val="22"/>
      <w:szCs w:val="22"/>
      <w:lang w:val="nl-NL"/>
    </w:rPr>
  </w:style>
  <w:style w:type="paragraph" w:styleId="TM3">
    <w:name w:val="toc 3"/>
    <w:basedOn w:val="Normal"/>
    <w:next w:val="Normal"/>
    <w:autoRedefine/>
    <w:uiPriority w:val="39"/>
    <w:rsid w:val="0058324E"/>
    <w:pPr>
      <w:ind w:left="480"/>
    </w:pPr>
    <w:rPr>
      <w:i/>
      <w:iCs/>
      <w:szCs w:val="20"/>
    </w:rPr>
  </w:style>
  <w:style w:type="paragraph" w:styleId="TM4">
    <w:name w:val="toc 4"/>
    <w:basedOn w:val="Normal"/>
    <w:next w:val="Normal"/>
    <w:autoRedefine/>
    <w:uiPriority w:val="39"/>
    <w:rsid w:val="0058324E"/>
    <w:pPr>
      <w:ind w:left="720"/>
    </w:pPr>
    <w:rPr>
      <w:szCs w:val="18"/>
    </w:rPr>
  </w:style>
  <w:style w:type="paragraph" w:styleId="TM5">
    <w:name w:val="toc 5"/>
    <w:basedOn w:val="Normal"/>
    <w:next w:val="Normal"/>
    <w:autoRedefine/>
    <w:uiPriority w:val="39"/>
    <w:rsid w:val="0058324E"/>
    <w:pPr>
      <w:ind w:left="960"/>
    </w:pPr>
    <w:rPr>
      <w:szCs w:val="18"/>
    </w:rPr>
  </w:style>
  <w:style w:type="paragraph" w:styleId="TM6">
    <w:name w:val="toc 6"/>
    <w:basedOn w:val="Normal"/>
    <w:next w:val="Normal"/>
    <w:autoRedefine/>
    <w:semiHidden/>
    <w:rsid w:val="0058324E"/>
    <w:pPr>
      <w:ind w:left="1200"/>
    </w:pPr>
    <w:rPr>
      <w:sz w:val="22"/>
      <w:szCs w:val="18"/>
    </w:rPr>
  </w:style>
  <w:style w:type="paragraph" w:styleId="TM7">
    <w:name w:val="toc 7"/>
    <w:basedOn w:val="Normal"/>
    <w:next w:val="Normal"/>
    <w:autoRedefine/>
    <w:semiHidden/>
    <w:rsid w:val="0058324E"/>
    <w:pPr>
      <w:ind w:left="1440"/>
    </w:pPr>
    <w:rPr>
      <w:sz w:val="22"/>
      <w:szCs w:val="18"/>
    </w:rPr>
  </w:style>
  <w:style w:type="paragraph" w:styleId="TM8">
    <w:name w:val="toc 8"/>
    <w:basedOn w:val="Normal"/>
    <w:next w:val="Normal"/>
    <w:autoRedefine/>
    <w:semiHidden/>
    <w:rsid w:val="0058324E"/>
    <w:pPr>
      <w:ind w:left="1680"/>
    </w:pPr>
    <w:rPr>
      <w:sz w:val="20"/>
      <w:szCs w:val="18"/>
    </w:rPr>
  </w:style>
  <w:style w:type="paragraph" w:styleId="TM9">
    <w:name w:val="toc 9"/>
    <w:basedOn w:val="Normal"/>
    <w:next w:val="Normal"/>
    <w:autoRedefine/>
    <w:semiHidden/>
    <w:pPr>
      <w:ind w:left="1920"/>
    </w:pPr>
    <w:rPr>
      <w:sz w:val="18"/>
      <w:szCs w:val="18"/>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character" w:customStyle="1" w:styleId="Titre2Car1">
    <w:name w:val="Titre 2 Car1"/>
    <w:link w:val="Titre2"/>
    <w:rsid w:val="008973DE"/>
    <w:rPr>
      <w:b/>
      <w:bCs/>
      <w:sz w:val="24"/>
      <w:szCs w:val="24"/>
      <w:lang w:val="fr-FR" w:eastAsia="en-US" w:bidi="ar-SA"/>
    </w:rPr>
  </w:style>
  <w:style w:type="paragraph" w:styleId="Textedebulles">
    <w:name w:val="Balloon Text"/>
    <w:basedOn w:val="Normal"/>
    <w:semiHidden/>
    <w:rsid w:val="00F62218"/>
    <w:rPr>
      <w:rFonts w:ascii="Tahoma" w:hAnsi="Tahoma" w:cs="Tahoma"/>
      <w:sz w:val="16"/>
      <w:szCs w:val="16"/>
    </w:rPr>
  </w:style>
  <w:style w:type="paragraph" w:customStyle="1" w:styleId="Letter">
    <w:name w:val="Letter"/>
    <w:basedOn w:val="Normal"/>
    <w:link w:val="LetterCar"/>
    <w:rsid w:val="004A6EC7"/>
    <w:rPr>
      <w:rFonts w:ascii="Arial" w:hAnsi="Arial"/>
      <w:sz w:val="22"/>
      <w:szCs w:val="20"/>
      <w:lang w:val="fr-FR"/>
    </w:rPr>
  </w:style>
  <w:style w:type="character" w:customStyle="1" w:styleId="CarCar">
    <w:name w:val="Car Car"/>
    <w:rsid w:val="003863B5"/>
    <w:rPr>
      <w:b/>
      <w:bCs/>
      <w:sz w:val="24"/>
      <w:szCs w:val="24"/>
      <w:lang w:val="fr-FR" w:eastAsia="en-US" w:bidi="ar-SA"/>
    </w:rPr>
  </w:style>
  <w:style w:type="character" w:customStyle="1" w:styleId="LetterCar">
    <w:name w:val="Letter Car"/>
    <w:link w:val="Letter"/>
    <w:rsid w:val="00062345"/>
    <w:rPr>
      <w:rFonts w:ascii="Arial" w:hAnsi="Arial"/>
      <w:sz w:val="22"/>
      <w:lang w:val="fr-FR" w:eastAsia="en-US" w:bidi="ar-SA"/>
    </w:rPr>
  </w:style>
  <w:style w:type="character" w:customStyle="1" w:styleId="Titre2Car">
    <w:name w:val="Titre 2 Car"/>
    <w:locked/>
    <w:rsid w:val="002024FC"/>
    <w:rPr>
      <w:b/>
      <w:bCs/>
      <w:sz w:val="24"/>
      <w:szCs w:val="24"/>
      <w:lang w:val="fr-FR" w:eastAsia="en-US" w:bidi="ar-SA"/>
    </w:rPr>
  </w:style>
  <w:style w:type="table" w:styleId="Grilledutableau">
    <w:name w:val="Table Grid"/>
    <w:basedOn w:val="TableauNormal"/>
    <w:rsid w:val="000A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writingstijl">
    <w:name w:val="Copywritingstijl"/>
    <w:rsid w:val="007B28C0"/>
    <w:pPr>
      <w:spacing w:line="360" w:lineRule="auto"/>
      <w:ind w:left="567"/>
    </w:pPr>
    <w:rPr>
      <w:rFonts w:ascii="Palatino" w:eastAsia="ヒラギノ角ゴ Pro W3" w:hAnsi="Palatino"/>
      <w:color w:val="000000"/>
      <w:sz w:val="24"/>
      <w:lang w:val="nl-NL" w:eastAsia="fr-BE"/>
    </w:rPr>
  </w:style>
  <w:style w:type="paragraph" w:styleId="Paragraphedeliste">
    <w:name w:val="List Paragraph"/>
    <w:basedOn w:val="Normal"/>
    <w:uiPriority w:val="34"/>
    <w:qFormat/>
    <w:rsid w:val="0091166D"/>
    <w:pPr>
      <w:ind w:left="708"/>
    </w:pPr>
  </w:style>
  <w:style w:type="paragraph" w:styleId="Titre">
    <w:name w:val="Title"/>
    <w:basedOn w:val="Normal"/>
    <w:next w:val="Normal"/>
    <w:link w:val="TitreCar"/>
    <w:qFormat/>
    <w:rsid w:val="006C2733"/>
    <w:pPr>
      <w:spacing w:before="240" w:after="60"/>
      <w:jc w:val="center"/>
      <w:outlineLvl w:val="0"/>
    </w:pPr>
    <w:rPr>
      <w:rFonts w:ascii="Cambria" w:hAnsi="Cambria"/>
      <w:b/>
      <w:bCs/>
      <w:kern w:val="28"/>
      <w:sz w:val="32"/>
      <w:szCs w:val="32"/>
    </w:rPr>
  </w:style>
  <w:style w:type="character" w:customStyle="1" w:styleId="TitreCar">
    <w:name w:val="Titre Car"/>
    <w:link w:val="Titre"/>
    <w:rsid w:val="006C2733"/>
    <w:rPr>
      <w:rFonts w:ascii="Cambria" w:eastAsia="Times New Roman" w:hAnsi="Cambria" w:cs="Times New Roman"/>
      <w:b/>
      <w:bCs/>
      <w:kern w:val="28"/>
      <w:sz w:val="32"/>
      <w:szCs w:val="32"/>
      <w:lang w:val="en-GB" w:eastAsia="en-US"/>
    </w:rPr>
  </w:style>
  <w:style w:type="character" w:customStyle="1" w:styleId="NotedebasdepageCar">
    <w:name w:val="Note de bas de page Car"/>
    <w:link w:val="Notedebasdepage"/>
    <w:rsid w:val="00325CA5"/>
    <w:rPr>
      <w:lang w:val="en-GB" w:eastAsia="en-US"/>
    </w:rPr>
  </w:style>
  <w:style w:type="paragraph" w:customStyle="1" w:styleId="Koptekst1">
    <w:name w:val="Koptekst1"/>
    <w:basedOn w:val="Normal"/>
    <w:next w:val="Normal"/>
    <w:rsid w:val="000308E0"/>
    <w:pPr>
      <w:autoSpaceDE w:val="0"/>
      <w:autoSpaceDN w:val="0"/>
      <w:adjustRightInd w:val="0"/>
    </w:pPr>
    <w:rPr>
      <w:rFonts w:ascii="NAJNLA+Tahoma" w:hAnsi="NAJNLA+Tahoma"/>
      <w:lang w:val="fr-FR" w:eastAsia="fr-FR"/>
    </w:rPr>
  </w:style>
  <w:style w:type="character" w:customStyle="1" w:styleId="Titre5Car">
    <w:name w:val="Titre 5 Car"/>
    <w:link w:val="Titre5"/>
    <w:rsid w:val="00470771"/>
    <w:rPr>
      <w:rFonts w:ascii="Tahoma" w:hAnsi="Tahoma" w:cs="Tahoma"/>
      <w:b/>
      <w:bCs/>
      <w:i/>
      <w:iCs/>
      <w:sz w:val="24"/>
      <w:szCs w:val="24"/>
      <w:lang w:val="nl-NL" w:eastAsia="en-US" w:bidi="ar-SA"/>
    </w:rPr>
  </w:style>
  <w:style w:type="character" w:customStyle="1" w:styleId="Titre3Car">
    <w:name w:val="Titre 3 Car"/>
    <w:link w:val="Titre3"/>
    <w:rsid w:val="00F50D3D"/>
    <w:rPr>
      <w:sz w:val="26"/>
      <w:szCs w:val="26"/>
      <w:lang w:val="fr-FR" w:eastAsia="en-US" w:bidi="ar-SA"/>
    </w:rPr>
  </w:style>
  <w:style w:type="paragraph" w:styleId="Lgende">
    <w:name w:val="caption"/>
    <w:basedOn w:val="Normal"/>
    <w:next w:val="Normal"/>
    <w:unhideWhenUsed/>
    <w:qFormat/>
    <w:rsid w:val="0059059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Titre1">
    <w:name w:val="heading 1"/>
    <w:basedOn w:val="Normal"/>
    <w:next w:val="Normal"/>
    <w:qFormat/>
    <w:pPr>
      <w:keepNext/>
      <w:outlineLvl w:val="0"/>
    </w:pPr>
    <w:rPr>
      <w:b/>
      <w:bCs/>
      <w:lang w:val="fr-BE"/>
    </w:rPr>
  </w:style>
  <w:style w:type="paragraph" w:styleId="Titre2">
    <w:name w:val="heading 2"/>
    <w:basedOn w:val="Normal"/>
    <w:next w:val="Normal"/>
    <w:link w:val="Titre2Car1"/>
    <w:qFormat/>
    <w:pPr>
      <w:keepNext/>
      <w:ind w:left="900" w:hanging="540"/>
      <w:jc w:val="both"/>
      <w:outlineLvl w:val="1"/>
    </w:pPr>
    <w:rPr>
      <w:b/>
      <w:bCs/>
      <w:lang w:val="fr-FR"/>
    </w:rPr>
  </w:style>
  <w:style w:type="paragraph" w:styleId="Titre3">
    <w:name w:val="heading 3"/>
    <w:basedOn w:val="Normal"/>
    <w:next w:val="Normal"/>
    <w:link w:val="Titre3Car"/>
    <w:qFormat/>
    <w:pPr>
      <w:keepNext/>
      <w:spacing w:before="240" w:after="60"/>
      <w:ind w:firstLine="720"/>
      <w:outlineLvl w:val="2"/>
    </w:pPr>
    <w:rPr>
      <w:sz w:val="26"/>
      <w:szCs w:val="26"/>
      <w:lang w:val="fr-FR"/>
    </w:rPr>
  </w:style>
  <w:style w:type="paragraph" w:styleId="Titre4">
    <w:name w:val="heading 4"/>
    <w:basedOn w:val="Normal"/>
    <w:next w:val="Normal"/>
    <w:qFormat/>
    <w:pPr>
      <w:keepNext/>
      <w:ind w:left="360"/>
      <w:outlineLvl w:val="3"/>
    </w:pPr>
    <w:rPr>
      <w:b/>
      <w:bCs/>
      <w:lang w:val="fr-BE"/>
    </w:rPr>
  </w:style>
  <w:style w:type="paragraph" w:styleId="Titre5">
    <w:name w:val="heading 5"/>
    <w:basedOn w:val="Normal"/>
    <w:next w:val="Normal"/>
    <w:link w:val="Titre5Car"/>
    <w:qFormat/>
    <w:pPr>
      <w:keepNext/>
      <w:outlineLvl w:val="4"/>
    </w:pPr>
    <w:rPr>
      <w:rFonts w:ascii="Tahoma" w:hAnsi="Tahoma" w:cs="Tahoma"/>
      <w:b/>
      <w:bCs/>
      <w:i/>
      <w:iCs/>
      <w:lang w:val="nl-NL"/>
    </w:rPr>
  </w:style>
  <w:style w:type="paragraph" w:styleId="Titre7">
    <w:name w:val="heading 7"/>
    <w:basedOn w:val="Normal"/>
    <w:next w:val="Normal"/>
    <w:qFormat/>
    <w:pPr>
      <w:keepNext/>
      <w:outlineLvl w:val="6"/>
    </w:pPr>
    <w:rPr>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rsid w:val="0058324E"/>
    <w:pPr>
      <w:ind w:left="240"/>
    </w:pPr>
    <w:rPr>
      <w:smallCaps/>
      <w:szCs w:val="20"/>
    </w:rPr>
  </w:style>
  <w:style w:type="paragraph" w:styleId="Corpsdetexte">
    <w:name w:val="Body Text"/>
    <w:basedOn w:val="Normal"/>
    <w:pPr>
      <w:jc w:val="both"/>
    </w:pPr>
    <w:rPr>
      <w:lang w:val="fr-FR"/>
    </w:rPr>
  </w:style>
  <w:style w:type="paragraph" w:styleId="Retraitcorpsdetexte">
    <w:name w:val="Body Text Indent"/>
    <w:basedOn w:val="Normal"/>
    <w:pPr>
      <w:ind w:left="1080"/>
      <w:jc w:val="both"/>
    </w:pPr>
    <w:rPr>
      <w:lang w:val="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2">
    <w:name w:val="Body Text Indent 2"/>
    <w:basedOn w:val="Normal"/>
    <w:pPr>
      <w:ind w:left="1440"/>
      <w:jc w:val="both"/>
    </w:pPr>
    <w:rPr>
      <w:lang w:val="fr-FR"/>
    </w:rPr>
  </w:style>
  <w:style w:type="paragraph" w:styleId="Retraitcorpsdetexte3">
    <w:name w:val="Body Text Indent 3"/>
    <w:basedOn w:val="Normal"/>
    <w:pPr>
      <w:ind w:left="360"/>
    </w:pPr>
    <w:rPr>
      <w:lang w:val="fr-FR"/>
    </w:rPr>
  </w:style>
  <w:style w:type="paragraph" w:customStyle="1" w:styleId="Opmaakprofiel1">
    <w:name w:val="Opmaakprofiel1"/>
    <w:basedOn w:val="En-tte"/>
    <w:pPr>
      <w:tabs>
        <w:tab w:val="clear" w:pos="4536"/>
        <w:tab w:val="clear" w:pos="9072"/>
      </w:tabs>
      <w:jc w:val="both"/>
    </w:pPr>
    <w:rPr>
      <w:u w:val="single"/>
    </w:rPr>
  </w:style>
  <w:style w:type="paragraph" w:styleId="En-tte">
    <w:name w:val="header"/>
    <w:basedOn w:val="Normal"/>
    <w:pPr>
      <w:tabs>
        <w:tab w:val="center" w:pos="4536"/>
        <w:tab w:val="right" w:pos="9072"/>
      </w:tabs>
    </w:pPr>
    <w:rPr>
      <w:lang w:val="nl-NL"/>
    </w:rPr>
  </w:style>
  <w:style w:type="paragraph" w:styleId="Notedebasdepage">
    <w:name w:val="footnote text"/>
    <w:basedOn w:val="Normal"/>
    <w:link w:val="NotedebasdepageCar"/>
    <w:rPr>
      <w:sz w:val="20"/>
      <w:szCs w:val="20"/>
    </w:rPr>
  </w:style>
  <w:style w:type="character" w:styleId="Appelnotedebasdep">
    <w:name w:val="footnote reference"/>
    <w:rPr>
      <w:vertAlign w:val="superscript"/>
    </w:rPr>
  </w:style>
  <w:style w:type="paragraph" w:styleId="TM1">
    <w:name w:val="toc 1"/>
    <w:basedOn w:val="Normal"/>
    <w:next w:val="Normal"/>
    <w:autoRedefine/>
    <w:uiPriority w:val="39"/>
    <w:rsid w:val="00620B5F"/>
    <w:pPr>
      <w:tabs>
        <w:tab w:val="right" w:leader="dot" w:pos="9062"/>
      </w:tabs>
      <w:spacing w:before="120" w:after="120"/>
    </w:pPr>
    <w:rPr>
      <w:b/>
      <w:bCs/>
      <w:caps/>
      <w:noProof/>
      <w:sz w:val="22"/>
      <w:szCs w:val="22"/>
      <w:lang w:val="nl-NL"/>
    </w:rPr>
  </w:style>
  <w:style w:type="paragraph" w:styleId="TM3">
    <w:name w:val="toc 3"/>
    <w:basedOn w:val="Normal"/>
    <w:next w:val="Normal"/>
    <w:autoRedefine/>
    <w:uiPriority w:val="39"/>
    <w:rsid w:val="0058324E"/>
    <w:pPr>
      <w:ind w:left="480"/>
    </w:pPr>
    <w:rPr>
      <w:i/>
      <w:iCs/>
      <w:szCs w:val="20"/>
    </w:rPr>
  </w:style>
  <w:style w:type="paragraph" w:styleId="TM4">
    <w:name w:val="toc 4"/>
    <w:basedOn w:val="Normal"/>
    <w:next w:val="Normal"/>
    <w:autoRedefine/>
    <w:uiPriority w:val="39"/>
    <w:rsid w:val="0058324E"/>
    <w:pPr>
      <w:ind w:left="720"/>
    </w:pPr>
    <w:rPr>
      <w:szCs w:val="18"/>
    </w:rPr>
  </w:style>
  <w:style w:type="paragraph" w:styleId="TM5">
    <w:name w:val="toc 5"/>
    <w:basedOn w:val="Normal"/>
    <w:next w:val="Normal"/>
    <w:autoRedefine/>
    <w:uiPriority w:val="39"/>
    <w:rsid w:val="0058324E"/>
    <w:pPr>
      <w:ind w:left="960"/>
    </w:pPr>
    <w:rPr>
      <w:szCs w:val="18"/>
    </w:rPr>
  </w:style>
  <w:style w:type="paragraph" w:styleId="TM6">
    <w:name w:val="toc 6"/>
    <w:basedOn w:val="Normal"/>
    <w:next w:val="Normal"/>
    <w:autoRedefine/>
    <w:semiHidden/>
    <w:rsid w:val="0058324E"/>
    <w:pPr>
      <w:ind w:left="1200"/>
    </w:pPr>
    <w:rPr>
      <w:sz w:val="22"/>
      <w:szCs w:val="18"/>
    </w:rPr>
  </w:style>
  <w:style w:type="paragraph" w:styleId="TM7">
    <w:name w:val="toc 7"/>
    <w:basedOn w:val="Normal"/>
    <w:next w:val="Normal"/>
    <w:autoRedefine/>
    <w:semiHidden/>
    <w:rsid w:val="0058324E"/>
    <w:pPr>
      <w:ind w:left="1440"/>
    </w:pPr>
    <w:rPr>
      <w:sz w:val="22"/>
      <w:szCs w:val="18"/>
    </w:rPr>
  </w:style>
  <w:style w:type="paragraph" w:styleId="TM8">
    <w:name w:val="toc 8"/>
    <w:basedOn w:val="Normal"/>
    <w:next w:val="Normal"/>
    <w:autoRedefine/>
    <w:semiHidden/>
    <w:rsid w:val="0058324E"/>
    <w:pPr>
      <w:ind w:left="1680"/>
    </w:pPr>
    <w:rPr>
      <w:sz w:val="20"/>
      <w:szCs w:val="18"/>
    </w:rPr>
  </w:style>
  <w:style w:type="paragraph" w:styleId="TM9">
    <w:name w:val="toc 9"/>
    <w:basedOn w:val="Normal"/>
    <w:next w:val="Normal"/>
    <w:autoRedefine/>
    <w:semiHidden/>
    <w:pPr>
      <w:ind w:left="1920"/>
    </w:pPr>
    <w:rPr>
      <w:sz w:val="18"/>
      <w:szCs w:val="18"/>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character" w:customStyle="1" w:styleId="Titre2Car1">
    <w:name w:val="Titre 2 Car1"/>
    <w:link w:val="Titre2"/>
    <w:rsid w:val="008973DE"/>
    <w:rPr>
      <w:b/>
      <w:bCs/>
      <w:sz w:val="24"/>
      <w:szCs w:val="24"/>
      <w:lang w:val="fr-FR" w:eastAsia="en-US" w:bidi="ar-SA"/>
    </w:rPr>
  </w:style>
  <w:style w:type="paragraph" w:styleId="Textedebulles">
    <w:name w:val="Balloon Text"/>
    <w:basedOn w:val="Normal"/>
    <w:semiHidden/>
    <w:rsid w:val="00F62218"/>
    <w:rPr>
      <w:rFonts w:ascii="Tahoma" w:hAnsi="Tahoma" w:cs="Tahoma"/>
      <w:sz w:val="16"/>
      <w:szCs w:val="16"/>
    </w:rPr>
  </w:style>
  <w:style w:type="paragraph" w:customStyle="1" w:styleId="Letter">
    <w:name w:val="Letter"/>
    <w:basedOn w:val="Normal"/>
    <w:link w:val="LetterCar"/>
    <w:rsid w:val="004A6EC7"/>
    <w:rPr>
      <w:rFonts w:ascii="Arial" w:hAnsi="Arial"/>
      <w:sz w:val="22"/>
      <w:szCs w:val="20"/>
      <w:lang w:val="fr-FR"/>
    </w:rPr>
  </w:style>
  <w:style w:type="character" w:customStyle="1" w:styleId="CarCar">
    <w:name w:val="Car Car"/>
    <w:rsid w:val="003863B5"/>
    <w:rPr>
      <w:b/>
      <w:bCs/>
      <w:sz w:val="24"/>
      <w:szCs w:val="24"/>
      <w:lang w:val="fr-FR" w:eastAsia="en-US" w:bidi="ar-SA"/>
    </w:rPr>
  </w:style>
  <w:style w:type="character" w:customStyle="1" w:styleId="LetterCar">
    <w:name w:val="Letter Car"/>
    <w:link w:val="Letter"/>
    <w:rsid w:val="00062345"/>
    <w:rPr>
      <w:rFonts w:ascii="Arial" w:hAnsi="Arial"/>
      <w:sz w:val="22"/>
      <w:lang w:val="fr-FR" w:eastAsia="en-US" w:bidi="ar-SA"/>
    </w:rPr>
  </w:style>
  <w:style w:type="character" w:customStyle="1" w:styleId="Titre2Car">
    <w:name w:val="Titre 2 Car"/>
    <w:locked/>
    <w:rsid w:val="002024FC"/>
    <w:rPr>
      <w:b/>
      <w:bCs/>
      <w:sz w:val="24"/>
      <w:szCs w:val="24"/>
      <w:lang w:val="fr-FR" w:eastAsia="en-US" w:bidi="ar-SA"/>
    </w:rPr>
  </w:style>
  <w:style w:type="table" w:styleId="Grilledutableau">
    <w:name w:val="Table Grid"/>
    <w:basedOn w:val="TableauNormal"/>
    <w:rsid w:val="000A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writingstijl">
    <w:name w:val="Copywritingstijl"/>
    <w:rsid w:val="007B28C0"/>
    <w:pPr>
      <w:spacing w:line="360" w:lineRule="auto"/>
      <w:ind w:left="567"/>
    </w:pPr>
    <w:rPr>
      <w:rFonts w:ascii="Palatino" w:eastAsia="ヒラギノ角ゴ Pro W3" w:hAnsi="Palatino"/>
      <w:color w:val="000000"/>
      <w:sz w:val="24"/>
      <w:lang w:val="nl-NL" w:eastAsia="fr-BE"/>
    </w:rPr>
  </w:style>
  <w:style w:type="paragraph" w:styleId="Paragraphedeliste">
    <w:name w:val="List Paragraph"/>
    <w:basedOn w:val="Normal"/>
    <w:uiPriority w:val="34"/>
    <w:qFormat/>
    <w:rsid w:val="0091166D"/>
    <w:pPr>
      <w:ind w:left="708"/>
    </w:pPr>
  </w:style>
  <w:style w:type="paragraph" w:styleId="Titre">
    <w:name w:val="Title"/>
    <w:basedOn w:val="Normal"/>
    <w:next w:val="Normal"/>
    <w:link w:val="TitreCar"/>
    <w:qFormat/>
    <w:rsid w:val="006C2733"/>
    <w:pPr>
      <w:spacing w:before="240" w:after="60"/>
      <w:jc w:val="center"/>
      <w:outlineLvl w:val="0"/>
    </w:pPr>
    <w:rPr>
      <w:rFonts w:ascii="Cambria" w:hAnsi="Cambria"/>
      <w:b/>
      <w:bCs/>
      <w:kern w:val="28"/>
      <w:sz w:val="32"/>
      <w:szCs w:val="32"/>
    </w:rPr>
  </w:style>
  <w:style w:type="character" w:customStyle="1" w:styleId="TitreCar">
    <w:name w:val="Titre Car"/>
    <w:link w:val="Titre"/>
    <w:rsid w:val="006C2733"/>
    <w:rPr>
      <w:rFonts w:ascii="Cambria" w:eastAsia="Times New Roman" w:hAnsi="Cambria" w:cs="Times New Roman"/>
      <w:b/>
      <w:bCs/>
      <w:kern w:val="28"/>
      <w:sz w:val="32"/>
      <w:szCs w:val="32"/>
      <w:lang w:val="en-GB" w:eastAsia="en-US"/>
    </w:rPr>
  </w:style>
  <w:style w:type="character" w:customStyle="1" w:styleId="NotedebasdepageCar">
    <w:name w:val="Note de bas de page Car"/>
    <w:link w:val="Notedebasdepage"/>
    <w:rsid w:val="00325CA5"/>
    <w:rPr>
      <w:lang w:val="en-GB" w:eastAsia="en-US"/>
    </w:rPr>
  </w:style>
  <w:style w:type="paragraph" w:customStyle="1" w:styleId="Koptekst1">
    <w:name w:val="Koptekst1"/>
    <w:basedOn w:val="Normal"/>
    <w:next w:val="Normal"/>
    <w:rsid w:val="000308E0"/>
    <w:pPr>
      <w:autoSpaceDE w:val="0"/>
      <w:autoSpaceDN w:val="0"/>
      <w:adjustRightInd w:val="0"/>
    </w:pPr>
    <w:rPr>
      <w:rFonts w:ascii="NAJNLA+Tahoma" w:hAnsi="NAJNLA+Tahoma"/>
      <w:lang w:val="fr-FR" w:eastAsia="fr-FR"/>
    </w:rPr>
  </w:style>
  <w:style w:type="character" w:customStyle="1" w:styleId="Titre5Car">
    <w:name w:val="Titre 5 Car"/>
    <w:link w:val="Titre5"/>
    <w:rsid w:val="00470771"/>
    <w:rPr>
      <w:rFonts w:ascii="Tahoma" w:hAnsi="Tahoma" w:cs="Tahoma"/>
      <w:b/>
      <w:bCs/>
      <w:i/>
      <w:iCs/>
      <w:sz w:val="24"/>
      <w:szCs w:val="24"/>
      <w:lang w:val="nl-NL" w:eastAsia="en-US" w:bidi="ar-SA"/>
    </w:rPr>
  </w:style>
  <w:style w:type="character" w:customStyle="1" w:styleId="Titre3Car">
    <w:name w:val="Titre 3 Car"/>
    <w:link w:val="Titre3"/>
    <w:rsid w:val="00F50D3D"/>
    <w:rPr>
      <w:sz w:val="26"/>
      <w:szCs w:val="26"/>
      <w:lang w:val="fr-FR" w:eastAsia="en-US" w:bidi="ar-SA"/>
    </w:rPr>
  </w:style>
  <w:style w:type="paragraph" w:styleId="Lgende">
    <w:name w:val="caption"/>
    <w:basedOn w:val="Normal"/>
    <w:next w:val="Normal"/>
    <w:unhideWhenUsed/>
    <w:qFormat/>
    <w:rsid w:val="0059059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867">
      <w:bodyDiv w:val="1"/>
      <w:marLeft w:val="0"/>
      <w:marRight w:val="0"/>
      <w:marTop w:val="0"/>
      <w:marBottom w:val="0"/>
      <w:divBdr>
        <w:top w:val="none" w:sz="0" w:space="0" w:color="auto"/>
        <w:left w:val="none" w:sz="0" w:space="0" w:color="auto"/>
        <w:bottom w:val="none" w:sz="0" w:space="0" w:color="auto"/>
        <w:right w:val="none" w:sz="0" w:space="0" w:color="auto"/>
      </w:divBdr>
    </w:div>
    <w:div w:id="25370650">
      <w:bodyDiv w:val="1"/>
      <w:marLeft w:val="0"/>
      <w:marRight w:val="0"/>
      <w:marTop w:val="0"/>
      <w:marBottom w:val="0"/>
      <w:divBdr>
        <w:top w:val="none" w:sz="0" w:space="0" w:color="auto"/>
        <w:left w:val="none" w:sz="0" w:space="0" w:color="auto"/>
        <w:bottom w:val="none" w:sz="0" w:space="0" w:color="auto"/>
        <w:right w:val="none" w:sz="0" w:space="0" w:color="auto"/>
      </w:divBdr>
      <w:divsChild>
        <w:div w:id="560215901">
          <w:marLeft w:val="0"/>
          <w:marRight w:val="0"/>
          <w:marTop w:val="86"/>
          <w:marBottom w:val="0"/>
          <w:divBdr>
            <w:top w:val="none" w:sz="0" w:space="0" w:color="auto"/>
            <w:left w:val="none" w:sz="0" w:space="0" w:color="auto"/>
            <w:bottom w:val="none" w:sz="0" w:space="0" w:color="auto"/>
            <w:right w:val="none" w:sz="0" w:space="0" w:color="auto"/>
          </w:divBdr>
        </w:div>
      </w:divsChild>
    </w:div>
    <w:div w:id="27919381">
      <w:bodyDiv w:val="1"/>
      <w:marLeft w:val="0"/>
      <w:marRight w:val="0"/>
      <w:marTop w:val="0"/>
      <w:marBottom w:val="0"/>
      <w:divBdr>
        <w:top w:val="none" w:sz="0" w:space="0" w:color="auto"/>
        <w:left w:val="none" w:sz="0" w:space="0" w:color="auto"/>
        <w:bottom w:val="none" w:sz="0" w:space="0" w:color="auto"/>
        <w:right w:val="none" w:sz="0" w:space="0" w:color="auto"/>
      </w:divBdr>
    </w:div>
    <w:div w:id="84350497">
      <w:bodyDiv w:val="1"/>
      <w:marLeft w:val="0"/>
      <w:marRight w:val="0"/>
      <w:marTop w:val="0"/>
      <w:marBottom w:val="0"/>
      <w:divBdr>
        <w:top w:val="none" w:sz="0" w:space="0" w:color="auto"/>
        <w:left w:val="none" w:sz="0" w:space="0" w:color="auto"/>
        <w:bottom w:val="none" w:sz="0" w:space="0" w:color="auto"/>
        <w:right w:val="none" w:sz="0" w:space="0" w:color="auto"/>
      </w:divBdr>
      <w:divsChild>
        <w:div w:id="1287392127">
          <w:marLeft w:val="360"/>
          <w:marRight w:val="0"/>
          <w:marTop w:val="86"/>
          <w:marBottom w:val="0"/>
          <w:divBdr>
            <w:top w:val="none" w:sz="0" w:space="0" w:color="auto"/>
            <w:left w:val="none" w:sz="0" w:space="0" w:color="auto"/>
            <w:bottom w:val="none" w:sz="0" w:space="0" w:color="auto"/>
            <w:right w:val="none" w:sz="0" w:space="0" w:color="auto"/>
          </w:divBdr>
        </w:div>
        <w:div w:id="1913082579">
          <w:marLeft w:val="360"/>
          <w:marRight w:val="0"/>
          <w:marTop w:val="86"/>
          <w:marBottom w:val="0"/>
          <w:divBdr>
            <w:top w:val="none" w:sz="0" w:space="0" w:color="auto"/>
            <w:left w:val="none" w:sz="0" w:space="0" w:color="auto"/>
            <w:bottom w:val="none" w:sz="0" w:space="0" w:color="auto"/>
            <w:right w:val="none" w:sz="0" w:space="0" w:color="auto"/>
          </w:divBdr>
        </w:div>
        <w:div w:id="2049840563">
          <w:marLeft w:val="360"/>
          <w:marRight w:val="0"/>
          <w:marTop w:val="86"/>
          <w:marBottom w:val="0"/>
          <w:divBdr>
            <w:top w:val="none" w:sz="0" w:space="0" w:color="auto"/>
            <w:left w:val="none" w:sz="0" w:space="0" w:color="auto"/>
            <w:bottom w:val="none" w:sz="0" w:space="0" w:color="auto"/>
            <w:right w:val="none" w:sz="0" w:space="0" w:color="auto"/>
          </w:divBdr>
        </w:div>
        <w:div w:id="2083212783">
          <w:marLeft w:val="360"/>
          <w:marRight w:val="0"/>
          <w:marTop w:val="86"/>
          <w:marBottom w:val="0"/>
          <w:divBdr>
            <w:top w:val="none" w:sz="0" w:space="0" w:color="auto"/>
            <w:left w:val="none" w:sz="0" w:space="0" w:color="auto"/>
            <w:bottom w:val="none" w:sz="0" w:space="0" w:color="auto"/>
            <w:right w:val="none" w:sz="0" w:space="0" w:color="auto"/>
          </w:divBdr>
        </w:div>
        <w:div w:id="2099789166">
          <w:marLeft w:val="360"/>
          <w:marRight w:val="0"/>
          <w:marTop w:val="86"/>
          <w:marBottom w:val="0"/>
          <w:divBdr>
            <w:top w:val="none" w:sz="0" w:space="0" w:color="auto"/>
            <w:left w:val="none" w:sz="0" w:space="0" w:color="auto"/>
            <w:bottom w:val="none" w:sz="0" w:space="0" w:color="auto"/>
            <w:right w:val="none" w:sz="0" w:space="0" w:color="auto"/>
          </w:divBdr>
        </w:div>
      </w:divsChild>
    </w:div>
    <w:div w:id="121770770">
      <w:bodyDiv w:val="1"/>
      <w:marLeft w:val="0"/>
      <w:marRight w:val="0"/>
      <w:marTop w:val="0"/>
      <w:marBottom w:val="0"/>
      <w:divBdr>
        <w:top w:val="none" w:sz="0" w:space="0" w:color="auto"/>
        <w:left w:val="none" w:sz="0" w:space="0" w:color="auto"/>
        <w:bottom w:val="none" w:sz="0" w:space="0" w:color="auto"/>
        <w:right w:val="none" w:sz="0" w:space="0" w:color="auto"/>
      </w:divBdr>
      <w:divsChild>
        <w:div w:id="1023482604">
          <w:marLeft w:val="0"/>
          <w:marRight w:val="0"/>
          <w:marTop w:val="86"/>
          <w:marBottom w:val="0"/>
          <w:divBdr>
            <w:top w:val="none" w:sz="0" w:space="0" w:color="auto"/>
            <w:left w:val="none" w:sz="0" w:space="0" w:color="auto"/>
            <w:bottom w:val="none" w:sz="0" w:space="0" w:color="auto"/>
            <w:right w:val="none" w:sz="0" w:space="0" w:color="auto"/>
          </w:divBdr>
        </w:div>
        <w:div w:id="1623150717">
          <w:marLeft w:val="0"/>
          <w:marRight w:val="0"/>
          <w:marTop w:val="86"/>
          <w:marBottom w:val="0"/>
          <w:divBdr>
            <w:top w:val="none" w:sz="0" w:space="0" w:color="auto"/>
            <w:left w:val="none" w:sz="0" w:space="0" w:color="auto"/>
            <w:bottom w:val="none" w:sz="0" w:space="0" w:color="auto"/>
            <w:right w:val="none" w:sz="0" w:space="0" w:color="auto"/>
          </w:divBdr>
        </w:div>
        <w:div w:id="1655792645">
          <w:marLeft w:val="0"/>
          <w:marRight w:val="0"/>
          <w:marTop w:val="86"/>
          <w:marBottom w:val="0"/>
          <w:divBdr>
            <w:top w:val="none" w:sz="0" w:space="0" w:color="auto"/>
            <w:left w:val="none" w:sz="0" w:space="0" w:color="auto"/>
            <w:bottom w:val="none" w:sz="0" w:space="0" w:color="auto"/>
            <w:right w:val="none" w:sz="0" w:space="0" w:color="auto"/>
          </w:divBdr>
        </w:div>
        <w:div w:id="1665040323">
          <w:marLeft w:val="0"/>
          <w:marRight w:val="0"/>
          <w:marTop w:val="86"/>
          <w:marBottom w:val="0"/>
          <w:divBdr>
            <w:top w:val="none" w:sz="0" w:space="0" w:color="auto"/>
            <w:left w:val="none" w:sz="0" w:space="0" w:color="auto"/>
            <w:bottom w:val="none" w:sz="0" w:space="0" w:color="auto"/>
            <w:right w:val="none" w:sz="0" w:space="0" w:color="auto"/>
          </w:divBdr>
        </w:div>
      </w:divsChild>
    </w:div>
    <w:div w:id="198859597">
      <w:bodyDiv w:val="1"/>
      <w:marLeft w:val="0"/>
      <w:marRight w:val="0"/>
      <w:marTop w:val="0"/>
      <w:marBottom w:val="0"/>
      <w:divBdr>
        <w:top w:val="none" w:sz="0" w:space="0" w:color="auto"/>
        <w:left w:val="none" w:sz="0" w:space="0" w:color="auto"/>
        <w:bottom w:val="none" w:sz="0" w:space="0" w:color="auto"/>
        <w:right w:val="none" w:sz="0" w:space="0" w:color="auto"/>
      </w:divBdr>
      <w:divsChild>
        <w:div w:id="305744692">
          <w:marLeft w:val="0"/>
          <w:marRight w:val="0"/>
          <w:marTop w:val="86"/>
          <w:marBottom w:val="0"/>
          <w:divBdr>
            <w:top w:val="none" w:sz="0" w:space="0" w:color="auto"/>
            <w:left w:val="none" w:sz="0" w:space="0" w:color="auto"/>
            <w:bottom w:val="none" w:sz="0" w:space="0" w:color="auto"/>
            <w:right w:val="none" w:sz="0" w:space="0" w:color="auto"/>
          </w:divBdr>
        </w:div>
        <w:div w:id="680670036">
          <w:marLeft w:val="0"/>
          <w:marRight w:val="0"/>
          <w:marTop w:val="86"/>
          <w:marBottom w:val="0"/>
          <w:divBdr>
            <w:top w:val="none" w:sz="0" w:space="0" w:color="auto"/>
            <w:left w:val="none" w:sz="0" w:space="0" w:color="auto"/>
            <w:bottom w:val="none" w:sz="0" w:space="0" w:color="auto"/>
            <w:right w:val="none" w:sz="0" w:space="0" w:color="auto"/>
          </w:divBdr>
        </w:div>
        <w:div w:id="1067918170">
          <w:marLeft w:val="0"/>
          <w:marRight w:val="0"/>
          <w:marTop w:val="86"/>
          <w:marBottom w:val="0"/>
          <w:divBdr>
            <w:top w:val="none" w:sz="0" w:space="0" w:color="auto"/>
            <w:left w:val="none" w:sz="0" w:space="0" w:color="auto"/>
            <w:bottom w:val="none" w:sz="0" w:space="0" w:color="auto"/>
            <w:right w:val="none" w:sz="0" w:space="0" w:color="auto"/>
          </w:divBdr>
        </w:div>
        <w:div w:id="1197081093">
          <w:marLeft w:val="0"/>
          <w:marRight w:val="0"/>
          <w:marTop w:val="86"/>
          <w:marBottom w:val="0"/>
          <w:divBdr>
            <w:top w:val="none" w:sz="0" w:space="0" w:color="auto"/>
            <w:left w:val="none" w:sz="0" w:space="0" w:color="auto"/>
            <w:bottom w:val="none" w:sz="0" w:space="0" w:color="auto"/>
            <w:right w:val="none" w:sz="0" w:space="0" w:color="auto"/>
          </w:divBdr>
        </w:div>
        <w:div w:id="1487629301">
          <w:marLeft w:val="0"/>
          <w:marRight w:val="0"/>
          <w:marTop w:val="86"/>
          <w:marBottom w:val="0"/>
          <w:divBdr>
            <w:top w:val="none" w:sz="0" w:space="0" w:color="auto"/>
            <w:left w:val="none" w:sz="0" w:space="0" w:color="auto"/>
            <w:bottom w:val="none" w:sz="0" w:space="0" w:color="auto"/>
            <w:right w:val="none" w:sz="0" w:space="0" w:color="auto"/>
          </w:divBdr>
        </w:div>
        <w:div w:id="1928270939">
          <w:marLeft w:val="0"/>
          <w:marRight w:val="0"/>
          <w:marTop w:val="86"/>
          <w:marBottom w:val="0"/>
          <w:divBdr>
            <w:top w:val="none" w:sz="0" w:space="0" w:color="auto"/>
            <w:left w:val="none" w:sz="0" w:space="0" w:color="auto"/>
            <w:bottom w:val="none" w:sz="0" w:space="0" w:color="auto"/>
            <w:right w:val="none" w:sz="0" w:space="0" w:color="auto"/>
          </w:divBdr>
        </w:div>
        <w:div w:id="2005624991">
          <w:marLeft w:val="0"/>
          <w:marRight w:val="0"/>
          <w:marTop w:val="86"/>
          <w:marBottom w:val="0"/>
          <w:divBdr>
            <w:top w:val="none" w:sz="0" w:space="0" w:color="auto"/>
            <w:left w:val="none" w:sz="0" w:space="0" w:color="auto"/>
            <w:bottom w:val="none" w:sz="0" w:space="0" w:color="auto"/>
            <w:right w:val="none" w:sz="0" w:space="0" w:color="auto"/>
          </w:divBdr>
        </w:div>
      </w:divsChild>
    </w:div>
    <w:div w:id="235628008">
      <w:bodyDiv w:val="1"/>
      <w:marLeft w:val="0"/>
      <w:marRight w:val="0"/>
      <w:marTop w:val="0"/>
      <w:marBottom w:val="0"/>
      <w:divBdr>
        <w:top w:val="none" w:sz="0" w:space="0" w:color="auto"/>
        <w:left w:val="none" w:sz="0" w:space="0" w:color="auto"/>
        <w:bottom w:val="none" w:sz="0" w:space="0" w:color="auto"/>
        <w:right w:val="none" w:sz="0" w:space="0" w:color="auto"/>
      </w:divBdr>
    </w:div>
    <w:div w:id="434906922">
      <w:bodyDiv w:val="1"/>
      <w:marLeft w:val="0"/>
      <w:marRight w:val="0"/>
      <w:marTop w:val="0"/>
      <w:marBottom w:val="0"/>
      <w:divBdr>
        <w:top w:val="none" w:sz="0" w:space="0" w:color="auto"/>
        <w:left w:val="none" w:sz="0" w:space="0" w:color="auto"/>
        <w:bottom w:val="none" w:sz="0" w:space="0" w:color="auto"/>
        <w:right w:val="none" w:sz="0" w:space="0" w:color="auto"/>
      </w:divBdr>
    </w:div>
    <w:div w:id="442383790">
      <w:bodyDiv w:val="1"/>
      <w:marLeft w:val="0"/>
      <w:marRight w:val="0"/>
      <w:marTop w:val="0"/>
      <w:marBottom w:val="0"/>
      <w:divBdr>
        <w:top w:val="none" w:sz="0" w:space="0" w:color="auto"/>
        <w:left w:val="none" w:sz="0" w:space="0" w:color="auto"/>
        <w:bottom w:val="none" w:sz="0" w:space="0" w:color="auto"/>
        <w:right w:val="none" w:sz="0" w:space="0" w:color="auto"/>
      </w:divBdr>
    </w:div>
    <w:div w:id="498009069">
      <w:bodyDiv w:val="1"/>
      <w:marLeft w:val="0"/>
      <w:marRight w:val="0"/>
      <w:marTop w:val="0"/>
      <w:marBottom w:val="0"/>
      <w:divBdr>
        <w:top w:val="none" w:sz="0" w:space="0" w:color="auto"/>
        <w:left w:val="none" w:sz="0" w:space="0" w:color="auto"/>
        <w:bottom w:val="none" w:sz="0" w:space="0" w:color="auto"/>
        <w:right w:val="none" w:sz="0" w:space="0" w:color="auto"/>
      </w:divBdr>
    </w:div>
    <w:div w:id="498958299">
      <w:bodyDiv w:val="1"/>
      <w:marLeft w:val="0"/>
      <w:marRight w:val="0"/>
      <w:marTop w:val="0"/>
      <w:marBottom w:val="0"/>
      <w:divBdr>
        <w:top w:val="none" w:sz="0" w:space="0" w:color="auto"/>
        <w:left w:val="none" w:sz="0" w:space="0" w:color="auto"/>
        <w:bottom w:val="none" w:sz="0" w:space="0" w:color="auto"/>
        <w:right w:val="none" w:sz="0" w:space="0" w:color="auto"/>
      </w:divBdr>
    </w:div>
    <w:div w:id="690648001">
      <w:bodyDiv w:val="1"/>
      <w:marLeft w:val="0"/>
      <w:marRight w:val="0"/>
      <w:marTop w:val="0"/>
      <w:marBottom w:val="0"/>
      <w:divBdr>
        <w:top w:val="none" w:sz="0" w:space="0" w:color="auto"/>
        <w:left w:val="none" w:sz="0" w:space="0" w:color="auto"/>
        <w:bottom w:val="none" w:sz="0" w:space="0" w:color="auto"/>
        <w:right w:val="none" w:sz="0" w:space="0" w:color="auto"/>
      </w:divBdr>
    </w:div>
    <w:div w:id="991830524">
      <w:bodyDiv w:val="1"/>
      <w:marLeft w:val="0"/>
      <w:marRight w:val="0"/>
      <w:marTop w:val="0"/>
      <w:marBottom w:val="0"/>
      <w:divBdr>
        <w:top w:val="none" w:sz="0" w:space="0" w:color="auto"/>
        <w:left w:val="none" w:sz="0" w:space="0" w:color="auto"/>
        <w:bottom w:val="none" w:sz="0" w:space="0" w:color="auto"/>
        <w:right w:val="none" w:sz="0" w:space="0" w:color="auto"/>
      </w:divBdr>
      <w:divsChild>
        <w:div w:id="1679963495">
          <w:marLeft w:val="0"/>
          <w:marRight w:val="0"/>
          <w:marTop w:val="86"/>
          <w:marBottom w:val="0"/>
          <w:divBdr>
            <w:top w:val="none" w:sz="0" w:space="0" w:color="auto"/>
            <w:left w:val="none" w:sz="0" w:space="0" w:color="auto"/>
            <w:bottom w:val="none" w:sz="0" w:space="0" w:color="auto"/>
            <w:right w:val="none" w:sz="0" w:space="0" w:color="auto"/>
          </w:divBdr>
        </w:div>
        <w:div w:id="1919552826">
          <w:marLeft w:val="0"/>
          <w:marRight w:val="0"/>
          <w:marTop w:val="86"/>
          <w:marBottom w:val="0"/>
          <w:divBdr>
            <w:top w:val="none" w:sz="0" w:space="0" w:color="auto"/>
            <w:left w:val="none" w:sz="0" w:space="0" w:color="auto"/>
            <w:bottom w:val="none" w:sz="0" w:space="0" w:color="auto"/>
            <w:right w:val="none" w:sz="0" w:space="0" w:color="auto"/>
          </w:divBdr>
        </w:div>
      </w:divsChild>
    </w:div>
    <w:div w:id="100986512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sChild>
        <w:div w:id="1288005574">
          <w:marLeft w:val="0"/>
          <w:marRight w:val="0"/>
          <w:marTop w:val="86"/>
          <w:marBottom w:val="0"/>
          <w:divBdr>
            <w:top w:val="none" w:sz="0" w:space="0" w:color="auto"/>
            <w:left w:val="none" w:sz="0" w:space="0" w:color="auto"/>
            <w:bottom w:val="none" w:sz="0" w:space="0" w:color="auto"/>
            <w:right w:val="none" w:sz="0" w:space="0" w:color="auto"/>
          </w:divBdr>
        </w:div>
        <w:div w:id="1600017013">
          <w:marLeft w:val="0"/>
          <w:marRight w:val="0"/>
          <w:marTop w:val="86"/>
          <w:marBottom w:val="0"/>
          <w:divBdr>
            <w:top w:val="none" w:sz="0" w:space="0" w:color="auto"/>
            <w:left w:val="none" w:sz="0" w:space="0" w:color="auto"/>
            <w:bottom w:val="none" w:sz="0" w:space="0" w:color="auto"/>
            <w:right w:val="none" w:sz="0" w:space="0" w:color="auto"/>
          </w:divBdr>
        </w:div>
        <w:div w:id="1631201798">
          <w:marLeft w:val="0"/>
          <w:marRight w:val="0"/>
          <w:marTop w:val="86"/>
          <w:marBottom w:val="0"/>
          <w:divBdr>
            <w:top w:val="none" w:sz="0" w:space="0" w:color="auto"/>
            <w:left w:val="none" w:sz="0" w:space="0" w:color="auto"/>
            <w:bottom w:val="none" w:sz="0" w:space="0" w:color="auto"/>
            <w:right w:val="none" w:sz="0" w:space="0" w:color="auto"/>
          </w:divBdr>
        </w:div>
        <w:div w:id="1834645391">
          <w:marLeft w:val="0"/>
          <w:marRight w:val="0"/>
          <w:marTop w:val="86"/>
          <w:marBottom w:val="0"/>
          <w:divBdr>
            <w:top w:val="none" w:sz="0" w:space="0" w:color="auto"/>
            <w:left w:val="none" w:sz="0" w:space="0" w:color="auto"/>
            <w:bottom w:val="none" w:sz="0" w:space="0" w:color="auto"/>
            <w:right w:val="none" w:sz="0" w:space="0" w:color="auto"/>
          </w:divBdr>
        </w:div>
      </w:divsChild>
    </w:div>
    <w:div w:id="1360550323">
      <w:bodyDiv w:val="1"/>
      <w:marLeft w:val="0"/>
      <w:marRight w:val="0"/>
      <w:marTop w:val="0"/>
      <w:marBottom w:val="0"/>
      <w:divBdr>
        <w:top w:val="none" w:sz="0" w:space="0" w:color="auto"/>
        <w:left w:val="none" w:sz="0" w:space="0" w:color="auto"/>
        <w:bottom w:val="none" w:sz="0" w:space="0" w:color="auto"/>
        <w:right w:val="none" w:sz="0" w:space="0" w:color="auto"/>
      </w:divBdr>
    </w:div>
    <w:div w:id="1373798328">
      <w:bodyDiv w:val="1"/>
      <w:marLeft w:val="0"/>
      <w:marRight w:val="0"/>
      <w:marTop w:val="0"/>
      <w:marBottom w:val="0"/>
      <w:divBdr>
        <w:top w:val="none" w:sz="0" w:space="0" w:color="auto"/>
        <w:left w:val="none" w:sz="0" w:space="0" w:color="auto"/>
        <w:bottom w:val="none" w:sz="0" w:space="0" w:color="auto"/>
        <w:right w:val="none" w:sz="0" w:space="0" w:color="auto"/>
      </w:divBdr>
    </w:div>
    <w:div w:id="1473449607">
      <w:bodyDiv w:val="1"/>
      <w:marLeft w:val="0"/>
      <w:marRight w:val="0"/>
      <w:marTop w:val="0"/>
      <w:marBottom w:val="0"/>
      <w:divBdr>
        <w:top w:val="none" w:sz="0" w:space="0" w:color="auto"/>
        <w:left w:val="none" w:sz="0" w:space="0" w:color="auto"/>
        <w:bottom w:val="none" w:sz="0" w:space="0" w:color="auto"/>
        <w:right w:val="none" w:sz="0" w:space="0" w:color="auto"/>
      </w:divBdr>
    </w:div>
    <w:div w:id="1474832440">
      <w:bodyDiv w:val="1"/>
      <w:marLeft w:val="0"/>
      <w:marRight w:val="0"/>
      <w:marTop w:val="0"/>
      <w:marBottom w:val="0"/>
      <w:divBdr>
        <w:top w:val="none" w:sz="0" w:space="0" w:color="auto"/>
        <w:left w:val="none" w:sz="0" w:space="0" w:color="auto"/>
        <w:bottom w:val="none" w:sz="0" w:space="0" w:color="auto"/>
        <w:right w:val="none" w:sz="0" w:space="0" w:color="auto"/>
      </w:divBdr>
    </w:div>
    <w:div w:id="1486626582">
      <w:bodyDiv w:val="1"/>
      <w:marLeft w:val="0"/>
      <w:marRight w:val="0"/>
      <w:marTop w:val="0"/>
      <w:marBottom w:val="0"/>
      <w:divBdr>
        <w:top w:val="none" w:sz="0" w:space="0" w:color="auto"/>
        <w:left w:val="none" w:sz="0" w:space="0" w:color="auto"/>
        <w:bottom w:val="none" w:sz="0" w:space="0" w:color="auto"/>
        <w:right w:val="none" w:sz="0" w:space="0" w:color="auto"/>
      </w:divBdr>
      <w:divsChild>
        <w:div w:id="686907547">
          <w:marLeft w:val="0"/>
          <w:marRight w:val="0"/>
          <w:marTop w:val="86"/>
          <w:marBottom w:val="0"/>
          <w:divBdr>
            <w:top w:val="none" w:sz="0" w:space="0" w:color="auto"/>
            <w:left w:val="none" w:sz="0" w:space="0" w:color="auto"/>
            <w:bottom w:val="none" w:sz="0" w:space="0" w:color="auto"/>
            <w:right w:val="none" w:sz="0" w:space="0" w:color="auto"/>
          </w:divBdr>
        </w:div>
        <w:div w:id="724185242">
          <w:marLeft w:val="0"/>
          <w:marRight w:val="0"/>
          <w:marTop w:val="86"/>
          <w:marBottom w:val="0"/>
          <w:divBdr>
            <w:top w:val="none" w:sz="0" w:space="0" w:color="auto"/>
            <w:left w:val="none" w:sz="0" w:space="0" w:color="auto"/>
            <w:bottom w:val="none" w:sz="0" w:space="0" w:color="auto"/>
            <w:right w:val="none" w:sz="0" w:space="0" w:color="auto"/>
          </w:divBdr>
        </w:div>
        <w:div w:id="759370352">
          <w:marLeft w:val="0"/>
          <w:marRight w:val="0"/>
          <w:marTop w:val="86"/>
          <w:marBottom w:val="0"/>
          <w:divBdr>
            <w:top w:val="none" w:sz="0" w:space="0" w:color="auto"/>
            <w:left w:val="none" w:sz="0" w:space="0" w:color="auto"/>
            <w:bottom w:val="none" w:sz="0" w:space="0" w:color="auto"/>
            <w:right w:val="none" w:sz="0" w:space="0" w:color="auto"/>
          </w:divBdr>
        </w:div>
      </w:divsChild>
    </w:div>
    <w:div w:id="1552888943">
      <w:bodyDiv w:val="1"/>
      <w:marLeft w:val="0"/>
      <w:marRight w:val="0"/>
      <w:marTop w:val="0"/>
      <w:marBottom w:val="0"/>
      <w:divBdr>
        <w:top w:val="none" w:sz="0" w:space="0" w:color="auto"/>
        <w:left w:val="none" w:sz="0" w:space="0" w:color="auto"/>
        <w:bottom w:val="none" w:sz="0" w:space="0" w:color="auto"/>
        <w:right w:val="none" w:sz="0" w:space="0" w:color="auto"/>
      </w:divBdr>
    </w:div>
    <w:div w:id="1591891561">
      <w:bodyDiv w:val="1"/>
      <w:marLeft w:val="0"/>
      <w:marRight w:val="0"/>
      <w:marTop w:val="0"/>
      <w:marBottom w:val="0"/>
      <w:divBdr>
        <w:top w:val="none" w:sz="0" w:space="0" w:color="auto"/>
        <w:left w:val="none" w:sz="0" w:space="0" w:color="auto"/>
        <w:bottom w:val="none" w:sz="0" w:space="0" w:color="auto"/>
        <w:right w:val="none" w:sz="0" w:space="0" w:color="auto"/>
      </w:divBdr>
    </w:div>
    <w:div w:id="1684554472">
      <w:bodyDiv w:val="1"/>
      <w:marLeft w:val="0"/>
      <w:marRight w:val="0"/>
      <w:marTop w:val="0"/>
      <w:marBottom w:val="0"/>
      <w:divBdr>
        <w:top w:val="none" w:sz="0" w:space="0" w:color="auto"/>
        <w:left w:val="none" w:sz="0" w:space="0" w:color="auto"/>
        <w:bottom w:val="none" w:sz="0" w:space="0" w:color="auto"/>
        <w:right w:val="none" w:sz="0" w:space="0" w:color="auto"/>
      </w:divBdr>
    </w:div>
    <w:div w:id="1862934159">
      <w:bodyDiv w:val="1"/>
      <w:marLeft w:val="0"/>
      <w:marRight w:val="0"/>
      <w:marTop w:val="0"/>
      <w:marBottom w:val="0"/>
      <w:divBdr>
        <w:top w:val="none" w:sz="0" w:space="0" w:color="auto"/>
        <w:left w:val="none" w:sz="0" w:space="0" w:color="auto"/>
        <w:bottom w:val="none" w:sz="0" w:space="0" w:color="auto"/>
        <w:right w:val="none" w:sz="0" w:space="0" w:color="auto"/>
      </w:divBdr>
    </w:div>
    <w:div w:id="1872569633">
      <w:bodyDiv w:val="1"/>
      <w:marLeft w:val="0"/>
      <w:marRight w:val="0"/>
      <w:marTop w:val="0"/>
      <w:marBottom w:val="0"/>
      <w:divBdr>
        <w:top w:val="none" w:sz="0" w:space="0" w:color="auto"/>
        <w:left w:val="none" w:sz="0" w:space="0" w:color="auto"/>
        <w:bottom w:val="none" w:sz="0" w:space="0" w:color="auto"/>
        <w:right w:val="none" w:sz="0" w:space="0" w:color="auto"/>
      </w:divBdr>
    </w:div>
    <w:div w:id="19047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mi-is.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0.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54237288135594"/>
          <c:y val="5.2341597796143252E-2"/>
          <c:w val="0.62900188323917139"/>
          <c:h val="0.73553719008264462"/>
        </c:manualLayout>
      </c:layout>
      <c:areaChart>
        <c:grouping val="stacked"/>
        <c:varyColors val="0"/>
        <c:dLbls>
          <c:showLegendKey val="0"/>
          <c:showVal val="0"/>
          <c:showCatName val="0"/>
          <c:showSerName val="0"/>
          <c:showPercent val="0"/>
          <c:showBubbleSize val="0"/>
        </c:dLbls>
        <c:axId val="76918784"/>
        <c:axId val="78401920"/>
      </c:areaChart>
      <c:catAx>
        <c:axId val="76918784"/>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524" b="1" i="0" u="none" strike="noStrike" baseline="0">
                <a:solidFill>
                  <a:srgbClr val="000000"/>
                </a:solidFill>
                <a:latin typeface="Arial"/>
                <a:ea typeface="Arial"/>
                <a:cs typeface="Arial"/>
              </a:defRPr>
            </a:pPr>
            <a:endParaRPr lang="fr-FR"/>
          </a:p>
        </c:txPr>
        <c:crossAx val="78401920"/>
        <c:crosses val="autoZero"/>
        <c:auto val="1"/>
        <c:lblAlgn val="ctr"/>
        <c:lblOffset val="100"/>
        <c:tickMarkSkip val="1"/>
        <c:noMultiLvlLbl val="0"/>
      </c:catAx>
      <c:valAx>
        <c:axId val="7840192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524" b="1" i="0" u="none" strike="noStrike" baseline="0">
                <a:solidFill>
                  <a:srgbClr val="000000"/>
                </a:solidFill>
                <a:latin typeface="Arial"/>
                <a:ea typeface="Arial"/>
                <a:cs typeface="Arial"/>
              </a:defRPr>
            </a:pPr>
            <a:endParaRPr lang="fr-FR"/>
          </a:p>
        </c:txPr>
        <c:crossAx val="76918784"/>
        <c:crosses val="autoZero"/>
        <c:crossBetween val="midCat"/>
      </c:valAx>
      <c:dTable>
        <c:showHorzBorder val="1"/>
        <c:showVertBorder val="1"/>
        <c:showOutline val="1"/>
        <c:showKeys val="1"/>
        <c:spPr>
          <a:ln w="3174">
            <a:solidFill>
              <a:srgbClr val="000000"/>
            </a:solidFill>
            <a:prstDash val="solid"/>
          </a:ln>
        </c:spPr>
        <c:txPr>
          <a:bodyPr/>
          <a:lstStyle/>
          <a:p>
            <a:pPr rtl="0">
              <a:defRPr sz="1150" b="1" i="0" u="none" strike="noStrike" baseline="0">
                <a:solidFill>
                  <a:srgbClr val="000000"/>
                </a:solidFill>
                <a:latin typeface="Arial"/>
                <a:ea typeface="Arial"/>
                <a:cs typeface="Arial"/>
              </a:defRPr>
            </a:pPr>
            <a:endParaRPr lang="fr-FR"/>
          </a:p>
        </c:txPr>
      </c:dTable>
      <c:spPr>
        <a:noFill/>
        <a:ln w="3174">
          <a:solidFill>
            <a:srgbClr val="000000"/>
          </a:solidFill>
          <a:prstDash val="solid"/>
        </a:ln>
      </c:spPr>
    </c:plotArea>
    <c:plotVisOnly val="1"/>
    <c:dispBlanksAs val="zero"/>
    <c:showDLblsOverMax val="0"/>
  </c:chart>
  <c:spPr>
    <a:noFill/>
    <a:ln>
      <a:noFill/>
    </a:ln>
  </c:spPr>
  <c:txPr>
    <a:bodyPr/>
    <a:lstStyle/>
    <a:p>
      <a:pPr>
        <a:defRPr sz="1524" b="1" i="0" u="none" strike="noStrike" baseline="0">
          <a:solidFill>
            <a:srgbClr val="000000"/>
          </a:solidFill>
          <a:latin typeface="Arial"/>
          <a:ea typeface="Arial"/>
          <a:cs typeface="Arial"/>
        </a:defRPr>
      </a:pPr>
      <a:endParaRPr lang="fr-F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422370617696162E-2"/>
          <c:y val="2.1413276231263384E-3"/>
          <c:w val="0.75459098497495825"/>
          <c:h val="0.92077087794432544"/>
        </c:manualLayout>
      </c:layout>
      <c:areaChart>
        <c:grouping val="stacked"/>
        <c:varyColors val="0"/>
        <c:dLbls>
          <c:showLegendKey val="0"/>
          <c:showVal val="0"/>
          <c:showCatName val="0"/>
          <c:showSerName val="0"/>
          <c:showPercent val="0"/>
          <c:showBubbleSize val="0"/>
        </c:dLbls>
        <c:axId val="78423552"/>
        <c:axId val="78425088"/>
      </c:areaChart>
      <c:catAx>
        <c:axId val="78423552"/>
        <c:scaling>
          <c:orientation val="minMax"/>
        </c:scaling>
        <c:delete val="0"/>
        <c:axPos val="b"/>
        <c:majorTickMark val="out"/>
        <c:minorTickMark val="none"/>
        <c:tickLblPos val="nextTo"/>
        <c:spPr>
          <a:ln w="3173">
            <a:solidFill>
              <a:srgbClr val="000000"/>
            </a:solidFill>
            <a:prstDash val="solid"/>
          </a:ln>
        </c:spPr>
        <c:txPr>
          <a:bodyPr rot="0" vert="horz"/>
          <a:lstStyle/>
          <a:p>
            <a:pPr>
              <a:defRPr sz="1724" b="1" i="0" u="none" strike="noStrike" baseline="0">
                <a:solidFill>
                  <a:srgbClr val="000000"/>
                </a:solidFill>
                <a:latin typeface="Arial"/>
                <a:ea typeface="Arial"/>
                <a:cs typeface="Arial"/>
              </a:defRPr>
            </a:pPr>
            <a:endParaRPr lang="fr-FR"/>
          </a:p>
        </c:txPr>
        <c:crossAx val="78425088"/>
        <c:crosses val="autoZero"/>
        <c:auto val="1"/>
        <c:lblAlgn val="ctr"/>
        <c:lblOffset val="100"/>
        <c:tickMarkSkip val="1"/>
        <c:noMultiLvlLbl val="0"/>
      </c:catAx>
      <c:valAx>
        <c:axId val="78425088"/>
        <c:scaling>
          <c:orientation val="minMax"/>
        </c:scaling>
        <c:delete val="0"/>
        <c:axPos val="l"/>
        <c:majorGridlines>
          <c:spPr>
            <a:ln w="3173">
              <a:solidFill>
                <a:srgbClr val="000000"/>
              </a:solidFill>
              <a:prstDash val="solid"/>
            </a:ln>
          </c:spPr>
        </c:majorGridlines>
        <c:majorTickMark val="out"/>
        <c:minorTickMark val="none"/>
        <c:tickLblPos val="nextTo"/>
        <c:spPr>
          <a:ln w="3173">
            <a:solidFill>
              <a:srgbClr val="000000"/>
            </a:solidFill>
            <a:prstDash val="solid"/>
          </a:ln>
        </c:spPr>
        <c:txPr>
          <a:bodyPr rot="0" vert="horz"/>
          <a:lstStyle/>
          <a:p>
            <a:pPr>
              <a:defRPr sz="1724" b="1" i="0" u="none" strike="noStrike" baseline="0">
                <a:solidFill>
                  <a:srgbClr val="000000"/>
                </a:solidFill>
                <a:latin typeface="Arial"/>
                <a:ea typeface="Arial"/>
                <a:cs typeface="Arial"/>
              </a:defRPr>
            </a:pPr>
            <a:endParaRPr lang="fr-FR"/>
          </a:p>
        </c:txPr>
        <c:crossAx val="78423552"/>
        <c:crosses val="autoZero"/>
        <c:crossBetween val="midCat"/>
      </c:valAx>
      <c:spPr>
        <a:noFill/>
        <a:ln w="3173">
          <a:solidFill>
            <a:srgbClr val="000000"/>
          </a:solidFill>
          <a:prstDash val="solid"/>
        </a:ln>
      </c:spPr>
    </c:plotArea>
    <c:legend>
      <c:legendPos val="r"/>
      <c:layout>
        <c:manualLayout>
          <c:xMode val="edge"/>
          <c:yMode val="edge"/>
          <c:x val="0.81969949916527551"/>
          <c:y val="1.7130620985010708E-2"/>
          <c:w val="0.18030050083472454"/>
          <c:h val="0.91648822269807284"/>
        </c:manualLayout>
      </c:layout>
      <c:overlay val="0"/>
      <c:spPr>
        <a:noFill/>
        <a:ln w="3173">
          <a:solidFill>
            <a:srgbClr val="000000"/>
          </a:solidFill>
          <a:prstDash val="solid"/>
        </a:ln>
      </c:spPr>
      <c:txPr>
        <a:bodyPr/>
        <a:lstStyle/>
        <a:p>
          <a:pPr>
            <a:defRPr sz="1099" b="1" i="0" u="none" strike="noStrike" baseline="0">
              <a:solidFill>
                <a:srgbClr val="000000"/>
              </a:solidFill>
              <a:latin typeface="Arial"/>
              <a:ea typeface="Arial"/>
              <a:cs typeface="Arial"/>
            </a:defRPr>
          </a:pPr>
          <a:endParaRPr lang="fr-FR"/>
        </a:p>
      </c:txPr>
    </c:legend>
    <c:plotVisOnly val="1"/>
    <c:dispBlanksAs val="zero"/>
    <c:showDLblsOverMax val="0"/>
  </c:chart>
  <c:spPr>
    <a:noFill/>
    <a:ln>
      <a:noFill/>
    </a:ln>
  </c:spPr>
  <c:txPr>
    <a:bodyPr/>
    <a:lstStyle/>
    <a:p>
      <a:pPr>
        <a:defRPr sz="1724" b="1" i="0" u="none" strike="noStrike" baseline="0">
          <a:solidFill>
            <a:srgbClr val="000000"/>
          </a:solidFill>
          <a:latin typeface="Arial"/>
          <a:ea typeface="Arial"/>
          <a:cs typeface="Arial"/>
        </a:defRPr>
      </a:pPr>
      <a:endParaRPr lang="fr-F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6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6.8840579710144928E-2"/>
          <c:y val="5.6603773584905655E-2"/>
          <c:w val="0.75543478260869568"/>
          <c:h val="0.84097035040431267"/>
        </c:manualLayout>
      </c:layout>
      <c:bar3DChart>
        <c:barDir val="col"/>
        <c:grouping val="clustered"/>
        <c:varyColors val="0"/>
        <c:ser>
          <c:idx val="0"/>
          <c:order val="0"/>
          <c:tx>
            <c:strRef>
              <c:f>Sheet1!$A$2</c:f>
              <c:strCache>
                <c:ptCount val="1"/>
                <c:pt idx="0">
                  <c:v>2004</c:v>
                </c:pt>
              </c:strCache>
            </c:strRef>
          </c:tx>
          <c:spPr>
            <a:solidFill>
              <a:srgbClr val="00CC99"/>
            </a:solidFill>
            <a:ln w="12728">
              <a:solidFill>
                <a:srgbClr val="000000"/>
              </a:solidFill>
              <a:prstDash val="solid"/>
            </a:ln>
          </c:spPr>
          <c:invertIfNegative val="0"/>
          <c:cat>
            <c:strRef>
              <c:f>Sheet1!$B$1:$E$1</c:f>
              <c:strCache>
                <c:ptCount val="3"/>
                <c:pt idx="0">
                  <c:v>1ste OCMW</c:v>
                </c:pt>
                <c:pt idx="1">
                  <c:v>2de OCMW</c:v>
                </c:pt>
                <c:pt idx="2">
                  <c:v>3de OCMW</c:v>
                </c:pt>
              </c:strCache>
            </c:strRef>
          </c:cat>
          <c:val>
            <c:numRef>
              <c:f>Sheet1!$B$2:$E$2</c:f>
              <c:numCache>
                <c:formatCode>General</c:formatCode>
                <c:ptCount val="3"/>
                <c:pt idx="0">
                  <c:v>64.599999999999994</c:v>
                </c:pt>
                <c:pt idx="1">
                  <c:v>30.1</c:v>
                </c:pt>
                <c:pt idx="2">
                  <c:v>3.7</c:v>
                </c:pt>
              </c:numCache>
            </c:numRef>
          </c:val>
        </c:ser>
        <c:ser>
          <c:idx val="1"/>
          <c:order val="1"/>
          <c:tx>
            <c:strRef>
              <c:f>Sheet1!$A$3</c:f>
              <c:strCache>
                <c:ptCount val="1"/>
                <c:pt idx="0">
                  <c:v>2005</c:v>
                </c:pt>
              </c:strCache>
            </c:strRef>
          </c:tx>
          <c:spPr>
            <a:solidFill>
              <a:srgbClr val="0000FF"/>
            </a:solidFill>
            <a:ln w="12728">
              <a:solidFill>
                <a:srgbClr val="000000"/>
              </a:solidFill>
              <a:prstDash val="solid"/>
            </a:ln>
          </c:spPr>
          <c:invertIfNegative val="0"/>
          <c:cat>
            <c:strRef>
              <c:f>Sheet1!$B$1:$E$1</c:f>
              <c:strCache>
                <c:ptCount val="3"/>
                <c:pt idx="0">
                  <c:v>1ste OCMW</c:v>
                </c:pt>
                <c:pt idx="1">
                  <c:v>2de OCMW</c:v>
                </c:pt>
                <c:pt idx="2">
                  <c:v>3de OCMW</c:v>
                </c:pt>
              </c:strCache>
            </c:strRef>
          </c:cat>
          <c:val>
            <c:numRef>
              <c:f>Sheet1!$B$3:$E$3</c:f>
              <c:numCache>
                <c:formatCode>General</c:formatCode>
                <c:ptCount val="3"/>
                <c:pt idx="0">
                  <c:v>56.5</c:v>
                </c:pt>
                <c:pt idx="1">
                  <c:v>34.5</c:v>
                </c:pt>
                <c:pt idx="2">
                  <c:v>7.3</c:v>
                </c:pt>
              </c:numCache>
            </c:numRef>
          </c:val>
        </c:ser>
        <c:ser>
          <c:idx val="3"/>
          <c:order val="2"/>
          <c:tx>
            <c:strRef>
              <c:f>Sheet1!$A$4</c:f>
              <c:strCache>
                <c:ptCount val="1"/>
                <c:pt idx="0">
                  <c:v>2006</c:v>
                </c:pt>
              </c:strCache>
            </c:strRef>
          </c:tx>
          <c:spPr>
            <a:solidFill>
              <a:srgbClr val="FF00FF"/>
            </a:solidFill>
            <a:ln w="12728">
              <a:solidFill>
                <a:srgbClr val="000000"/>
              </a:solidFill>
              <a:prstDash val="solid"/>
            </a:ln>
          </c:spPr>
          <c:invertIfNegative val="0"/>
          <c:cat>
            <c:strRef>
              <c:f>Sheet1!$B$1:$E$1</c:f>
              <c:strCache>
                <c:ptCount val="3"/>
                <c:pt idx="0">
                  <c:v>1ste OCMW</c:v>
                </c:pt>
                <c:pt idx="1">
                  <c:v>2de OCMW</c:v>
                </c:pt>
                <c:pt idx="2">
                  <c:v>3de OCMW</c:v>
                </c:pt>
              </c:strCache>
            </c:strRef>
          </c:cat>
          <c:val>
            <c:numRef>
              <c:f>Sheet1!$B$4:$E$4</c:f>
              <c:numCache>
                <c:formatCode>General</c:formatCode>
                <c:ptCount val="3"/>
                <c:pt idx="0">
                  <c:v>56.8</c:v>
                </c:pt>
                <c:pt idx="1">
                  <c:v>37.1</c:v>
                </c:pt>
                <c:pt idx="2">
                  <c:v>4.8</c:v>
                </c:pt>
              </c:numCache>
            </c:numRef>
          </c:val>
        </c:ser>
        <c:ser>
          <c:idx val="2"/>
          <c:order val="3"/>
          <c:tx>
            <c:strRef>
              <c:f>Sheet1!$A$5</c:f>
              <c:strCache>
                <c:ptCount val="1"/>
                <c:pt idx="0">
                  <c:v>2007</c:v>
                </c:pt>
              </c:strCache>
            </c:strRef>
          </c:tx>
          <c:spPr>
            <a:solidFill>
              <a:srgbClr val="00FF00"/>
            </a:solidFill>
            <a:ln w="12728">
              <a:solidFill>
                <a:srgbClr val="000000"/>
              </a:solidFill>
              <a:prstDash val="solid"/>
            </a:ln>
          </c:spPr>
          <c:invertIfNegative val="0"/>
          <c:cat>
            <c:strRef>
              <c:f>Sheet1!$B$1:$E$1</c:f>
              <c:strCache>
                <c:ptCount val="3"/>
                <c:pt idx="0">
                  <c:v>1ste OCMW</c:v>
                </c:pt>
                <c:pt idx="1">
                  <c:v>2de OCMW</c:v>
                </c:pt>
                <c:pt idx="2">
                  <c:v>3de OCMW</c:v>
                </c:pt>
              </c:strCache>
            </c:strRef>
          </c:cat>
          <c:val>
            <c:numRef>
              <c:f>Sheet1!$B$5:$E$5</c:f>
              <c:numCache>
                <c:formatCode>General</c:formatCode>
                <c:ptCount val="3"/>
                <c:pt idx="0">
                  <c:v>60.01</c:v>
                </c:pt>
                <c:pt idx="1">
                  <c:v>29.15</c:v>
                </c:pt>
                <c:pt idx="2">
                  <c:v>10.25</c:v>
                </c:pt>
              </c:numCache>
            </c:numRef>
          </c:val>
        </c:ser>
        <c:ser>
          <c:idx val="4"/>
          <c:order val="4"/>
          <c:tx>
            <c:strRef>
              <c:f>Sheet1!$A$6</c:f>
              <c:strCache>
                <c:ptCount val="1"/>
                <c:pt idx="0">
                  <c:v>2008</c:v>
                </c:pt>
              </c:strCache>
            </c:strRef>
          </c:tx>
          <c:spPr>
            <a:solidFill>
              <a:srgbClr val="00FFFF"/>
            </a:solidFill>
            <a:ln w="12728">
              <a:solidFill>
                <a:srgbClr val="000000"/>
              </a:solidFill>
              <a:prstDash val="solid"/>
            </a:ln>
          </c:spPr>
          <c:invertIfNegative val="0"/>
          <c:cat>
            <c:strRef>
              <c:f>Sheet1!$B$1:$E$1</c:f>
              <c:strCache>
                <c:ptCount val="3"/>
                <c:pt idx="0">
                  <c:v>1ste OCMW</c:v>
                </c:pt>
                <c:pt idx="1">
                  <c:v>2de OCMW</c:v>
                </c:pt>
                <c:pt idx="2">
                  <c:v>3de OCMW</c:v>
                </c:pt>
              </c:strCache>
            </c:strRef>
          </c:cat>
          <c:val>
            <c:numRef>
              <c:f>Sheet1!$B$6:$E$6</c:f>
              <c:numCache>
                <c:formatCode>General</c:formatCode>
                <c:ptCount val="3"/>
                <c:pt idx="0">
                  <c:v>71.010000000000005</c:v>
                </c:pt>
                <c:pt idx="1">
                  <c:v>22.15</c:v>
                </c:pt>
                <c:pt idx="2">
                  <c:v>6.41</c:v>
                </c:pt>
              </c:numCache>
            </c:numRef>
          </c:val>
        </c:ser>
        <c:ser>
          <c:idx val="5"/>
          <c:order val="5"/>
          <c:tx>
            <c:strRef>
              <c:f>Sheet1!$A$7</c:f>
              <c:strCache>
                <c:ptCount val="1"/>
                <c:pt idx="0">
                  <c:v>2009</c:v>
                </c:pt>
              </c:strCache>
            </c:strRef>
          </c:tx>
          <c:spPr>
            <a:solidFill>
              <a:srgbClr val="FFFF00"/>
            </a:solidFill>
            <a:ln w="12728">
              <a:solidFill>
                <a:srgbClr val="000000"/>
              </a:solidFill>
              <a:prstDash val="solid"/>
            </a:ln>
          </c:spPr>
          <c:invertIfNegative val="0"/>
          <c:cat>
            <c:strRef>
              <c:f>Sheet1!$B$1:$E$1</c:f>
              <c:strCache>
                <c:ptCount val="3"/>
                <c:pt idx="0">
                  <c:v>1ste OCMW</c:v>
                </c:pt>
                <c:pt idx="1">
                  <c:v>2de OCMW</c:v>
                </c:pt>
                <c:pt idx="2">
                  <c:v>3de OCMW</c:v>
                </c:pt>
              </c:strCache>
            </c:strRef>
          </c:cat>
          <c:val>
            <c:numRef>
              <c:f>Sheet1!$B$7:$E$7</c:f>
              <c:numCache>
                <c:formatCode>General</c:formatCode>
                <c:ptCount val="3"/>
                <c:pt idx="0">
                  <c:v>70.989999999999995</c:v>
                </c:pt>
                <c:pt idx="1">
                  <c:v>25.76</c:v>
                </c:pt>
                <c:pt idx="2">
                  <c:v>3.24</c:v>
                </c:pt>
              </c:numCache>
            </c:numRef>
          </c:val>
        </c:ser>
        <c:ser>
          <c:idx val="6"/>
          <c:order val="6"/>
          <c:tx>
            <c:strRef>
              <c:f>Sheet1!$A$8</c:f>
              <c:strCache>
                <c:ptCount val="1"/>
                <c:pt idx="0">
                  <c:v>2010</c:v>
                </c:pt>
              </c:strCache>
            </c:strRef>
          </c:tx>
          <c:spPr>
            <a:solidFill>
              <a:srgbClr val="333399"/>
            </a:solidFill>
            <a:ln w="12728">
              <a:solidFill>
                <a:srgbClr val="000000"/>
              </a:solidFill>
              <a:prstDash val="solid"/>
            </a:ln>
          </c:spPr>
          <c:invertIfNegative val="0"/>
          <c:cat>
            <c:strRef>
              <c:f>Sheet1!$B$1:$E$1</c:f>
              <c:strCache>
                <c:ptCount val="3"/>
                <c:pt idx="0">
                  <c:v>1ste OCMW</c:v>
                </c:pt>
                <c:pt idx="1">
                  <c:v>2de OCMW</c:v>
                </c:pt>
                <c:pt idx="2">
                  <c:v>3de OCMW</c:v>
                </c:pt>
              </c:strCache>
            </c:strRef>
          </c:cat>
          <c:val>
            <c:numRef>
              <c:f>Sheet1!$B$8:$E$8</c:f>
              <c:numCache>
                <c:formatCode>General</c:formatCode>
                <c:ptCount val="3"/>
                <c:pt idx="0">
                  <c:v>64.67</c:v>
                </c:pt>
                <c:pt idx="1">
                  <c:v>25.22</c:v>
                </c:pt>
                <c:pt idx="2">
                  <c:v>10.09</c:v>
                </c:pt>
              </c:numCache>
            </c:numRef>
          </c:val>
        </c:ser>
        <c:ser>
          <c:idx val="7"/>
          <c:order val="7"/>
          <c:tx>
            <c:strRef>
              <c:f>Sheet1!$A$9</c:f>
              <c:strCache>
                <c:ptCount val="1"/>
                <c:pt idx="0">
                  <c:v>2011</c:v>
                </c:pt>
              </c:strCache>
            </c:strRef>
          </c:tx>
          <c:spPr>
            <a:solidFill>
              <a:srgbClr val="CCCCFF"/>
            </a:solidFill>
            <a:ln w="12728">
              <a:solidFill>
                <a:srgbClr val="000000"/>
              </a:solidFill>
              <a:prstDash val="solid"/>
            </a:ln>
          </c:spPr>
          <c:invertIfNegative val="0"/>
          <c:cat>
            <c:strRef>
              <c:f>Sheet1!$B$1:$E$1</c:f>
              <c:strCache>
                <c:ptCount val="3"/>
                <c:pt idx="0">
                  <c:v>1ste OCMW</c:v>
                </c:pt>
                <c:pt idx="1">
                  <c:v>2de OCMW</c:v>
                </c:pt>
                <c:pt idx="2">
                  <c:v>3de OCMW</c:v>
                </c:pt>
              </c:strCache>
            </c:strRef>
          </c:cat>
          <c:val>
            <c:numRef>
              <c:f>Sheet1!$B$9:$E$9</c:f>
              <c:numCache>
                <c:formatCode>General</c:formatCode>
                <c:ptCount val="3"/>
                <c:pt idx="0">
                  <c:v>63</c:v>
                </c:pt>
                <c:pt idx="1">
                  <c:v>30</c:v>
                </c:pt>
                <c:pt idx="2">
                  <c:v>7</c:v>
                </c:pt>
              </c:numCache>
            </c:numRef>
          </c:val>
        </c:ser>
        <c:ser>
          <c:idx val="8"/>
          <c:order val="8"/>
          <c:tx>
            <c:strRef>
              <c:f>Sheet1!$A$10</c:f>
              <c:strCache>
                <c:ptCount val="1"/>
                <c:pt idx="0">
                  <c:v>2012</c:v>
                </c:pt>
              </c:strCache>
            </c:strRef>
          </c:tx>
          <c:spPr>
            <a:solidFill>
              <a:srgbClr val="FF0000"/>
            </a:solidFill>
            <a:ln w="12728">
              <a:solidFill>
                <a:srgbClr val="000000"/>
              </a:solidFill>
              <a:prstDash val="solid"/>
            </a:ln>
          </c:spPr>
          <c:invertIfNegative val="0"/>
          <c:cat>
            <c:strRef>
              <c:f>Sheet1!$B$1:$E$1</c:f>
              <c:strCache>
                <c:ptCount val="3"/>
                <c:pt idx="0">
                  <c:v>1ste OCMW</c:v>
                </c:pt>
                <c:pt idx="1">
                  <c:v>2de OCMW</c:v>
                </c:pt>
                <c:pt idx="2">
                  <c:v>3de OCMW</c:v>
                </c:pt>
              </c:strCache>
            </c:strRef>
          </c:cat>
          <c:val>
            <c:numRef>
              <c:f>Sheet1!$B$10:$E$10</c:f>
              <c:numCache>
                <c:formatCode>General</c:formatCode>
                <c:ptCount val="3"/>
                <c:pt idx="0">
                  <c:v>62</c:v>
                </c:pt>
                <c:pt idx="1">
                  <c:v>28</c:v>
                </c:pt>
                <c:pt idx="2">
                  <c:v>10</c:v>
                </c:pt>
              </c:numCache>
            </c:numRef>
          </c:val>
        </c:ser>
        <c:ser>
          <c:idx val="9"/>
          <c:order val="9"/>
          <c:tx>
            <c:strRef>
              <c:f>Sheet1!$A$11</c:f>
              <c:strCache>
                <c:ptCount val="1"/>
                <c:pt idx="0">
                  <c:v>2013</c:v>
                </c:pt>
              </c:strCache>
            </c:strRef>
          </c:tx>
          <c:spPr>
            <a:solidFill>
              <a:srgbClr val="FF99CC"/>
            </a:solidFill>
            <a:ln w="12728">
              <a:solidFill>
                <a:srgbClr val="000000"/>
              </a:solidFill>
              <a:prstDash val="solid"/>
            </a:ln>
          </c:spPr>
          <c:invertIfNegative val="0"/>
          <c:cat>
            <c:strRef>
              <c:f>Sheet1!$B$1:$E$1</c:f>
              <c:strCache>
                <c:ptCount val="3"/>
                <c:pt idx="0">
                  <c:v>1ste OCMW</c:v>
                </c:pt>
                <c:pt idx="1">
                  <c:v>2de OCMW</c:v>
                </c:pt>
                <c:pt idx="2">
                  <c:v>3de OCMW</c:v>
                </c:pt>
              </c:strCache>
            </c:strRef>
          </c:cat>
          <c:val>
            <c:numRef>
              <c:f>Sheet1!$B$11:$E$11</c:f>
              <c:numCache>
                <c:formatCode>General</c:formatCode>
                <c:ptCount val="3"/>
                <c:pt idx="0">
                  <c:v>59</c:v>
                </c:pt>
                <c:pt idx="1">
                  <c:v>27</c:v>
                </c:pt>
                <c:pt idx="2">
                  <c:v>9</c:v>
                </c:pt>
              </c:numCache>
            </c:numRef>
          </c:val>
        </c:ser>
        <c:ser>
          <c:idx val="10"/>
          <c:order val="10"/>
          <c:tx>
            <c:strRef>
              <c:f>Sheet1!$A$12</c:f>
              <c:strCache>
                <c:ptCount val="1"/>
                <c:pt idx="0">
                  <c:v>2014</c:v>
                </c:pt>
              </c:strCache>
            </c:strRef>
          </c:tx>
          <c:spPr>
            <a:solidFill>
              <a:srgbClr val="008000"/>
            </a:solidFill>
            <a:ln w="12728">
              <a:solidFill>
                <a:srgbClr val="000000"/>
              </a:solidFill>
              <a:prstDash val="solid"/>
            </a:ln>
          </c:spPr>
          <c:invertIfNegative val="0"/>
          <c:cat>
            <c:strRef>
              <c:f>Sheet1!$B$1:$E$1</c:f>
              <c:strCache>
                <c:ptCount val="3"/>
                <c:pt idx="0">
                  <c:v>1ste OCMW</c:v>
                </c:pt>
                <c:pt idx="1">
                  <c:v>2de OCMW</c:v>
                </c:pt>
                <c:pt idx="2">
                  <c:v>3de OCMW</c:v>
                </c:pt>
              </c:strCache>
            </c:strRef>
          </c:cat>
          <c:val>
            <c:numRef>
              <c:f>Sheet1!$B$12:$E$12</c:f>
              <c:numCache>
                <c:formatCode>General</c:formatCode>
                <c:ptCount val="3"/>
                <c:pt idx="0">
                  <c:v>56</c:v>
                </c:pt>
                <c:pt idx="1">
                  <c:v>29</c:v>
                </c:pt>
                <c:pt idx="2">
                  <c:v>9</c:v>
                </c:pt>
              </c:numCache>
            </c:numRef>
          </c:val>
        </c:ser>
        <c:dLbls>
          <c:showLegendKey val="0"/>
          <c:showVal val="0"/>
          <c:showCatName val="0"/>
          <c:showSerName val="0"/>
          <c:showPercent val="0"/>
          <c:showBubbleSize val="0"/>
        </c:dLbls>
        <c:gapWidth val="150"/>
        <c:gapDepth val="0"/>
        <c:shape val="box"/>
        <c:axId val="78458240"/>
        <c:axId val="78464128"/>
        <c:axId val="0"/>
      </c:bar3DChart>
      <c:catAx>
        <c:axId val="78458240"/>
        <c:scaling>
          <c:orientation val="minMax"/>
        </c:scaling>
        <c:delete val="0"/>
        <c:axPos val="b"/>
        <c:numFmt formatCode="General" sourceLinked="1"/>
        <c:majorTickMark val="out"/>
        <c:minorTickMark val="none"/>
        <c:tickLblPos val="low"/>
        <c:spPr>
          <a:ln w="3182">
            <a:solidFill>
              <a:srgbClr val="000000"/>
            </a:solidFill>
            <a:prstDash val="solid"/>
          </a:ln>
        </c:spPr>
        <c:txPr>
          <a:bodyPr rot="0" vert="horz"/>
          <a:lstStyle/>
          <a:p>
            <a:pPr>
              <a:defRPr sz="802" b="1" i="0" u="none" strike="noStrike" baseline="0">
                <a:solidFill>
                  <a:srgbClr val="000000"/>
                </a:solidFill>
                <a:latin typeface="Arial"/>
                <a:ea typeface="Arial"/>
                <a:cs typeface="Arial"/>
              </a:defRPr>
            </a:pPr>
            <a:endParaRPr lang="fr-FR"/>
          </a:p>
        </c:txPr>
        <c:crossAx val="78464128"/>
        <c:crosses val="autoZero"/>
        <c:auto val="1"/>
        <c:lblAlgn val="ctr"/>
        <c:lblOffset val="100"/>
        <c:tickLblSkip val="1"/>
        <c:tickMarkSkip val="1"/>
        <c:noMultiLvlLbl val="0"/>
      </c:catAx>
      <c:valAx>
        <c:axId val="78464128"/>
        <c:scaling>
          <c:orientation val="minMax"/>
        </c:scaling>
        <c:delete val="0"/>
        <c:axPos val="l"/>
        <c:majorGridlines>
          <c:spPr>
            <a:ln w="3182">
              <a:solidFill>
                <a:srgbClr val="000000"/>
              </a:solidFill>
              <a:prstDash val="solid"/>
            </a:ln>
          </c:spPr>
        </c:majorGridlines>
        <c:numFmt formatCode="General" sourceLinked="1"/>
        <c:majorTickMark val="out"/>
        <c:minorTickMark val="none"/>
        <c:tickLblPos val="nextTo"/>
        <c:spPr>
          <a:ln w="3182">
            <a:solidFill>
              <a:srgbClr val="000000"/>
            </a:solidFill>
            <a:prstDash val="solid"/>
          </a:ln>
        </c:spPr>
        <c:txPr>
          <a:bodyPr rot="0" vert="horz"/>
          <a:lstStyle/>
          <a:p>
            <a:pPr>
              <a:defRPr sz="1002" b="1" i="0" u="none" strike="noStrike" baseline="0">
                <a:solidFill>
                  <a:srgbClr val="000000"/>
                </a:solidFill>
                <a:latin typeface="Arial"/>
                <a:ea typeface="Arial"/>
                <a:cs typeface="Arial"/>
              </a:defRPr>
            </a:pPr>
            <a:endParaRPr lang="fr-FR"/>
          </a:p>
        </c:txPr>
        <c:crossAx val="78458240"/>
        <c:crosses val="autoZero"/>
        <c:crossBetween val="between"/>
      </c:valAx>
      <c:spPr>
        <a:noFill/>
        <a:ln w="25456">
          <a:noFill/>
        </a:ln>
      </c:spPr>
    </c:plotArea>
    <c:legend>
      <c:legendPos val="r"/>
      <c:layout>
        <c:manualLayout>
          <c:xMode val="edge"/>
          <c:yMode val="edge"/>
          <c:x val="0.84782608695652184"/>
          <c:y val="5.3908355795148244E-2"/>
          <c:w val="0.14492753623188406"/>
          <c:h val="0.8921832884097034"/>
        </c:manualLayout>
      </c:layout>
      <c:overlay val="0"/>
      <c:spPr>
        <a:noFill/>
        <a:ln w="3182">
          <a:solidFill>
            <a:srgbClr val="000000"/>
          </a:solidFill>
          <a:prstDash val="solid"/>
        </a:ln>
      </c:spPr>
      <c:txPr>
        <a:bodyPr/>
        <a:lstStyle/>
        <a:p>
          <a:pPr>
            <a:defRPr sz="1173"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278" b="1" i="0" u="none" strike="noStrike" baseline="0">
          <a:solidFill>
            <a:srgbClr val="000000"/>
          </a:solidFill>
          <a:latin typeface="Arial"/>
          <a:ea typeface="Arial"/>
          <a:cs typeface="Arial"/>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2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0071174377224191E-2"/>
          <c:y val="7.7127659574468085E-2"/>
          <c:w val="0.74555160142348742"/>
          <c:h val="0.7792553191489362"/>
        </c:manualLayout>
      </c:layout>
      <c:bar3DChart>
        <c:barDir val="col"/>
        <c:grouping val="clustered"/>
        <c:varyColors val="0"/>
        <c:ser>
          <c:idx val="0"/>
          <c:order val="0"/>
          <c:tx>
            <c:strRef>
              <c:f>Sheet1!$A$2</c:f>
              <c:strCache>
                <c:ptCount val="1"/>
                <c:pt idx="0">
                  <c:v>2004</c:v>
                </c:pt>
              </c:strCache>
            </c:strRef>
          </c:tx>
          <c:spPr>
            <a:solidFill>
              <a:srgbClr val="000000"/>
            </a:solidFill>
            <a:ln w="12727">
              <a:solidFill>
                <a:srgbClr val="000000"/>
              </a:solidFill>
              <a:prstDash val="solid"/>
            </a:ln>
          </c:spPr>
          <c:invertIfNegative val="0"/>
          <c:cat>
            <c:strRef>
              <c:f>Sheet1!$B$1:$F$1</c:f>
              <c:strCache>
                <c:ptCount val="5"/>
                <c:pt idx="0">
                  <c:v>GV</c:v>
                </c:pt>
                <c:pt idx="1">
                  <c:v>Stud</c:v>
                </c:pt>
                <c:pt idx="2">
                  <c:v>Inst</c:v>
                </c:pt>
                <c:pt idx="3">
                  <c:v>AZ</c:v>
                </c:pt>
                <c:pt idx="4">
                  <c:v>Dakl</c:v>
                </c:pt>
              </c:strCache>
            </c:strRef>
          </c:cat>
          <c:val>
            <c:numRef>
              <c:f>Sheet1!$B$2:$F$2</c:f>
              <c:numCache>
                <c:formatCode>General</c:formatCode>
                <c:ptCount val="5"/>
                <c:pt idx="0">
                  <c:v>16</c:v>
                </c:pt>
                <c:pt idx="1">
                  <c:v>26</c:v>
                </c:pt>
                <c:pt idx="2">
                  <c:v>24</c:v>
                </c:pt>
                <c:pt idx="3">
                  <c:v>28</c:v>
                </c:pt>
                <c:pt idx="4">
                  <c:v>6</c:v>
                </c:pt>
              </c:numCache>
            </c:numRef>
          </c:val>
        </c:ser>
        <c:ser>
          <c:idx val="1"/>
          <c:order val="1"/>
          <c:tx>
            <c:strRef>
              <c:f>Sheet1!$A$3</c:f>
              <c:strCache>
                <c:ptCount val="1"/>
                <c:pt idx="0">
                  <c:v>2005</c:v>
                </c:pt>
              </c:strCache>
            </c:strRef>
          </c:tx>
          <c:spPr>
            <a:solidFill>
              <a:srgbClr val="00FFFF"/>
            </a:solidFill>
            <a:ln w="12727">
              <a:solidFill>
                <a:srgbClr val="000000"/>
              </a:solidFill>
              <a:prstDash val="solid"/>
            </a:ln>
          </c:spPr>
          <c:invertIfNegative val="0"/>
          <c:cat>
            <c:strRef>
              <c:f>Sheet1!$B$1:$F$1</c:f>
              <c:strCache>
                <c:ptCount val="5"/>
                <c:pt idx="0">
                  <c:v>GV</c:v>
                </c:pt>
                <c:pt idx="1">
                  <c:v>Stud</c:v>
                </c:pt>
                <c:pt idx="2">
                  <c:v>Inst</c:v>
                </c:pt>
                <c:pt idx="3">
                  <c:v>AZ</c:v>
                </c:pt>
                <c:pt idx="4">
                  <c:v>Dakl</c:v>
                </c:pt>
              </c:strCache>
            </c:strRef>
          </c:cat>
          <c:val>
            <c:numRef>
              <c:f>Sheet1!$B$3:$F$3</c:f>
              <c:numCache>
                <c:formatCode>General</c:formatCode>
                <c:ptCount val="5"/>
                <c:pt idx="0">
                  <c:v>24</c:v>
                </c:pt>
                <c:pt idx="1">
                  <c:v>26</c:v>
                </c:pt>
                <c:pt idx="2">
                  <c:v>27</c:v>
                </c:pt>
                <c:pt idx="3">
                  <c:v>15</c:v>
                </c:pt>
                <c:pt idx="4">
                  <c:v>7</c:v>
                </c:pt>
              </c:numCache>
            </c:numRef>
          </c:val>
        </c:ser>
        <c:ser>
          <c:idx val="3"/>
          <c:order val="2"/>
          <c:tx>
            <c:strRef>
              <c:f>Sheet1!$A$4</c:f>
              <c:strCache>
                <c:ptCount val="1"/>
                <c:pt idx="0">
                  <c:v>2006</c:v>
                </c:pt>
              </c:strCache>
            </c:strRef>
          </c:tx>
          <c:spPr>
            <a:solidFill>
              <a:srgbClr val="B2B2B2"/>
            </a:solidFill>
            <a:ln w="12727">
              <a:solidFill>
                <a:srgbClr val="000000"/>
              </a:solidFill>
              <a:prstDash val="solid"/>
            </a:ln>
          </c:spPr>
          <c:invertIfNegative val="0"/>
          <c:cat>
            <c:strRef>
              <c:f>Sheet1!$B$1:$F$1</c:f>
              <c:strCache>
                <c:ptCount val="5"/>
                <c:pt idx="0">
                  <c:v>GV</c:v>
                </c:pt>
                <c:pt idx="1">
                  <c:v>Stud</c:v>
                </c:pt>
                <c:pt idx="2">
                  <c:v>Inst</c:v>
                </c:pt>
                <c:pt idx="3">
                  <c:v>AZ</c:v>
                </c:pt>
                <c:pt idx="4">
                  <c:v>Dakl</c:v>
                </c:pt>
              </c:strCache>
            </c:strRef>
          </c:cat>
          <c:val>
            <c:numRef>
              <c:f>Sheet1!$B$4:$F$4</c:f>
              <c:numCache>
                <c:formatCode>General</c:formatCode>
                <c:ptCount val="5"/>
                <c:pt idx="0">
                  <c:v>20</c:v>
                </c:pt>
                <c:pt idx="1">
                  <c:v>30</c:v>
                </c:pt>
                <c:pt idx="2">
                  <c:v>30</c:v>
                </c:pt>
                <c:pt idx="3">
                  <c:v>16</c:v>
                </c:pt>
                <c:pt idx="4">
                  <c:v>5</c:v>
                </c:pt>
              </c:numCache>
            </c:numRef>
          </c:val>
        </c:ser>
        <c:ser>
          <c:idx val="2"/>
          <c:order val="3"/>
          <c:tx>
            <c:strRef>
              <c:f>Sheet1!$A$5</c:f>
              <c:strCache>
                <c:ptCount val="1"/>
                <c:pt idx="0">
                  <c:v>2007</c:v>
                </c:pt>
              </c:strCache>
            </c:strRef>
          </c:tx>
          <c:spPr>
            <a:solidFill>
              <a:srgbClr val="00FF00"/>
            </a:solidFill>
            <a:ln w="12727">
              <a:solidFill>
                <a:srgbClr val="000000"/>
              </a:solidFill>
              <a:prstDash val="solid"/>
            </a:ln>
          </c:spPr>
          <c:invertIfNegative val="0"/>
          <c:cat>
            <c:strRef>
              <c:f>Sheet1!$B$1:$F$1</c:f>
              <c:strCache>
                <c:ptCount val="5"/>
                <c:pt idx="0">
                  <c:v>GV</c:v>
                </c:pt>
                <c:pt idx="1">
                  <c:v>Stud</c:v>
                </c:pt>
                <c:pt idx="2">
                  <c:v>Inst</c:v>
                </c:pt>
                <c:pt idx="3">
                  <c:v>AZ</c:v>
                </c:pt>
                <c:pt idx="4">
                  <c:v>Dakl</c:v>
                </c:pt>
              </c:strCache>
            </c:strRef>
          </c:cat>
          <c:val>
            <c:numRef>
              <c:f>Sheet1!$B$5:$F$5</c:f>
              <c:numCache>
                <c:formatCode>General</c:formatCode>
                <c:ptCount val="5"/>
                <c:pt idx="0">
                  <c:v>27</c:v>
                </c:pt>
                <c:pt idx="1">
                  <c:v>25</c:v>
                </c:pt>
                <c:pt idx="2">
                  <c:v>34</c:v>
                </c:pt>
                <c:pt idx="3">
                  <c:v>10</c:v>
                </c:pt>
                <c:pt idx="4">
                  <c:v>4</c:v>
                </c:pt>
              </c:numCache>
            </c:numRef>
          </c:val>
        </c:ser>
        <c:ser>
          <c:idx val="4"/>
          <c:order val="4"/>
          <c:tx>
            <c:strRef>
              <c:f>Sheet1!$A$6</c:f>
              <c:strCache>
                <c:ptCount val="1"/>
                <c:pt idx="0">
                  <c:v>2008</c:v>
                </c:pt>
              </c:strCache>
            </c:strRef>
          </c:tx>
          <c:spPr>
            <a:solidFill>
              <a:srgbClr val="FF00FF"/>
            </a:solidFill>
            <a:ln w="12727">
              <a:solidFill>
                <a:srgbClr val="000000"/>
              </a:solidFill>
              <a:prstDash val="solid"/>
            </a:ln>
          </c:spPr>
          <c:invertIfNegative val="0"/>
          <c:cat>
            <c:strRef>
              <c:f>Sheet1!$B$1:$F$1</c:f>
              <c:strCache>
                <c:ptCount val="5"/>
                <c:pt idx="0">
                  <c:v>GV</c:v>
                </c:pt>
                <c:pt idx="1">
                  <c:v>Stud</c:v>
                </c:pt>
                <c:pt idx="2">
                  <c:v>Inst</c:v>
                </c:pt>
                <c:pt idx="3">
                  <c:v>AZ</c:v>
                </c:pt>
                <c:pt idx="4">
                  <c:v>Dakl</c:v>
                </c:pt>
              </c:strCache>
            </c:strRef>
          </c:cat>
          <c:val>
            <c:numRef>
              <c:f>Sheet1!$B$6:$F$6</c:f>
              <c:numCache>
                <c:formatCode>General</c:formatCode>
                <c:ptCount val="5"/>
                <c:pt idx="0">
                  <c:v>29</c:v>
                </c:pt>
                <c:pt idx="1">
                  <c:v>19</c:v>
                </c:pt>
                <c:pt idx="2">
                  <c:v>21</c:v>
                </c:pt>
                <c:pt idx="3">
                  <c:v>26</c:v>
                </c:pt>
                <c:pt idx="4">
                  <c:v>3</c:v>
                </c:pt>
              </c:numCache>
            </c:numRef>
          </c:val>
        </c:ser>
        <c:ser>
          <c:idx val="5"/>
          <c:order val="5"/>
          <c:tx>
            <c:strRef>
              <c:f>Sheet1!$A$7</c:f>
              <c:strCache>
                <c:ptCount val="1"/>
                <c:pt idx="0">
                  <c:v>2009</c:v>
                </c:pt>
              </c:strCache>
            </c:strRef>
          </c:tx>
          <c:spPr>
            <a:solidFill>
              <a:srgbClr val="FFFF00"/>
            </a:solidFill>
            <a:ln w="12727">
              <a:solidFill>
                <a:srgbClr val="000000"/>
              </a:solidFill>
              <a:prstDash val="solid"/>
            </a:ln>
          </c:spPr>
          <c:invertIfNegative val="0"/>
          <c:cat>
            <c:strRef>
              <c:f>Sheet1!$B$1:$F$1</c:f>
              <c:strCache>
                <c:ptCount val="5"/>
                <c:pt idx="0">
                  <c:v>GV</c:v>
                </c:pt>
                <c:pt idx="1">
                  <c:v>Stud</c:v>
                </c:pt>
                <c:pt idx="2">
                  <c:v>Inst</c:v>
                </c:pt>
                <c:pt idx="3">
                  <c:v>AZ</c:v>
                </c:pt>
                <c:pt idx="4">
                  <c:v>Dakl</c:v>
                </c:pt>
              </c:strCache>
            </c:strRef>
          </c:cat>
          <c:val>
            <c:numRef>
              <c:f>Sheet1!$B$7:$F$7</c:f>
              <c:numCache>
                <c:formatCode>General</c:formatCode>
                <c:ptCount val="5"/>
                <c:pt idx="0">
                  <c:v>33</c:v>
                </c:pt>
                <c:pt idx="1">
                  <c:v>19</c:v>
                </c:pt>
                <c:pt idx="2">
                  <c:v>16</c:v>
                </c:pt>
                <c:pt idx="3">
                  <c:v>28</c:v>
                </c:pt>
                <c:pt idx="4">
                  <c:v>4</c:v>
                </c:pt>
              </c:numCache>
            </c:numRef>
          </c:val>
        </c:ser>
        <c:ser>
          <c:idx val="6"/>
          <c:order val="6"/>
          <c:tx>
            <c:strRef>
              <c:f>Sheet1!$A$8</c:f>
              <c:strCache>
                <c:ptCount val="1"/>
                <c:pt idx="0">
                  <c:v>2010</c:v>
                </c:pt>
              </c:strCache>
            </c:strRef>
          </c:tx>
          <c:spPr>
            <a:solidFill>
              <a:srgbClr val="FF0000"/>
            </a:solidFill>
            <a:ln w="12727">
              <a:solidFill>
                <a:srgbClr val="000000"/>
              </a:solidFill>
              <a:prstDash val="solid"/>
            </a:ln>
          </c:spPr>
          <c:invertIfNegative val="0"/>
          <c:cat>
            <c:strRef>
              <c:f>Sheet1!$B$1:$F$1</c:f>
              <c:strCache>
                <c:ptCount val="5"/>
                <c:pt idx="0">
                  <c:v>GV</c:v>
                </c:pt>
                <c:pt idx="1">
                  <c:v>Stud</c:v>
                </c:pt>
                <c:pt idx="2">
                  <c:v>Inst</c:v>
                </c:pt>
                <c:pt idx="3">
                  <c:v>AZ</c:v>
                </c:pt>
                <c:pt idx="4">
                  <c:v>Dakl</c:v>
                </c:pt>
              </c:strCache>
            </c:strRef>
          </c:cat>
          <c:val>
            <c:numRef>
              <c:f>Sheet1!$B$8:$F$8</c:f>
              <c:numCache>
                <c:formatCode>General</c:formatCode>
                <c:ptCount val="5"/>
                <c:pt idx="0">
                  <c:v>32</c:v>
                </c:pt>
                <c:pt idx="1">
                  <c:v>26</c:v>
                </c:pt>
                <c:pt idx="2">
                  <c:v>24</c:v>
                </c:pt>
                <c:pt idx="3">
                  <c:v>13</c:v>
                </c:pt>
                <c:pt idx="4">
                  <c:v>5</c:v>
                </c:pt>
              </c:numCache>
            </c:numRef>
          </c:val>
        </c:ser>
        <c:ser>
          <c:idx val="7"/>
          <c:order val="7"/>
          <c:tx>
            <c:strRef>
              <c:f>Sheet1!$A$9</c:f>
              <c:strCache>
                <c:ptCount val="1"/>
                <c:pt idx="0">
                  <c:v>2011</c:v>
                </c:pt>
              </c:strCache>
            </c:strRef>
          </c:tx>
          <c:spPr>
            <a:solidFill>
              <a:srgbClr val="0000FF"/>
            </a:solidFill>
            <a:ln w="12727">
              <a:solidFill>
                <a:srgbClr val="000000"/>
              </a:solidFill>
              <a:prstDash val="solid"/>
            </a:ln>
          </c:spPr>
          <c:invertIfNegative val="0"/>
          <c:cat>
            <c:strRef>
              <c:f>Sheet1!$B$1:$F$1</c:f>
              <c:strCache>
                <c:ptCount val="5"/>
                <c:pt idx="0">
                  <c:v>GV</c:v>
                </c:pt>
                <c:pt idx="1">
                  <c:v>Stud</c:v>
                </c:pt>
                <c:pt idx="2">
                  <c:v>Inst</c:v>
                </c:pt>
                <c:pt idx="3">
                  <c:v>AZ</c:v>
                </c:pt>
                <c:pt idx="4">
                  <c:v>Dakl</c:v>
                </c:pt>
              </c:strCache>
            </c:strRef>
          </c:cat>
          <c:val>
            <c:numRef>
              <c:f>Sheet1!$B$9:$F$9</c:f>
              <c:numCache>
                <c:formatCode>General</c:formatCode>
                <c:ptCount val="5"/>
                <c:pt idx="0">
                  <c:v>30</c:v>
                </c:pt>
                <c:pt idx="1">
                  <c:v>23</c:v>
                </c:pt>
                <c:pt idx="2">
                  <c:v>20</c:v>
                </c:pt>
                <c:pt idx="3">
                  <c:v>22</c:v>
                </c:pt>
                <c:pt idx="4">
                  <c:v>5</c:v>
                </c:pt>
              </c:numCache>
            </c:numRef>
          </c:val>
        </c:ser>
        <c:ser>
          <c:idx val="8"/>
          <c:order val="8"/>
          <c:tx>
            <c:strRef>
              <c:f>Sheet1!$A$10</c:f>
              <c:strCache>
                <c:ptCount val="1"/>
                <c:pt idx="0">
                  <c:v>2012</c:v>
                </c:pt>
              </c:strCache>
            </c:strRef>
          </c:tx>
          <c:spPr>
            <a:solidFill>
              <a:srgbClr val="FF0000"/>
            </a:solidFill>
            <a:ln w="12727">
              <a:solidFill>
                <a:srgbClr val="000000"/>
              </a:solidFill>
              <a:prstDash val="solid"/>
            </a:ln>
          </c:spPr>
          <c:invertIfNegative val="0"/>
          <c:cat>
            <c:strRef>
              <c:f>Sheet1!$B$1:$F$1</c:f>
              <c:strCache>
                <c:ptCount val="5"/>
                <c:pt idx="0">
                  <c:v>GV</c:v>
                </c:pt>
                <c:pt idx="1">
                  <c:v>Stud</c:v>
                </c:pt>
                <c:pt idx="2">
                  <c:v>Inst</c:v>
                </c:pt>
                <c:pt idx="3">
                  <c:v>AZ</c:v>
                </c:pt>
                <c:pt idx="4">
                  <c:v>Dakl</c:v>
                </c:pt>
              </c:strCache>
            </c:strRef>
          </c:cat>
          <c:val>
            <c:numRef>
              <c:f>Sheet1!$B$10:$F$10</c:f>
              <c:numCache>
                <c:formatCode>General</c:formatCode>
                <c:ptCount val="5"/>
                <c:pt idx="0">
                  <c:v>43</c:v>
                </c:pt>
                <c:pt idx="1">
                  <c:v>23</c:v>
                </c:pt>
                <c:pt idx="2">
                  <c:v>20</c:v>
                </c:pt>
                <c:pt idx="3">
                  <c:v>9</c:v>
                </c:pt>
                <c:pt idx="4">
                  <c:v>3</c:v>
                </c:pt>
              </c:numCache>
            </c:numRef>
          </c:val>
        </c:ser>
        <c:ser>
          <c:idx val="9"/>
          <c:order val="9"/>
          <c:tx>
            <c:strRef>
              <c:f>Sheet1!$A$11</c:f>
              <c:strCache>
                <c:ptCount val="1"/>
                <c:pt idx="0">
                  <c:v>2013</c:v>
                </c:pt>
              </c:strCache>
            </c:strRef>
          </c:tx>
          <c:spPr>
            <a:solidFill>
              <a:srgbClr val="00B050"/>
            </a:solidFill>
            <a:ln w="12727">
              <a:solidFill>
                <a:srgbClr val="000000"/>
              </a:solidFill>
              <a:prstDash val="solid"/>
            </a:ln>
          </c:spPr>
          <c:invertIfNegative val="0"/>
          <c:cat>
            <c:strRef>
              <c:f>Sheet1!$B$1:$F$1</c:f>
              <c:strCache>
                <c:ptCount val="5"/>
                <c:pt idx="0">
                  <c:v>GV</c:v>
                </c:pt>
                <c:pt idx="1">
                  <c:v>Stud</c:v>
                </c:pt>
                <c:pt idx="2">
                  <c:v>Inst</c:v>
                </c:pt>
                <c:pt idx="3">
                  <c:v>AZ</c:v>
                </c:pt>
                <c:pt idx="4">
                  <c:v>Dakl</c:v>
                </c:pt>
              </c:strCache>
            </c:strRef>
          </c:cat>
          <c:val>
            <c:numRef>
              <c:f>Sheet1!$B$11:$F$11</c:f>
              <c:numCache>
                <c:formatCode>General</c:formatCode>
                <c:ptCount val="5"/>
                <c:pt idx="0">
                  <c:v>39</c:v>
                </c:pt>
                <c:pt idx="1">
                  <c:v>27</c:v>
                </c:pt>
                <c:pt idx="2">
                  <c:v>22</c:v>
                </c:pt>
                <c:pt idx="3">
                  <c:v>5</c:v>
                </c:pt>
                <c:pt idx="4">
                  <c:v>7</c:v>
                </c:pt>
              </c:numCache>
            </c:numRef>
          </c:val>
        </c:ser>
        <c:dLbls>
          <c:showLegendKey val="0"/>
          <c:showVal val="0"/>
          <c:showCatName val="0"/>
          <c:showSerName val="0"/>
          <c:showPercent val="0"/>
          <c:showBubbleSize val="0"/>
        </c:dLbls>
        <c:gapWidth val="500"/>
        <c:gapDepth val="0"/>
        <c:shape val="box"/>
        <c:axId val="84771968"/>
        <c:axId val="84773504"/>
        <c:axId val="0"/>
      </c:bar3DChart>
      <c:catAx>
        <c:axId val="84771968"/>
        <c:scaling>
          <c:orientation val="minMax"/>
        </c:scaling>
        <c:delete val="0"/>
        <c:axPos val="b"/>
        <c:numFmt formatCode="General" sourceLinked="1"/>
        <c:majorTickMark val="out"/>
        <c:minorTickMark val="none"/>
        <c:tickLblPos val="low"/>
        <c:spPr>
          <a:ln w="3182">
            <a:solidFill>
              <a:srgbClr val="000000"/>
            </a:solidFill>
            <a:prstDash val="solid"/>
          </a:ln>
        </c:spPr>
        <c:txPr>
          <a:bodyPr rot="0" vert="horz"/>
          <a:lstStyle/>
          <a:p>
            <a:pPr>
              <a:defRPr sz="1303" b="1" i="0" u="none" strike="noStrike" baseline="0">
                <a:solidFill>
                  <a:srgbClr val="000000"/>
                </a:solidFill>
                <a:latin typeface="Arial"/>
                <a:ea typeface="Arial"/>
                <a:cs typeface="Arial"/>
              </a:defRPr>
            </a:pPr>
            <a:endParaRPr lang="fr-FR"/>
          </a:p>
        </c:txPr>
        <c:crossAx val="84773504"/>
        <c:crosses val="autoZero"/>
        <c:auto val="1"/>
        <c:lblAlgn val="ctr"/>
        <c:lblOffset val="100"/>
        <c:tickLblSkip val="1"/>
        <c:tickMarkSkip val="1"/>
        <c:noMultiLvlLbl val="0"/>
      </c:catAx>
      <c:valAx>
        <c:axId val="84773504"/>
        <c:scaling>
          <c:orientation val="minMax"/>
        </c:scaling>
        <c:delete val="0"/>
        <c:axPos val="l"/>
        <c:majorGridlines>
          <c:spPr>
            <a:ln w="3182">
              <a:solidFill>
                <a:srgbClr val="000000"/>
              </a:solidFill>
              <a:prstDash val="solid"/>
            </a:ln>
          </c:spPr>
        </c:majorGridlines>
        <c:numFmt formatCode="General" sourceLinked="1"/>
        <c:majorTickMark val="out"/>
        <c:minorTickMark val="none"/>
        <c:tickLblPos val="nextTo"/>
        <c:spPr>
          <a:ln w="3182">
            <a:solidFill>
              <a:srgbClr val="000000"/>
            </a:solidFill>
            <a:prstDash val="solid"/>
          </a:ln>
        </c:spPr>
        <c:txPr>
          <a:bodyPr rot="0" vert="horz"/>
          <a:lstStyle/>
          <a:p>
            <a:pPr>
              <a:defRPr sz="1303" b="1" i="0" u="none" strike="noStrike" baseline="0">
                <a:solidFill>
                  <a:srgbClr val="000000"/>
                </a:solidFill>
                <a:latin typeface="Arial"/>
                <a:ea typeface="Arial"/>
                <a:cs typeface="Arial"/>
              </a:defRPr>
            </a:pPr>
            <a:endParaRPr lang="fr-FR"/>
          </a:p>
        </c:txPr>
        <c:crossAx val="84771968"/>
        <c:crosses val="autoZero"/>
        <c:crossBetween val="between"/>
      </c:valAx>
      <c:spPr>
        <a:noFill/>
        <a:ln w="25454">
          <a:noFill/>
        </a:ln>
      </c:spPr>
    </c:plotArea>
    <c:legend>
      <c:legendPos val="r"/>
      <c:layout>
        <c:manualLayout>
          <c:xMode val="edge"/>
          <c:yMode val="edge"/>
          <c:x val="0.84875444839857639"/>
          <c:y val="8.7765957446808512E-2"/>
          <c:w val="0.14412811387900354"/>
          <c:h val="0.82712765957446821"/>
        </c:manualLayout>
      </c:layout>
      <c:overlay val="0"/>
      <c:spPr>
        <a:noFill/>
        <a:ln w="3182">
          <a:solidFill>
            <a:srgbClr val="000000"/>
          </a:solidFill>
          <a:prstDash val="solid"/>
        </a:ln>
      </c:spPr>
      <c:txPr>
        <a:bodyPr/>
        <a:lstStyle/>
        <a:p>
          <a:pPr>
            <a:defRPr sz="1198"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303" b="1" i="0" u="none" strike="noStrike" baseline="0">
          <a:solidFill>
            <a:srgbClr val="000000"/>
          </a:solidFill>
          <a:latin typeface="Arial"/>
          <a:ea typeface="Arial"/>
          <a:cs typeface="Arial"/>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35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0948626653102747"/>
          <c:y val="3.1511890159458711E-2"/>
          <c:w val="0.56130906762448851"/>
          <c:h val="0.88638091786643824"/>
        </c:manualLayout>
      </c:layout>
      <c:bar3DChart>
        <c:barDir val="col"/>
        <c:grouping val="clustered"/>
        <c:varyColors val="0"/>
        <c:ser>
          <c:idx val="0"/>
          <c:order val="0"/>
          <c:tx>
            <c:strRef>
              <c:f>Sheet1!$A$2</c:f>
              <c:strCache>
                <c:ptCount val="1"/>
                <c:pt idx="0">
                  <c:v>Gewoonlijke verblijfplaats</c:v>
                </c:pt>
              </c:strCache>
            </c:strRef>
          </c:tx>
          <c:spPr>
            <a:solidFill>
              <a:srgbClr val="B2B2B2"/>
            </a:solidFill>
            <a:ln w="12668">
              <a:solidFill>
                <a:srgbClr val="000000"/>
              </a:solidFill>
              <a:prstDash val="solid"/>
            </a:ln>
          </c:spPr>
          <c:invertIfNegative val="0"/>
          <c:dLbls>
            <c:dLbl>
              <c:idx val="0"/>
              <c:layout>
                <c:manualLayout>
                  <c:x val="0.1056795266612198"/>
                  <c:y val="-0.14001490675896067"/>
                </c:manualLayout>
              </c:layout>
              <c:showLegendKey val="0"/>
              <c:showVal val="1"/>
              <c:showCatName val="0"/>
              <c:showSerName val="0"/>
              <c:showPercent val="0"/>
              <c:showBubbleSize val="0"/>
            </c:dLbl>
            <c:spPr>
              <a:noFill/>
              <a:ln w="25337">
                <a:noFill/>
              </a:ln>
            </c:spPr>
            <c:txPr>
              <a:bodyPr/>
              <a:lstStyle/>
              <a:p>
                <a:pPr>
                  <a:defRPr sz="898"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numRef>
              <c:f>Sheet1!$B$1:$C$1</c:f>
              <c:numCache>
                <c:formatCode>General</c:formatCode>
                <c:ptCount val="1"/>
              </c:numCache>
            </c:numRef>
          </c:cat>
          <c:val>
            <c:numRef>
              <c:f>Sheet1!$B$2:$C$2</c:f>
              <c:numCache>
                <c:formatCode>General</c:formatCode>
                <c:ptCount val="1"/>
                <c:pt idx="0">
                  <c:v>1572</c:v>
                </c:pt>
              </c:numCache>
            </c:numRef>
          </c:val>
        </c:ser>
        <c:ser>
          <c:idx val="1"/>
          <c:order val="1"/>
          <c:tx>
            <c:strRef>
              <c:f>Sheet1!$A$3</c:f>
              <c:strCache>
                <c:ptCount val="1"/>
                <c:pt idx="0">
                  <c:v>Studenten</c:v>
                </c:pt>
              </c:strCache>
            </c:strRef>
          </c:tx>
          <c:spPr>
            <a:solidFill>
              <a:srgbClr val="FFFF00"/>
            </a:solidFill>
            <a:ln w="12668">
              <a:solidFill>
                <a:srgbClr val="000000"/>
              </a:solidFill>
              <a:prstDash val="solid"/>
            </a:ln>
          </c:spPr>
          <c:invertIfNegative val="0"/>
          <c:dLbls>
            <c:dLbl>
              <c:idx val="0"/>
              <c:layout>
                <c:manualLayout>
                  <c:x val="0.10475170364251789"/>
                  <c:y val="-0.11733315638915923"/>
                </c:manualLayout>
              </c:layout>
              <c:showLegendKey val="0"/>
              <c:showVal val="1"/>
              <c:showCatName val="0"/>
              <c:showSerName val="0"/>
              <c:showPercent val="0"/>
              <c:showBubbleSize val="0"/>
            </c:dLbl>
            <c:spPr>
              <a:noFill/>
              <a:ln w="25337">
                <a:noFill/>
              </a:ln>
            </c:spPr>
            <c:txPr>
              <a:bodyPr/>
              <a:lstStyle/>
              <a:p>
                <a:pPr>
                  <a:defRPr sz="898"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numRef>
              <c:f>Sheet1!$B$1:$C$1</c:f>
              <c:numCache>
                <c:formatCode>General</c:formatCode>
                <c:ptCount val="1"/>
              </c:numCache>
            </c:numRef>
          </c:cat>
          <c:val>
            <c:numRef>
              <c:f>Sheet1!$B$3:$C$3</c:f>
              <c:numCache>
                <c:formatCode>General</c:formatCode>
                <c:ptCount val="1"/>
                <c:pt idx="0">
                  <c:v>1251</c:v>
                </c:pt>
              </c:numCache>
            </c:numRef>
          </c:val>
        </c:ser>
        <c:ser>
          <c:idx val="2"/>
          <c:order val="2"/>
          <c:tx>
            <c:strRef>
              <c:f>Sheet1!$A$4</c:f>
              <c:strCache>
                <c:ptCount val="1"/>
                <c:pt idx="0">
                  <c:v>Instellingen</c:v>
                </c:pt>
              </c:strCache>
            </c:strRef>
          </c:tx>
          <c:spPr>
            <a:solidFill>
              <a:srgbClr val="00FFFF"/>
            </a:solidFill>
            <a:ln w="12668">
              <a:solidFill>
                <a:srgbClr val="000000"/>
              </a:solidFill>
              <a:prstDash val="solid"/>
            </a:ln>
          </c:spPr>
          <c:invertIfNegative val="0"/>
          <c:dLbls>
            <c:dLbl>
              <c:idx val="0"/>
              <c:layout>
                <c:manualLayout>
                  <c:x val="0.10178184397417826"/>
                  <c:y val="-0.12541655607655786"/>
                </c:manualLayout>
              </c:layout>
              <c:showLegendKey val="0"/>
              <c:showVal val="1"/>
              <c:showCatName val="0"/>
              <c:showSerName val="0"/>
              <c:showPercent val="0"/>
              <c:showBubbleSize val="0"/>
            </c:dLbl>
            <c:spPr>
              <a:noFill/>
              <a:ln w="25337">
                <a:noFill/>
              </a:ln>
            </c:spPr>
            <c:txPr>
              <a:bodyPr/>
              <a:lstStyle/>
              <a:p>
                <a:pPr>
                  <a:defRPr sz="898"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numRef>
              <c:f>Sheet1!$B$1:$C$1</c:f>
              <c:numCache>
                <c:formatCode>General</c:formatCode>
                <c:ptCount val="1"/>
              </c:numCache>
            </c:numRef>
          </c:cat>
          <c:val>
            <c:numRef>
              <c:f>Sheet1!$B$4:$C$4</c:f>
              <c:numCache>
                <c:formatCode>General</c:formatCode>
                <c:ptCount val="1"/>
                <c:pt idx="0">
                  <c:v>1192</c:v>
                </c:pt>
              </c:numCache>
            </c:numRef>
          </c:val>
        </c:ser>
        <c:ser>
          <c:idx val="3"/>
          <c:order val="3"/>
          <c:tx>
            <c:strRef>
              <c:f>Sheet1!$A$5</c:f>
              <c:strCache>
                <c:ptCount val="1"/>
                <c:pt idx="0">
                  <c:v>Asielzoekers</c:v>
                </c:pt>
              </c:strCache>
            </c:strRef>
          </c:tx>
          <c:spPr>
            <a:solidFill>
              <a:srgbClr val="FF0000"/>
            </a:solidFill>
            <a:ln w="12668">
              <a:solidFill>
                <a:srgbClr val="000000"/>
              </a:solidFill>
              <a:prstDash val="solid"/>
            </a:ln>
          </c:spPr>
          <c:invertIfNegative val="0"/>
          <c:dLbls>
            <c:dLbl>
              <c:idx val="0"/>
              <c:layout>
                <c:manualLayout>
                  <c:x val="0.1140674633458731"/>
                  <c:y val="-0.14580760270134774"/>
                </c:manualLayout>
              </c:layout>
              <c:showLegendKey val="0"/>
              <c:showVal val="1"/>
              <c:showCatName val="0"/>
              <c:showSerName val="0"/>
              <c:showPercent val="0"/>
              <c:showBubbleSize val="0"/>
            </c:dLbl>
            <c:spPr>
              <a:noFill/>
              <a:ln w="25337">
                <a:noFill/>
              </a:ln>
            </c:spPr>
            <c:txPr>
              <a:bodyPr/>
              <a:lstStyle/>
              <a:p>
                <a:pPr>
                  <a:defRPr sz="898"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numRef>
              <c:f>Sheet1!$B$1:$C$1</c:f>
              <c:numCache>
                <c:formatCode>General</c:formatCode>
                <c:ptCount val="1"/>
              </c:numCache>
            </c:numRef>
          </c:cat>
          <c:val>
            <c:numRef>
              <c:f>Sheet1!$B$5:$C$5</c:f>
              <c:numCache>
                <c:formatCode>General</c:formatCode>
                <c:ptCount val="1"/>
                <c:pt idx="0">
                  <c:v>808</c:v>
                </c:pt>
              </c:numCache>
            </c:numRef>
          </c:val>
        </c:ser>
        <c:ser>
          <c:idx val="4"/>
          <c:order val="4"/>
          <c:tx>
            <c:strRef>
              <c:f>Sheet1!$A$6</c:f>
              <c:strCache>
                <c:ptCount val="1"/>
                <c:pt idx="0">
                  <c:v>Daklozen</c:v>
                </c:pt>
              </c:strCache>
            </c:strRef>
          </c:tx>
          <c:spPr>
            <a:solidFill>
              <a:srgbClr val="00FF00"/>
            </a:solidFill>
            <a:ln w="12668">
              <a:solidFill>
                <a:srgbClr val="000000"/>
              </a:solidFill>
              <a:prstDash val="solid"/>
            </a:ln>
          </c:spPr>
          <c:invertIfNegative val="0"/>
          <c:dLbls>
            <c:dLbl>
              <c:idx val="0"/>
              <c:layout>
                <c:manualLayout>
                  <c:x val="0.10857863690641863"/>
                  <c:y val="-0.14002477218437584"/>
                </c:manualLayout>
              </c:layout>
              <c:showLegendKey val="0"/>
              <c:showVal val="1"/>
              <c:showCatName val="0"/>
              <c:showSerName val="0"/>
              <c:showPercent val="0"/>
              <c:showBubbleSize val="0"/>
            </c:dLbl>
            <c:spPr>
              <a:noFill/>
              <a:ln w="25337">
                <a:noFill/>
              </a:ln>
            </c:spPr>
            <c:txPr>
              <a:bodyPr/>
              <a:lstStyle/>
              <a:p>
                <a:pPr algn="l">
                  <a:defRPr sz="898"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numRef>
              <c:f>Sheet1!$B$1:$C$1</c:f>
              <c:numCache>
                <c:formatCode>General</c:formatCode>
                <c:ptCount val="1"/>
              </c:numCache>
            </c:numRef>
          </c:cat>
          <c:val>
            <c:numRef>
              <c:f>Sheet1!$B$6:$C$6</c:f>
              <c:numCache>
                <c:formatCode>General</c:formatCode>
                <c:ptCount val="1"/>
                <c:pt idx="0">
                  <c:v>243</c:v>
                </c:pt>
              </c:numCache>
            </c:numRef>
          </c:val>
        </c:ser>
        <c:dLbls>
          <c:showLegendKey val="0"/>
          <c:showVal val="0"/>
          <c:showCatName val="0"/>
          <c:showSerName val="0"/>
          <c:showPercent val="0"/>
          <c:showBubbleSize val="0"/>
        </c:dLbls>
        <c:gapWidth val="0"/>
        <c:gapDepth val="0"/>
        <c:shape val="box"/>
        <c:axId val="84520960"/>
        <c:axId val="84522496"/>
        <c:axId val="0"/>
      </c:bar3DChart>
      <c:catAx>
        <c:axId val="84520960"/>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347" b="1" i="0" u="none" strike="noStrike" baseline="0">
                <a:solidFill>
                  <a:srgbClr val="000000"/>
                </a:solidFill>
                <a:latin typeface="Arial"/>
                <a:ea typeface="Arial"/>
                <a:cs typeface="Arial"/>
              </a:defRPr>
            </a:pPr>
            <a:endParaRPr lang="fr-FR"/>
          </a:p>
        </c:txPr>
        <c:crossAx val="84522496"/>
        <c:crosses val="autoZero"/>
        <c:auto val="1"/>
        <c:lblAlgn val="ctr"/>
        <c:lblOffset val="100"/>
        <c:tickLblSkip val="1"/>
        <c:tickMarkSkip val="1"/>
        <c:noMultiLvlLbl val="0"/>
      </c:catAx>
      <c:valAx>
        <c:axId val="84522496"/>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347" b="1" i="0" u="none" strike="noStrike" baseline="0">
                <a:solidFill>
                  <a:srgbClr val="000000"/>
                </a:solidFill>
                <a:latin typeface="Arial"/>
                <a:ea typeface="Arial"/>
                <a:cs typeface="Arial"/>
              </a:defRPr>
            </a:pPr>
            <a:endParaRPr lang="fr-FR"/>
          </a:p>
        </c:txPr>
        <c:crossAx val="84520960"/>
        <c:crosses val="autoZero"/>
        <c:crossBetween val="between"/>
      </c:valAx>
      <c:spPr>
        <a:noFill/>
        <a:ln w="25337">
          <a:noFill/>
        </a:ln>
      </c:spPr>
    </c:plotArea>
    <c:legend>
      <c:legendPos val="r"/>
      <c:layout>
        <c:manualLayout>
          <c:xMode val="edge"/>
          <c:yMode val="edge"/>
          <c:x val="0.73790951638065516"/>
          <c:y val="5.9740259740259746E-2"/>
          <c:w val="0.25273010920436817"/>
          <c:h val="0.70389610389610391"/>
        </c:manualLayout>
      </c:layout>
      <c:overlay val="0"/>
      <c:spPr>
        <a:noFill/>
        <a:ln w="3167">
          <a:solidFill>
            <a:srgbClr val="000000"/>
          </a:solidFill>
          <a:prstDash val="solid"/>
        </a:ln>
      </c:spPr>
      <c:txPr>
        <a:bodyPr/>
        <a:lstStyle/>
        <a:p>
          <a:pPr>
            <a:defRPr sz="918"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347" b="1" i="0" u="none" strike="noStrike" baseline="0">
          <a:solidFill>
            <a:srgbClr val="000000"/>
          </a:solidFill>
          <a:latin typeface="Arial"/>
          <a:ea typeface="Arial"/>
          <a:cs typeface="Arial"/>
        </a:defRPr>
      </a:pPr>
      <a:endParaRPr lang="fr-FR"/>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0.4395</cdr:x>
      <cdr:y>0.15975</cdr:y>
    </cdr:from>
    <cdr:to>
      <cdr:x>0.52425</cdr:x>
      <cdr:y>0.2285</cdr:y>
    </cdr:to>
    <cdr:sp macro="" textlink="">
      <cdr:nvSpPr>
        <cdr:cNvPr id="1025" name="Text Box 1"/>
        <cdr:cNvSpPr txBox="1">
          <a:spLocks xmlns:a="http://schemas.openxmlformats.org/drawingml/2006/main" noChangeArrowheads="1"/>
        </cdr:cNvSpPr>
      </cdr:nvSpPr>
      <cdr:spPr bwMode="auto">
        <a:xfrm xmlns:a="http://schemas.openxmlformats.org/drawingml/2006/main">
          <a:off x="2222892" y="552348"/>
          <a:ext cx="428647" cy="2377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nl-BE"/>
        </a:p>
      </cdr:txBody>
    </cdr:sp>
  </cdr:relSizeAnchor>
  <cdr:relSizeAnchor xmlns:cdr="http://schemas.openxmlformats.org/drawingml/2006/chartDrawing">
    <cdr:from>
      <cdr:x>0.515</cdr:x>
      <cdr:y>0.13125</cdr:y>
    </cdr:from>
    <cdr:to>
      <cdr:x>0.576</cdr:x>
      <cdr:y>0.22525</cdr:y>
    </cdr:to>
    <cdr:sp macro="" textlink="">
      <cdr:nvSpPr>
        <cdr:cNvPr id="1026" name="Text Box 2"/>
        <cdr:cNvSpPr txBox="1">
          <a:spLocks xmlns:a="http://schemas.openxmlformats.org/drawingml/2006/main" noChangeArrowheads="1"/>
        </cdr:cNvSpPr>
      </cdr:nvSpPr>
      <cdr:spPr bwMode="auto">
        <a:xfrm xmlns:a="http://schemas.openxmlformats.org/drawingml/2006/main">
          <a:off x="2604754" y="453807"/>
          <a:ext cx="308524" cy="3250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nl-BE"/>
        </a:p>
      </cdr:txBody>
    </cdr:sp>
  </cdr:relSizeAnchor>
  <cdr:relSizeAnchor xmlns:cdr="http://schemas.openxmlformats.org/drawingml/2006/chartDrawing">
    <cdr:from>
      <cdr:x>0.5035</cdr:x>
      <cdr:y>0.4475</cdr:y>
    </cdr:from>
    <cdr:to>
      <cdr:x>0.513</cdr:x>
      <cdr:y>0.5025</cdr:y>
    </cdr:to>
    <cdr:sp macro="" textlink="">
      <cdr:nvSpPr>
        <cdr:cNvPr id="1027" name="Text Box 3"/>
        <cdr:cNvSpPr txBox="1">
          <a:spLocks xmlns:a="http://schemas.openxmlformats.org/drawingml/2006/main" noChangeArrowheads="1"/>
        </cdr:cNvSpPr>
      </cdr:nvSpPr>
      <cdr:spPr bwMode="auto">
        <a:xfrm xmlns:a="http://schemas.openxmlformats.org/drawingml/2006/main">
          <a:off x="2546590" y="1547265"/>
          <a:ext cx="48049" cy="19016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nl-BE"/>
        </a:p>
      </cdr:txBody>
    </cdr:sp>
  </cdr:relSizeAnchor>
  <cdr:relSizeAnchor xmlns:cdr="http://schemas.openxmlformats.org/drawingml/2006/chartDrawing">
    <cdr:from>
      <cdr:x>0</cdr:x>
      <cdr:y>0.01464</cdr:y>
    </cdr:from>
    <cdr:to>
      <cdr:x>1</cdr:x>
      <cdr:y>0.77476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69850"/>
          <a:ext cx="6096000" cy="36258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0.41025</cdr:x>
      <cdr:y>0.26325</cdr:y>
    </cdr:from>
    <cdr:to>
      <cdr:x>0.45525</cdr:x>
      <cdr:y>0.31675</cdr:y>
    </cdr:to>
    <cdr:sp macro="" textlink="">
      <cdr:nvSpPr>
        <cdr:cNvPr id="1025" name="Text Box 1"/>
        <cdr:cNvSpPr txBox="1">
          <a:spLocks xmlns:a="http://schemas.openxmlformats.org/drawingml/2006/main" noChangeArrowheads="1"/>
        </cdr:cNvSpPr>
      </cdr:nvSpPr>
      <cdr:spPr bwMode="auto">
        <a:xfrm xmlns:a="http://schemas.openxmlformats.org/drawingml/2006/main">
          <a:off x="2340671" y="1170982"/>
          <a:ext cx="256746" cy="23797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nl-BE"/>
        </a:p>
      </cdr:txBody>
    </cdr:sp>
  </cdr:relSizeAnchor>
  <cdr:relSizeAnchor xmlns:cdr="http://schemas.openxmlformats.org/drawingml/2006/chartDrawing">
    <cdr:from>
      <cdr:x>0.51875</cdr:x>
      <cdr:y>0.139</cdr:y>
    </cdr:from>
    <cdr:to>
      <cdr:x>0.56375</cdr:x>
      <cdr:y>0.1925</cdr:y>
    </cdr:to>
    <cdr:sp macro="" textlink="">
      <cdr:nvSpPr>
        <cdr:cNvPr id="1026" name="Text Box 2"/>
        <cdr:cNvSpPr txBox="1">
          <a:spLocks xmlns:a="http://schemas.openxmlformats.org/drawingml/2006/main" noChangeArrowheads="1"/>
        </cdr:cNvSpPr>
      </cdr:nvSpPr>
      <cdr:spPr bwMode="auto">
        <a:xfrm xmlns:a="http://schemas.openxmlformats.org/drawingml/2006/main">
          <a:off x="2959715" y="618296"/>
          <a:ext cx="256747" cy="2379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nl-BE"/>
        </a:p>
      </cdr:txBody>
    </cdr:sp>
  </cdr:relSizeAnchor>
  <cdr:relSizeAnchor xmlns:cdr="http://schemas.openxmlformats.org/drawingml/2006/chartDrawing">
    <cdr:from>
      <cdr:x>0</cdr:x>
      <cdr:y>0</cdr:y>
    </cdr:from>
    <cdr:to>
      <cdr:x>1</cdr:x>
      <cdr:y>0.97904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590477" cy="3580953"/>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0.169</cdr:x>
      <cdr:y>0.138</cdr:y>
    </cdr:from>
    <cdr:to>
      <cdr:x>0.222</cdr:x>
      <cdr:y>0.2055</cdr:y>
    </cdr:to>
    <cdr:sp macro="" textlink="">
      <cdr:nvSpPr>
        <cdr:cNvPr id="1026" name="Text Box 2"/>
        <cdr:cNvSpPr txBox="1">
          <a:spLocks xmlns:a="http://schemas.openxmlformats.org/drawingml/2006/main" noChangeArrowheads="1"/>
        </cdr:cNvSpPr>
      </cdr:nvSpPr>
      <cdr:spPr bwMode="auto">
        <a:xfrm xmlns:a="http://schemas.openxmlformats.org/drawingml/2006/main">
          <a:off x="825467" y="404851"/>
          <a:ext cx="258874" cy="19802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fr-BE"/>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D374-8FFD-4B9C-B108-22301FF0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12761</Words>
  <Characters>70186</Characters>
  <Application>Microsoft Office Word</Application>
  <DocSecurity>0</DocSecurity>
  <Lines>584</Lines>
  <Paragraphs>165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Rapport d’évaluation de la procédure de demande de règlement d’un conflit de compétence entre des CPAS, en application de l’ar</vt:lpstr>
      <vt:lpstr>Rapport d’évaluation de la procédure de demande de règlement d’un conflit de compétence entre des CPAS, en application de l’ar</vt:lpstr>
    </vt:vector>
  </TitlesOfParts>
  <Company/>
  <LinksUpToDate>false</LinksUpToDate>
  <CharactersWithSpaces>82782</CharactersWithSpaces>
  <SharedDoc>false</SharedDoc>
  <HLinks>
    <vt:vector size="408" baseType="variant">
      <vt:variant>
        <vt:i4>1900602</vt:i4>
      </vt:variant>
      <vt:variant>
        <vt:i4>404</vt:i4>
      </vt:variant>
      <vt:variant>
        <vt:i4>0</vt:i4>
      </vt:variant>
      <vt:variant>
        <vt:i4>5</vt:i4>
      </vt:variant>
      <vt:variant>
        <vt:lpwstr/>
      </vt:variant>
      <vt:variant>
        <vt:lpwstr>_Toc347395787</vt:lpwstr>
      </vt:variant>
      <vt:variant>
        <vt:i4>1900602</vt:i4>
      </vt:variant>
      <vt:variant>
        <vt:i4>398</vt:i4>
      </vt:variant>
      <vt:variant>
        <vt:i4>0</vt:i4>
      </vt:variant>
      <vt:variant>
        <vt:i4>5</vt:i4>
      </vt:variant>
      <vt:variant>
        <vt:lpwstr/>
      </vt:variant>
      <vt:variant>
        <vt:lpwstr>_Toc347395786</vt:lpwstr>
      </vt:variant>
      <vt:variant>
        <vt:i4>1900602</vt:i4>
      </vt:variant>
      <vt:variant>
        <vt:i4>392</vt:i4>
      </vt:variant>
      <vt:variant>
        <vt:i4>0</vt:i4>
      </vt:variant>
      <vt:variant>
        <vt:i4>5</vt:i4>
      </vt:variant>
      <vt:variant>
        <vt:lpwstr/>
      </vt:variant>
      <vt:variant>
        <vt:lpwstr>_Toc347395785</vt:lpwstr>
      </vt:variant>
      <vt:variant>
        <vt:i4>1900602</vt:i4>
      </vt:variant>
      <vt:variant>
        <vt:i4>386</vt:i4>
      </vt:variant>
      <vt:variant>
        <vt:i4>0</vt:i4>
      </vt:variant>
      <vt:variant>
        <vt:i4>5</vt:i4>
      </vt:variant>
      <vt:variant>
        <vt:lpwstr/>
      </vt:variant>
      <vt:variant>
        <vt:lpwstr>_Toc347395784</vt:lpwstr>
      </vt:variant>
      <vt:variant>
        <vt:i4>1900602</vt:i4>
      </vt:variant>
      <vt:variant>
        <vt:i4>380</vt:i4>
      </vt:variant>
      <vt:variant>
        <vt:i4>0</vt:i4>
      </vt:variant>
      <vt:variant>
        <vt:i4>5</vt:i4>
      </vt:variant>
      <vt:variant>
        <vt:lpwstr/>
      </vt:variant>
      <vt:variant>
        <vt:lpwstr>_Toc347395783</vt:lpwstr>
      </vt:variant>
      <vt:variant>
        <vt:i4>1900602</vt:i4>
      </vt:variant>
      <vt:variant>
        <vt:i4>374</vt:i4>
      </vt:variant>
      <vt:variant>
        <vt:i4>0</vt:i4>
      </vt:variant>
      <vt:variant>
        <vt:i4>5</vt:i4>
      </vt:variant>
      <vt:variant>
        <vt:lpwstr/>
      </vt:variant>
      <vt:variant>
        <vt:lpwstr>_Toc347395782</vt:lpwstr>
      </vt:variant>
      <vt:variant>
        <vt:i4>1900602</vt:i4>
      </vt:variant>
      <vt:variant>
        <vt:i4>368</vt:i4>
      </vt:variant>
      <vt:variant>
        <vt:i4>0</vt:i4>
      </vt:variant>
      <vt:variant>
        <vt:i4>5</vt:i4>
      </vt:variant>
      <vt:variant>
        <vt:lpwstr/>
      </vt:variant>
      <vt:variant>
        <vt:lpwstr>_Toc347395781</vt:lpwstr>
      </vt:variant>
      <vt:variant>
        <vt:i4>1900602</vt:i4>
      </vt:variant>
      <vt:variant>
        <vt:i4>362</vt:i4>
      </vt:variant>
      <vt:variant>
        <vt:i4>0</vt:i4>
      </vt:variant>
      <vt:variant>
        <vt:i4>5</vt:i4>
      </vt:variant>
      <vt:variant>
        <vt:lpwstr/>
      </vt:variant>
      <vt:variant>
        <vt:lpwstr>_Toc347395780</vt:lpwstr>
      </vt:variant>
      <vt:variant>
        <vt:i4>1179706</vt:i4>
      </vt:variant>
      <vt:variant>
        <vt:i4>356</vt:i4>
      </vt:variant>
      <vt:variant>
        <vt:i4>0</vt:i4>
      </vt:variant>
      <vt:variant>
        <vt:i4>5</vt:i4>
      </vt:variant>
      <vt:variant>
        <vt:lpwstr/>
      </vt:variant>
      <vt:variant>
        <vt:lpwstr>_Toc347395779</vt:lpwstr>
      </vt:variant>
      <vt:variant>
        <vt:i4>1179706</vt:i4>
      </vt:variant>
      <vt:variant>
        <vt:i4>350</vt:i4>
      </vt:variant>
      <vt:variant>
        <vt:i4>0</vt:i4>
      </vt:variant>
      <vt:variant>
        <vt:i4>5</vt:i4>
      </vt:variant>
      <vt:variant>
        <vt:lpwstr/>
      </vt:variant>
      <vt:variant>
        <vt:lpwstr>_Toc347395778</vt:lpwstr>
      </vt:variant>
      <vt:variant>
        <vt:i4>1179706</vt:i4>
      </vt:variant>
      <vt:variant>
        <vt:i4>344</vt:i4>
      </vt:variant>
      <vt:variant>
        <vt:i4>0</vt:i4>
      </vt:variant>
      <vt:variant>
        <vt:i4>5</vt:i4>
      </vt:variant>
      <vt:variant>
        <vt:lpwstr/>
      </vt:variant>
      <vt:variant>
        <vt:lpwstr>_Toc347395777</vt:lpwstr>
      </vt:variant>
      <vt:variant>
        <vt:i4>1179706</vt:i4>
      </vt:variant>
      <vt:variant>
        <vt:i4>338</vt:i4>
      </vt:variant>
      <vt:variant>
        <vt:i4>0</vt:i4>
      </vt:variant>
      <vt:variant>
        <vt:i4>5</vt:i4>
      </vt:variant>
      <vt:variant>
        <vt:lpwstr/>
      </vt:variant>
      <vt:variant>
        <vt:lpwstr>_Toc347395776</vt:lpwstr>
      </vt:variant>
      <vt:variant>
        <vt:i4>1179706</vt:i4>
      </vt:variant>
      <vt:variant>
        <vt:i4>332</vt:i4>
      </vt:variant>
      <vt:variant>
        <vt:i4>0</vt:i4>
      </vt:variant>
      <vt:variant>
        <vt:i4>5</vt:i4>
      </vt:variant>
      <vt:variant>
        <vt:lpwstr/>
      </vt:variant>
      <vt:variant>
        <vt:lpwstr>_Toc347395775</vt:lpwstr>
      </vt:variant>
      <vt:variant>
        <vt:i4>1179706</vt:i4>
      </vt:variant>
      <vt:variant>
        <vt:i4>326</vt:i4>
      </vt:variant>
      <vt:variant>
        <vt:i4>0</vt:i4>
      </vt:variant>
      <vt:variant>
        <vt:i4>5</vt:i4>
      </vt:variant>
      <vt:variant>
        <vt:lpwstr/>
      </vt:variant>
      <vt:variant>
        <vt:lpwstr>_Toc347395774</vt:lpwstr>
      </vt:variant>
      <vt:variant>
        <vt:i4>1179706</vt:i4>
      </vt:variant>
      <vt:variant>
        <vt:i4>320</vt:i4>
      </vt:variant>
      <vt:variant>
        <vt:i4>0</vt:i4>
      </vt:variant>
      <vt:variant>
        <vt:i4>5</vt:i4>
      </vt:variant>
      <vt:variant>
        <vt:lpwstr/>
      </vt:variant>
      <vt:variant>
        <vt:lpwstr>_Toc347395773</vt:lpwstr>
      </vt:variant>
      <vt:variant>
        <vt:i4>1179706</vt:i4>
      </vt:variant>
      <vt:variant>
        <vt:i4>314</vt:i4>
      </vt:variant>
      <vt:variant>
        <vt:i4>0</vt:i4>
      </vt:variant>
      <vt:variant>
        <vt:i4>5</vt:i4>
      </vt:variant>
      <vt:variant>
        <vt:lpwstr/>
      </vt:variant>
      <vt:variant>
        <vt:lpwstr>_Toc347395772</vt:lpwstr>
      </vt:variant>
      <vt:variant>
        <vt:i4>1179706</vt:i4>
      </vt:variant>
      <vt:variant>
        <vt:i4>308</vt:i4>
      </vt:variant>
      <vt:variant>
        <vt:i4>0</vt:i4>
      </vt:variant>
      <vt:variant>
        <vt:i4>5</vt:i4>
      </vt:variant>
      <vt:variant>
        <vt:lpwstr/>
      </vt:variant>
      <vt:variant>
        <vt:lpwstr>_Toc347395771</vt:lpwstr>
      </vt:variant>
      <vt:variant>
        <vt:i4>1179706</vt:i4>
      </vt:variant>
      <vt:variant>
        <vt:i4>302</vt:i4>
      </vt:variant>
      <vt:variant>
        <vt:i4>0</vt:i4>
      </vt:variant>
      <vt:variant>
        <vt:i4>5</vt:i4>
      </vt:variant>
      <vt:variant>
        <vt:lpwstr/>
      </vt:variant>
      <vt:variant>
        <vt:lpwstr>_Toc347395770</vt:lpwstr>
      </vt:variant>
      <vt:variant>
        <vt:i4>1245242</vt:i4>
      </vt:variant>
      <vt:variant>
        <vt:i4>296</vt:i4>
      </vt:variant>
      <vt:variant>
        <vt:i4>0</vt:i4>
      </vt:variant>
      <vt:variant>
        <vt:i4>5</vt:i4>
      </vt:variant>
      <vt:variant>
        <vt:lpwstr/>
      </vt:variant>
      <vt:variant>
        <vt:lpwstr>_Toc347395769</vt:lpwstr>
      </vt:variant>
      <vt:variant>
        <vt:i4>1245242</vt:i4>
      </vt:variant>
      <vt:variant>
        <vt:i4>290</vt:i4>
      </vt:variant>
      <vt:variant>
        <vt:i4>0</vt:i4>
      </vt:variant>
      <vt:variant>
        <vt:i4>5</vt:i4>
      </vt:variant>
      <vt:variant>
        <vt:lpwstr/>
      </vt:variant>
      <vt:variant>
        <vt:lpwstr>_Toc347395768</vt:lpwstr>
      </vt:variant>
      <vt:variant>
        <vt:i4>1245242</vt:i4>
      </vt:variant>
      <vt:variant>
        <vt:i4>284</vt:i4>
      </vt:variant>
      <vt:variant>
        <vt:i4>0</vt:i4>
      </vt:variant>
      <vt:variant>
        <vt:i4>5</vt:i4>
      </vt:variant>
      <vt:variant>
        <vt:lpwstr/>
      </vt:variant>
      <vt:variant>
        <vt:lpwstr>_Toc347395767</vt:lpwstr>
      </vt:variant>
      <vt:variant>
        <vt:i4>1245242</vt:i4>
      </vt:variant>
      <vt:variant>
        <vt:i4>278</vt:i4>
      </vt:variant>
      <vt:variant>
        <vt:i4>0</vt:i4>
      </vt:variant>
      <vt:variant>
        <vt:i4>5</vt:i4>
      </vt:variant>
      <vt:variant>
        <vt:lpwstr/>
      </vt:variant>
      <vt:variant>
        <vt:lpwstr>_Toc347395766</vt:lpwstr>
      </vt:variant>
      <vt:variant>
        <vt:i4>1245242</vt:i4>
      </vt:variant>
      <vt:variant>
        <vt:i4>272</vt:i4>
      </vt:variant>
      <vt:variant>
        <vt:i4>0</vt:i4>
      </vt:variant>
      <vt:variant>
        <vt:i4>5</vt:i4>
      </vt:variant>
      <vt:variant>
        <vt:lpwstr/>
      </vt:variant>
      <vt:variant>
        <vt:lpwstr>_Toc347395765</vt:lpwstr>
      </vt:variant>
      <vt:variant>
        <vt:i4>1245242</vt:i4>
      </vt:variant>
      <vt:variant>
        <vt:i4>266</vt:i4>
      </vt:variant>
      <vt:variant>
        <vt:i4>0</vt:i4>
      </vt:variant>
      <vt:variant>
        <vt:i4>5</vt:i4>
      </vt:variant>
      <vt:variant>
        <vt:lpwstr/>
      </vt:variant>
      <vt:variant>
        <vt:lpwstr>_Toc347395764</vt:lpwstr>
      </vt:variant>
      <vt:variant>
        <vt:i4>1245242</vt:i4>
      </vt:variant>
      <vt:variant>
        <vt:i4>260</vt:i4>
      </vt:variant>
      <vt:variant>
        <vt:i4>0</vt:i4>
      </vt:variant>
      <vt:variant>
        <vt:i4>5</vt:i4>
      </vt:variant>
      <vt:variant>
        <vt:lpwstr/>
      </vt:variant>
      <vt:variant>
        <vt:lpwstr>_Toc347395763</vt:lpwstr>
      </vt:variant>
      <vt:variant>
        <vt:i4>1245242</vt:i4>
      </vt:variant>
      <vt:variant>
        <vt:i4>254</vt:i4>
      </vt:variant>
      <vt:variant>
        <vt:i4>0</vt:i4>
      </vt:variant>
      <vt:variant>
        <vt:i4>5</vt:i4>
      </vt:variant>
      <vt:variant>
        <vt:lpwstr/>
      </vt:variant>
      <vt:variant>
        <vt:lpwstr>_Toc347395762</vt:lpwstr>
      </vt:variant>
      <vt:variant>
        <vt:i4>1245242</vt:i4>
      </vt:variant>
      <vt:variant>
        <vt:i4>248</vt:i4>
      </vt:variant>
      <vt:variant>
        <vt:i4>0</vt:i4>
      </vt:variant>
      <vt:variant>
        <vt:i4>5</vt:i4>
      </vt:variant>
      <vt:variant>
        <vt:lpwstr/>
      </vt:variant>
      <vt:variant>
        <vt:lpwstr>_Toc347395761</vt:lpwstr>
      </vt:variant>
      <vt:variant>
        <vt:i4>1245242</vt:i4>
      </vt:variant>
      <vt:variant>
        <vt:i4>242</vt:i4>
      </vt:variant>
      <vt:variant>
        <vt:i4>0</vt:i4>
      </vt:variant>
      <vt:variant>
        <vt:i4>5</vt:i4>
      </vt:variant>
      <vt:variant>
        <vt:lpwstr/>
      </vt:variant>
      <vt:variant>
        <vt:lpwstr>_Toc347395760</vt:lpwstr>
      </vt:variant>
      <vt:variant>
        <vt:i4>1048634</vt:i4>
      </vt:variant>
      <vt:variant>
        <vt:i4>236</vt:i4>
      </vt:variant>
      <vt:variant>
        <vt:i4>0</vt:i4>
      </vt:variant>
      <vt:variant>
        <vt:i4>5</vt:i4>
      </vt:variant>
      <vt:variant>
        <vt:lpwstr/>
      </vt:variant>
      <vt:variant>
        <vt:lpwstr>_Toc347395759</vt:lpwstr>
      </vt:variant>
      <vt:variant>
        <vt:i4>1048634</vt:i4>
      </vt:variant>
      <vt:variant>
        <vt:i4>230</vt:i4>
      </vt:variant>
      <vt:variant>
        <vt:i4>0</vt:i4>
      </vt:variant>
      <vt:variant>
        <vt:i4>5</vt:i4>
      </vt:variant>
      <vt:variant>
        <vt:lpwstr/>
      </vt:variant>
      <vt:variant>
        <vt:lpwstr>_Toc347395758</vt:lpwstr>
      </vt:variant>
      <vt:variant>
        <vt:i4>1048634</vt:i4>
      </vt:variant>
      <vt:variant>
        <vt:i4>224</vt:i4>
      </vt:variant>
      <vt:variant>
        <vt:i4>0</vt:i4>
      </vt:variant>
      <vt:variant>
        <vt:i4>5</vt:i4>
      </vt:variant>
      <vt:variant>
        <vt:lpwstr/>
      </vt:variant>
      <vt:variant>
        <vt:lpwstr>_Toc347395757</vt:lpwstr>
      </vt:variant>
      <vt:variant>
        <vt:i4>1048634</vt:i4>
      </vt:variant>
      <vt:variant>
        <vt:i4>218</vt:i4>
      </vt:variant>
      <vt:variant>
        <vt:i4>0</vt:i4>
      </vt:variant>
      <vt:variant>
        <vt:i4>5</vt:i4>
      </vt:variant>
      <vt:variant>
        <vt:lpwstr/>
      </vt:variant>
      <vt:variant>
        <vt:lpwstr>_Toc347395756</vt:lpwstr>
      </vt:variant>
      <vt:variant>
        <vt:i4>1048634</vt:i4>
      </vt:variant>
      <vt:variant>
        <vt:i4>212</vt:i4>
      </vt:variant>
      <vt:variant>
        <vt:i4>0</vt:i4>
      </vt:variant>
      <vt:variant>
        <vt:i4>5</vt:i4>
      </vt:variant>
      <vt:variant>
        <vt:lpwstr/>
      </vt:variant>
      <vt:variant>
        <vt:lpwstr>_Toc347395755</vt:lpwstr>
      </vt:variant>
      <vt:variant>
        <vt:i4>1048634</vt:i4>
      </vt:variant>
      <vt:variant>
        <vt:i4>206</vt:i4>
      </vt:variant>
      <vt:variant>
        <vt:i4>0</vt:i4>
      </vt:variant>
      <vt:variant>
        <vt:i4>5</vt:i4>
      </vt:variant>
      <vt:variant>
        <vt:lpwstr/>
      </vt:variant>
      <vt:variant>
        <vt:lpwstr>_Toc347395754</vt:lpwstr>
      </vt:variant>
      <vt:variant>
        <vt:i4>1048634</vt:i4>
      </vt:variant>
      <vt:variant>
        <vt:i4>200</vt:i4>
      </vt:variant>
      <vt:variant>
        <vt:i4>0</vt:i4>
      </vt:variant>
      <vt:variant>
        <vt:i4>5</vt:i4>
      </vt:variant>
      <vt:variant>
        <vt:lpwstr/>
      </vt:variant>
      <vt:variant>
        <vt:lpwstr>_Toc347395753</vt:lpwstr>
      </vt:variant>
      <vt:variant>
        <vt:i4>1048634</vt:i4>
      </vt:variant>
      <vt:variant>
        <vt:i4>194</vt:i4>
      </vt:variant>
      <vt:variant>
        <vt:i4>0</vt:i4>
      </vt:variant>
      <vt:variant>
        <vt:i4>5</vt:i4>
      </vt:variant>
      <vt:variant>
        <vt:lpwstr/>
      </vt:variant>
      <vt:variant>
        <vt:lpwstr>_Toc347395752</vt:lpwstr>
      </vt:variant>
      <vt:variant>
        <vt:i4>1048634</vt:i4>
      </vt:variant>
      <vt:variant>
        <vt:i4>188</vt:i4>
      </vt:variant>
      <vt:variant>
        <vt:i4>0</vt:i4>
      </vt:variant>
      <vt:variant>
        <vt:i4>5</vt:i4>
      </vt:variant>
      <vt:variant>
        <vt:lpwstr/>
      </vt:variant>
      <vt:variant>
        <vt:lpwstr>_Toc347395751</vt:lpwstr>
      </vt:variant>
      <vt:variant>
        <vt:i4>1048634</vt:i4>
      </vt:variant>
      <vt:variant>
        <vt:i4>182</vt:i4>
      </vt:variant>
      <vt:variant>
        <vt:i4>0</vt:i4>
      </vt:variant>
      <vt:variant>
        <vt:i4>5</vt:i4>
      </vt:variant>
      <vt:variant>
        <vt:lpwstr/>
      </vt:variant>
      <vt:variant>
        <vt:lpwstr>_Toc347395750</vt:lpwstr>
      </vt:variant>
      <vt:variant>
        <vt:i4>1114170</vt:i4>
      </vt:variant>
      <vt:variant>
        <vt:i4>176</vt:i4>
      </vt:variant>
      <vt:variant>
        <vt:i4>0</vt:i4>
      </vt:variant>
      <vt:variant>
        <vt:i4>5</vt:i4>
      </vt:variant>
      <vt:variant>
        <vt:lpwstr/>
      </vt:variant>
      <vt:variant>
        <vt:lpwstr>_Toc347395749</vt:lpwstr>
      </vt:variant>
      <vt:variant>
        <vt:i4>1114170</vt:i4>
      </vt:variant>
      <vt:variant>
        <vt:i4>170</vt:i4>
      </vt:variant>
      <vt:variant>
        <vt:i4>0</vt:i4>
      </vt:variant>
      <vt:variant>
        <vt:i4>5</vt:i4>
      </vt:variant>
      <vt:variant>
        <vt:lpwstr/>
      </vt:variant>
      <vt:variant>
        <vt:lpwstr>_Toc347395748</vt:lpwstr>
      </vt:variant>
      <vt:variant>
        <vt:i4>1114170</vt:i4>
      </vt:variant>
      <vt:variant>
        <vt:i4>164</vt:i4>
      </vt:variant>
      <vt:variant>
        <vt:i4>0</vt:i4>
      </vt:variant>
      <vt:variant>
        <vt:i4>5</vt:i4>
      </vt:variant>
      <vt:variant>
        <vt:lpwstr/>
      </vt:variant>
      <vt:variant>
        <vt:lpwstr>_Toc347395747</vt:lpwstr>
      </vt:variant>
      <vt:variant>
        <vt:i4>1114170</vt:i4>
      </vt:variant>
      <vt:variant>
        <vt:i4>158</vt:i4>
      </vt:variant>
      <vt:variant>
        <vt:i4>0</vt:i4>
      </vt:variant>
      <vt:variant>
        <vt:i4>5</vt:i4>
      </vt:variant>
      <vt:variant>
        <vt:lpwstr/>
      </vt:variant>
      <vt:variant>
        <vt:lpwstr>_Toc347395746</vt:lpwstr>
      </vt:variant>
      <vt:variant>
        <vt:i4>1114170</vt:i4>
      </vt:variant>
      <vt:variant>
        <vt:i4>152</vt:i4>
      </vt:variant>
      <vt:variant>
        <vt:i4>0</vt:i4>
      </vt:variant>
      <vt:variant>
        <vt:i4>5</vt:i4>
      </vt:variant>
      <vt:variant>
        <vt:lpwstr/>
      </vt:variant>
      <vt:variant>
        <vt:lpwstr>_Toc347395745</vt:lpwstr>
      </vt:variant>
      <vt:variant>
        <vt:i4>1114170</vt:i4>
      </vt:variant>
      <vt:variant>
        <vt:i4>146</vt:i4>
      </vt:variant>
      <vt:variant>
        <vt:i4>0</vt:i4>
      </vt:variant>
      <vt:variant>
        <vt:i4>5</vt:i4>
      </vt:variant>
      <vt:variant>
        <vt:lpwstr/>
      </vt:variant>
      <vt:variant>
        <vt:lpwstr>_Toc347395744</vt:lpwstr>
      </vt:variant>
      <vt:variant>
        <vt:i4>1114170</vt:i4>
      </vt:variant>
      <vt:variant>
        <vt:i4>140</vt:i4>
      </vt:variant>
      <vt:variant>
        <vt:i4>0</vt:i4>
      </vt:variant>
      <vt:variant>
        <vt:i4>5</vt:i4>
      </vt:variant>
      <vt:variant>
        <vt:lpwstr/>
      </vt:variant>
      <vt:variant>
        <vt:lpwstr>_Toc347395743</vt:lpwstr>
      </vt:variant>
      <vt:variant>
        <vt:i4>1114170</vt:i4>
      </vt:variant>
      <vt:variant>
        <vt:i4>134</vt:i4>
      </vt:variant>
      <vt:variant>
        <vt:i4>0</vt:i4>
      </vt:variant>
      <vt:variant>
        <vt:i4>5</vt:i4>
      </vt:variant>
      <vt:variant>
        <vt:lpwstr/>
      </vt:variant>
      <vt:variant>
        <vt:lpwstr>_Toc347395742</vt:lpwstr>
      </vt:variant>
      <vt:variant>
        <vt:i4>1114170</vt:i4>
      </vt:variant>
      <vt:variant>
        <vt:i4>128</vt:i4>
      </vt:variant>
      <vt:variant>
        <vt:i4>0</vt:i4>
      </vt:variant>
      <vt:variant>
        <vt:i4>5</vt:i4>
      </vt:variant>
      <vt:variant>
        <vt:lpwstr/>
      </vt:variant>
      <vt:variant>
        <vt:lpwstr>_Toc347395741</vt:lpwstr>
      </vt:variant>
      <vt:variant>
        <vt:i4>1114170</vt:i4>
      </vt:variant>
      <vt:variant>
        <vt:i4>122</vt:i4>
      </vt:variant>
      <vt:variant>
        <vt:i4>0</vt:i4>
      </vt:variant>
      <vt:variant>
        <vt:i4>5</vt:i4>
      </vt:variant>
      <vt:variant>
        <vt:lpwstr/>
      </vt:variant>
      <vt:variant>
        <vt:lpwstr>_Toc347395740</vt:lpwstr>
      </vt:variant>
      <vt:variant>
        <vt:i4>1441850</vt:i4>
      </vt:variant>
      <vt:variant>
        <vt:i4>116</vt:i4>
      </vt:variant>
      <vt:variant>
        <vt:i4>0</vt:i4>
      </vt:variant>
      <vt:variant>
        <vt:i4>5</vt:i4>
      </vt:variant>
      <vt:variant>
        <vt:lpwstr/>
      </vt:variant>
      <vt:variant>
        <vt:lpwstr>_Toc347395739</vt:lpwstr>
      </vt:variant>
      <vt:variant>
        <vt:i4>1441850</vt:i4>
      </vt:variant>
      <vt:variant>
        <vt:i4>110</vt:i4>
      </vt:variant>
      <vt:variant>
        <vt:i4>0</vt:i4>
      </vt:variant>
      <vt:variant>
        <vt:i4>5</vt:i4>
      </vt:variant>
      <vt:variant>
        <vt:lpwstr/>
      </vt:variant>
      <vt:variant>
        <vt:lpwstr>_Toc347395738</vt:lpwstr>
      </vt:variant>
      <vt:variant>
        <vt:i4>1441850</vt:i4>
      </vt:variant>
      <vt:variant>
        <vt:i4>104</vt:i4>
      </vt:variant>
      <vt:variant>
        <vt:i4>0</vt:i4>
      </vt:variant>
      <vt:variant>
        <vt:i4>5</vt:i4>
      </vt:variant>
      <vt:variant>
        <vt:lpwstr/>
      </vt:variant>
      <vt:variant>
        <vt:lpwstr>_Toc347395737</vt:lpwstr>
      </vt:variant>
      <vt:variant>
        <vt:i4>1441850</vt:i4>
      </vt:variant>
      <vt:variant>
        <vt:i4>98</vt:i4>
      </vt:variant>
      <vt:variant>
        <vt:i4>0</vt:i4>
      </vt:variant>
      <vt:variant>
        <vt:i4>5</vt:i4>
      </vt:variant>
      <vt:variant>
        <vt:lpwstr/>
      </vt:variant>
      <vt:variant>
        <vt:lpwstr>_Toc347395736</vt:lpwstr>
      </vt:variant>
      <vt:variant>
        <vt:i4>1441850</vt:i4>
      </vt:variant>
      <vt:variant>
        <vt:i4>92</vt:i4>
      </vt:variant>
      <vt:variant>
        <vt:i4>0</vt:i4>
      </vt:variant>
      <vt:variant>
        <vt:i4>5</vt:i4>
      </vt:variant>
      <vt:variant>
        <vt:lpwstr/>
      </vt:variant>
      <vt:variant>
        <vt:lpwstr>_Toc347395735</vt:lpwstr>
      </vt:variant>
      <vt:variant>
        <vt:i4>1441850</vt:i4>
      </vt:variant>
      <vt:variant>
        <vt:i4>86</vt:i4>
      </vt:variant>
      <vt:variant>
        <vt:i4>0</vt:i4>
      </vt:variant>
      <vt:variant>
        <vt:i4>5</vt:i4>
      </vt:variant>
      <vt:variant>
        <vt:lpwstr/>
      </vt:variant>
      <vt:variant>
        <vt:lpwstr>_Toc347395734</vt:lpwstr>
      </vt:variant>
      <vt:variant>
        <vt:i4>1441850</vt:i4>
      </vt:variant>
      <vt:variant>
        <vt:i4>80</vt:i4>
      </vt:variant>
      <vt:variant>
        <vt:i4>0</vt:i4>
      </vt:variant>
      <vt:variant>
        <vt:i4>5</vt:i4>
      </vt:variant>
      <vt:variant>
        <vt:lpwstr/>
      </vt:variant>
      <vt:variant>
        <vt:lpwstr>_Toc347395733</vt:lpwstr>
      </vt:variant>
      <vt:variant>
        <vt:i4>1441850</vt:i4>
      </vt:variant>
      <vt:variant>
        <vt:i4>74</vt:i4>
      </vt:variant>
      <vt:variant>
        <vt:i4>0</vt:i4>
      </vt:variant>
      <vt:variant>
        <vt:i4>5</vt:i4>
      </vt:variant>
      <vt:variant>
        <vt:lpwstr/>
      </vt:variant>
      <vt:variant>
        <vt:lpwstr>_Toc347395732</vt:lpwstr>
      </vt:variant>
      <vt:variant>
        <vt:i4>1441850</vt:i4>
      </vt:variant>
      <vt:variant>
        <vt:i4>68</vt:i4>
      </vt:variant>
      <vt:variant>
        <vt:i4>0</vt:i4>
      </vt:variant>
      <vt:variant>
        <vt:i4>5</vt:i4>
      </vt:variant>
      <vt:variant>
        <vt:lpwstr/>
      </vt:variant>
      <vt:variant>
        <vt:lpwstr>_Toc347395731</vt:lpwstr>
      </vt:variant>
      <vt:variant>
        <vt:i4>1441850</vt:i4>
      </vt:variant>
      <vt:variant>
        <vt:i4>62</vt:i4>
      </vt:variant>
      <vt:variant>
        <vt:i4>0</vt:i4>
      </vt:variant>
      <vt:variant>
        <vt:i4>5</vt:i4>
      </vt:variant>
      <vt:variant>
        <vt:lpwstr/>
      </vt:variant>
      <vt:variant>
        <vt:lpwstr>_Toc347395730</vt:lpwstr>
      </vt:variant>
      <vt:variant>
        <vt:i4>1507386</vt:i4>
      </vt:variant>
      <vt:variant>
        <vt:i4>56</vt:i4>
      </vt:variant>
      <vt:variant>
        <vt:i4>0</vt:i4>
      </vt:variant>
      <vt:variant>
        <vt:i4>5</vt:i4>
      </vt:variant>
      <vt:variant>
        <vt:lpwstr/>
      </vt:variant>
      <vt:variant>
        <vt:lpwstr>_Toc347395729</vt:lpwstr>
      </vt:variant>
      <vt:variant>
        <vt:i4>1507386</vt:i4>
      </vt:variant>
      <vt:variant>
        <vt:i4>50</vt:i4>
      </vt:variant>
      <vt:variant>
        <vt:i4>0</vt:i4>
      </vt:variant>
      <vt:variant>
        <vt:i4>5</vt:i4>
      </vt:variant>
      <vt:variant>
        <vt:lpwstr/>
      </vt:variant>
      <vt:variant>
        <vt:lpwstr>_Toc347395728</vt:lpwstr>
      </vt:variant>
      <vt:variant>
        <vt:i4>1507386</vt:i4>
      </vt:variant>
      <vt:variant>
        <vt:i4>44</vt:i4>
      </vt:variant>
      <vt:variant>
        <vt:i4>0</vt:i4>
      </vt:variant>
      <vt:variant>
        <vt:i4>5</vt:i4>
      </vt:variant>
      <vt:variant>
        <vt:lpwstr/>
      </vt:variant>
      <vt:variant>
        <vt:lpwstr>_Toc347395727</vt:lpwstr>
      </vt:variant>
      <vt:variant>
        <vt:i4>1507386</vt:i4>
      </vt:variant>
      <vt:variant>
        <vt:i4>38</vt:i4>
      </vt:variant>
      <vt:variant>
        <vt:i4>0</vt:i4>
      </vt:variant>
      <vt:variant>
        <vt:i4>5</vt:i4>
      </vt:variant>
      <vt:variant>
        <vt:lpwstr/>
      </vt:variant>
      <vt:variant>
        <vt:lpwstr>_Toc347395726</vt:lpwstr>
      </vt:variant>
      <vt:variant>
        <vt:i4>1507386</vt:i4>
      </vt:variant>
      <vt:variant>
        <vt:i4>32</vt:i4>
      </vt:variant>
      <vt:variant>
        <vt:i4>0</vt:i4>
      </vt:variant>
      <vt:variant>
        <vt:i4>5</vt:i4>
      </vt:variant>
      <vt:variant>
        <vt:lpwstr/>
      </vt:variant>
      <vt:variant>
        <vt:lpwstr>_Toc347395725</vt:lpwstr>
      </vt:variant>
      <vt:variant>
        <vt:i4>1507386</vt:i4>
      </vt:variant>
      <vt:variant>
        <vt:i4>26</vt:i4>
      </vt:variant>
      <vt:variant>
        <vt:i4>0</vt:i4>
      </vt:variant>
      <vt:variant>
        <vt:i4>5</vt:i4>
      </vt:variant>
      <vt:variant>
        <vt:lpwstr/>
      </vt:variant>
      <vt:variant>
        <vt:lpwstr>_Toc347395724</vt:lpwstr>
      </vt:variant>
      <vt:variant>
        <vt:i4>1507386</vt:i4>
      </vt:variant>
      <vt:variant>
        <vt:i4>20</vt:i4>
      </vt:variant>
      <vt:variant>
        <vt:i4>0</vt:i4>
      </vt:variant>
      <vt:variant>
        <vt:i4>5</vt:i4>
      </vt:variant>
      <vt:variant>
        <vt:lpwstr/>
      </vt:variant>
      <vt:variant>
        <vt:lpwstr>_Toc347395721</vt:lpwstr>
      </vt:variant>
      <vt:variant>
        <vt:i4>1507386</vt:i4>
      </vt:variant>
      <vt:variant>
        <vt:i4>14</vt:i4>
      </vt:variant>
      <vt:variant>
        <vt:i4>0</vt:i4>
      </vt:variant>
      <vt:variant>
        <vt:i4>5</vt:i4>
      </vt:variant>
      <vt:variant>
        <vt:lpwstr/>
      </vt:variant>
      <vt:variant>
        <vt:lpwstr>_Toc347395720</vt:lpwstr>
      </vt:variant>
      <vt:variant>
        <vt:i4>1310778</vt:i4>
      </vt:variant>
      <vt:variant>
        <vt:i4>8</vt:i4>
      </vt:variant>
      <vt:variant>
        <vt:i4>0</vt:i4>
      </vt:variant>
      <vt:variant>
        <vt:i4>5</vt:i4>
      </vt:variant>
      <vt:variant>
        <vt:lpwstr/>
      </vt:variant>
      <vt:variant>
        <vt:lpwstr>_Toc347395719</vt:lpwstr>
      </vt:variant>
      <vt:variant>
        <vt:i4>1310778</vt:i4>
      </vt:variant>
      <vt:variant>
        <vt:i4>2</vt:i4>
      </vt:variant>
      <vt:variant>
        <vt:i4>0</vt:i4>
      </vt:variant>
      <vt:variant>
        <vt:i4>5</vt:i4>
      </vt:variant>
      <vt:variant>
        <vt:lpwstr/>
      </vt:variant>
      <vt:variant>
        <vt:lpwstr>_Toc347395718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d’évaluation de la procédure de demande de règlement d’un conflit de compétence entre des CPAS, en application de l’ar</dc:title>
  <dc:creator>PHAN Thuy</dc:creator>
  <cp:lastModifiedBy>Phan Thuy</cp:lastModifiedBy>
  <cp:revision>2</cp:revision>
  <cp:lastPrinted>2015-07-01T08:26:00Z</cp:lastPrinted>
  <dcterms:created xsi:type="dcterms:W3CDTF">2015-07-02T15:58:00Z</dcterms:created>
  <dcterms:modified xsi:type="dcterms:W3CDTF">2015-07-02T15:58:00Z</dcterms:modified>
</cp:coreProperties>
</file>