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7123" w:rsidRDefault="00907123" w:rsidP="00080F90">
      <w:pPr>
        <w:spacing w:after="720"/>
        <w:ind w:left="4320"/>
        <w:rPr>
          <w:lang w:val="fr-BE"/>
        </w:rPr>
      </w:pPr>
      <w:bookmarkStart w:id="0" w:name="_GoBack"/>
      <w:bookmarkEnd w:id="0"/>
    </w:p>
    <w:p w:rsidR="00080F90" w:rsidRDefault="00B91448" w:rsidP="00080F90">
      <w:pPr>
        <w:spacing w:after="720"/>
        <w:ind w:left="4320"/>
        <w:rPr>
          <w:lang w:val="fr-BE"/>
        </w:rPr>
      </w:pPr>
      <w:r>
        <w:rPr>
          <w:noProof/>
          <w:sz w:val="20"/>
          <w:lang w:val="fr-BE" w:eastAsia="fr-BE"/>
        </w:rPr>
        <mc:AlternateContent>
          <mc:Choice Requires="wps">
            <w:drawing>
              <wp:anchor distT="0" distB="0" distL="114300" distR="114300" simplePos="0" relativeHeight="251656192" behindDoc="0" locked="1" layoutInCell="1" allowOverlap="1" wp14:anchorId="0CE6BA20" wp14:editId="0A7F0531">
                <wp:simplePos x="0" y="0"/>
                <wp:positionH relativeFrom="page">
                  <wp:posOffset>787400</wp:posOffset>
                </wp:positionH>
                <wp:positionV relativeFrom="page">
                  <wp:posOffset>367030</wp:posOffset>
                </wp:positionV>
                <wp:extent cx="2263775" cy="1249680"/>
                <wp:effectExtent l="0" t="0" r="0" b="254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E7F" w:rsidRDefault="00B46E7F" w:rsidP="00080F90">
                            <w:pPr>
                              <w:pStyle w:val="Header"/>
                              <w:tabs>
                                <w:tab w:val="clear" w:pos="4536"/>
                                <w:tab w:val="clear" w:pos="9072"/>
                              </w:tabs>
                            </w:pPr>
                            <w:r>
                              <w:rPr>
                                <w:noProof/>
                                <w:lang w:val="fr-BE" w:eastAsia="fr-BE"/>
                              </w:rPr>
                              <w:drawing>
                                <wp:inline distT="0" distB="0" distL="0" distR="0" wp14:anchorId="67AF4852" wp14:editId="4A7658AA">
                                  <wp:extent cx="2234565" cy="1224280"/>
                                  <wp:effectExtent l="0" t="0" r="0" b="0"/>
                                  <wp:docPr id="3" name="Afbeelding 3"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565" cy="1224280"/>
                                          </a:xfrm>
                                          <a:prstGeom prst="rect">
                                            <a:avLst/>
                                          </a:prstGeom>
                                          <a:noFill/>
                                          <a:ln>
                                            <a:noFill/>
                                          </a:ln>
                                        </pic:spPr>
                                      </pic:pic>
                                    </a:graphicData>
                                  </a:graphic>
                                </wp:inline>
                              </w:drawing>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CE6BA20" id="_x0000_t202" coordsize="21600,21600" o:spt="202" path="m,l,21600r21600,l21600,xe">
                <v:stroke joinstyle="miter"/>
                <v:path gradientshapeok="t" o:connecttype="rect"/>
              </v:shapetype>
              <v:shape id="Text Box 5" o:spid="_x0000_s1026" type="#_x0000_t202" style="position:absolute;left:0;text-align:left;margin-left:62pt;margin-top:28.9pt;width:178.25pt;height:9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" filled="f" stroked="f">
                <v:textbox inset="1.13pt,1.13pt,1.13pt,1.13pt">
                  <w:txbxContent>
                    <w:p w:rsidR="00B46E7F" w:rsidRDefault="00B46E7F" w:rsidP="00080F90">
                      <w:pPr>
                        <w:pStyle w:val="Koptekst"/>
                        <w:tabs>
                          <w:tab w:val="clear" w:pos="4536"/>
                          <w:tab w:val="clear" w:pos="9072"/>
                        </w:tabs>
                      </w:pPr>
                      <w:r>
                        <w:rPr>
                          <w:noProof/>
                          <w:lang w:val="fr-BE" w:eastAsia="fr-BE"/>
                        </w:rPr>
                        <w:drawing>
                          <wp:inline distT="0" distB="0" distL="0" distR="0" wp14:anchorId="67AF4852" wp14:editId="4A7658AA">
                            <wp:extent cx="2234565" cy="1224280"/>
                            <wp:effectExtent l="0" t="0" r="0" b="0"/>
                            <wp:docPr id="3" name="Afbeelding 3"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4565" cy="1224280"/>
                                    </a:xfrm>
                                    <a:prstGeom prst="rect">
                                      <a:avLst/>
                                    </a:prstGeom>
                                    <a:noFill/>
                                    <a:ln>
                                      <a:noFill/>
                                    </a:ln>
                                  </pic:spPr>
                                </pic:pic>
                              </a:graphicData>
                            </a:graphic>
                          </wp:inline>
                        </w:drawing>
                      </w:r>
                    </w:p>
                  </w:txbxContent>
                </v:textbox>
                <w10:wrap anchorx="page" anchory="page"/>
                <w10:anchorlock/>
              </v:shape>
            </w:pict>
          </mc:Fallback>
        </mc:AlternateContent>
      </w:r>
      <w:r>
        <w:rPr>
          <w:noProof/>
          <w:sz w:val="20"/>
          <w:lang w:val="fr-BE" w:eastAsia="fr-BE"/>
        </w:rPr>
        <mc:AlternateContent>
          <mc:Choice Requires="wps">
            <w:drawing>
              <wp:anchor distT="0" distB="0" distL="114300" distR="114300" simplePos="0" relativeHeight="251655168" behindDoc="0" locked="1" layoutInCell="1" allowOverlap="1" wp14:anchorId="45F6D8AE" wp14:editId="29E367AD">
                <wp:simplePos x="0" y="0"/>
                <wp:positionH relativeFrom="page">
                  <wp:posOffset>89535</wp:posOffset>
                </wp:positionH>
                <wp:positionV relativeFrom="page">
                  <wp:posOffset>9375140</wp:posOffset>
                </wp:positionV>
                <wp:extent cx="7405370" cy="1183005"/>
                <wp:effectExtent l="3810" t="2540" r="127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118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E7F" w:rsidRDefault="00B46E7F" w:rsidP="00080F90">
                            <w:pPr>
                              <w:rPr>
                                <w:sz w:val="20"/>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5F6D8AE" id="Text Box 4" o:spid="_x0000_s1027" type="#_x0000_t202" style="position:absolute;left:0;text-align:left;margin-left:7.05pt;margin-top:738.2pt;width:583.1pt;height:9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" filled="f" stroked="f">
                <v:textbox inset="1.13pt,1.13pt,1.13pt,1.13pt">
                  <w:txbxContent>
                    <w:p w:rsidR="00B46E7F" w:rsidRDefault="00B46E7F" w:rsidP="00080F90">
                      <w:pPr>
                        <w:rPr>
                          <w:sz w:val="20"/>
                        </w:rPr>
                      </w:pPr>
                    </w:p>
                  </w:txbxContent>
                </v:textbox>
                <w10:wrap anchorx="page" anchory="page"/>
                <w10:anchorlock/>
              </v:shape>
            </w:pict>
          </mc:Fallback>
        </mc:AlternateContent>
      </w:r>
      <w:r>
        <w:rPr>
          <w:noProof/>
          <w:lang w:val="fr-BE" w:eastAsia="fr-BE"/>
        </w:rPr>
        <mc:AlternateContent>
          <mc:Choice Requires="wps">
            <w:drawing>
              <wp:anchor distT="0" distB="0" distL="114300" distR="114300" simplePos="0" relativeHeight="251654144" behindDoc="0" locked="1" layoutInCell="0" allowOverlap="1" wp14:anchorId="140D10DF" wp14:editId="544CF741">
                <wp:simplePos x="0" y="0"/>
                <wp:positionH relativeFrom="page">
                  <wp:posOffset>252095</wp:posOffset>
                </wp:positionH>
                <wp:positionV relativeFrom="page">
                  <wp:posOffset>7406005</wp:posOffset>
                </wp:positionV>
                <wp:extent cx="360045" cy="184150"/>
                <wp:effectExtent l="4445" t="0" r="0" b="1270"/>
                <wp:wrapNone/>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E7F" w:rsidRDefault="00B46E7F" w:rsidP="00080F90">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40D10DF" id="Text Box 3" o:spid="_x0000_s1028" type="#_x0000_t202" style="position:absolute;left:0;text-align:left;margin-left:19.85pt;margin-top:583.15pt;width:28.35pt;height:1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" o:allowincell="f" stroked="f">
                <o:lock v:ext="edit" aspectratio="t"/>
                <v:textbox>
                  <w:txbxContent>
                    <w:p w:rsidR="00B46E7F" w:rsidRDefault="00B46E7F" w:rsidP="00080F90">
                      <w:pPr>
                        <w:rPr>
                          <w:sz w:val="16"/>
                        </w:rPr>
                      </w:pPr>
                      <w:r>
                        <w:rPr>
                          <w:sz w:val="16"/>
                        </w:rPr>
                        <w:t>-</w:t>
                      </w: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080F90">
        <w:trPr>
          <w:cantSplit/>
          <w:trHeight w:val="1710"/>
        </w:trPr>
        <w:tc>
          <w:tcPr>
            <w:tcW w:w="4252" w:type="dxa"/>
          </w:tcPr>
          <w:p w:rsidR="00080F90" w:rsidRDefault="00080F90" w:rsidP="00A72AD9">
            <w:pPr>
              <w:pStyle w:val="Header"/>
              <w:tabs>
                <w:tab w:val="clear" w:pos="4536"/>
                <w:tab w:val="clear" w:pos="9072"/>
              </w:tabs>
              <w:rPr>
                <w:sz w:val="20"/>
                <w:lang w:val="fr-BE"/>
              </w:rPr>
            </w:pPr>
            <w:bookmarkStart w:id="1" w:name="SYS_LOGO_INFO"/>
            <w:bookmarkStart w:id="2" w:name="SYS_LOGO_MIN"/>
            <w:bookmarkEnd w:id="1"/>
            <w:bookmarkEnd w:id="2"/>
          </w:p>
        </w:tc>
      </w:tr>
    </w:tbl>
    <w:p w:rsidR="00080F90" w:rsidRDefault="00080F90" w:rsidP="00080F90">
      <w:pPr>
        <w:pStyle w:val="Letter"/>
        <w:rPr>
          <w:lang w:val="fr-BE"/>
        </w:rPr>
      </w:pPr>
    </w:p>
    <w:p w:rsidR="00080F90" w:rsidRDefault="00080F90" w:rsidP="00080F90">
      <w:pPr>
        <w:pStyle w:val="Letter"/>
        <w:rPr>
          <w:lang w:val="fr-BE"/>
        </w:rPr>
      </w:pPr>
    </w:p>
    <w:p w:rsidR="00080F90" w:rsidRDefault="00080F90" w:rsidP="00080F90">
      <w:pPr>
        <w:pStyle w:val="Letter"/>
        <w:rPr>
          <w:lang w:val="fr-BE"/>
        </w:rPr>
      </w:pPr>
    </w:p>
    <w:p w:rsidR="00080F90" w:rsidRDefault="00080F90" w:rsidP="00080F90">
      <w:pPr>
        <w:pStyle w:val="Letter"/>
        <w:rPr>
          <w:lang w:val="fr-BE"/>
        </w:rPr>
      </w:pPr>
    </w:p>
    <w:p w:rsidR="00080F90" w:rsidRDefault="00080F90" w:rsidP="00080F90">
      <w:pPr>
        <w:pStyle w:val="Letter"/>
        <w:rPr>
          <w:lang w:val="fr-BE"/>
        </w:rPr>
      </w:pPr>
    </w:p>
    <w:p w:rsidR="00080F90" w:rsidRDefault="00080F90" w:rsidP="00080F90">
      <w:pPr>
        <w:pStyle w:val="Letter"/>
        <w:rPr>
          <w:lang w:val="fr-BE"/>
        </w:rPr>
      </w:pPr>
    </w:p>
    <w:p w:rsidR="00080F90" w:rsidRPr="00AD7C5F" w:rsidRDefault="00080F90" w:rsidP="00080F90">
      <w:pPr>
        <w:ind w:left="180"/>
        <w:rPr>
          <w:b/>
          <w:bCs/>
          <w:lang w:val="fr-BE"/>
        </w:rPr>
      </w:pPr>
    </w:p>
    <w:p w:rsidR="00080F90" w:rsidRPr="006D0278" w:rsidRDefault="008E706C" w:rsidP="00080F90">
      <w:pPr>
        <w:pBdr>
          <w:top w:val="single" w:sz="24" w:space="31" w:color="auto" w:shadow="1"/>
          <w:left w:val="single" w:sz="24" w:space="23" w:color="auto" w:shadow="1"/>
          <w:bottom w:val="single" w:sz="24" w:space="29" w:color="auto" w:shadow="1"/>
          <w:right w:val="single" w:sz="24" w:space="26" w:color="auto" w:shadow="1"/>
        </w:pBdr>
        <w:ind w:left="180"/>
        <w:jc w:val="center"/>
        <w:rPr>
          <w:b/>
          <w:bCs/>
          <w:sz w:val="28"/>
          <w:szCs w:val="28"/>
          <w:lang w:val="nl-NL"/>
        </w:rPr>
      </w:pPr>
      <w:r w:rsidRPr="006D0278">
        <w:rPr>
          <w:b/>
          <w:bCs/>
          <w:sz w:val="28"/>
          <w:szCs w:val="28"/>
          <w:lang w:val="nl-NL"/>
        </w:rPr>
        <w:t>Evaluatieverslag betreffende de aanvragen tot regeling van bevoegdheidsconflicten tussen OCMW's</w:t>
      </w:r>
    </w:p>
    <w:p w:rsidR="001D718E" w:rsidRPr="006D0278" w:rsidRDefault="001D718E" w:rsidP="00080F90">
      <w:pPr>
        <w:pBdr>
          <w:top w:val="single" w:sz="24" w:space="31" w:color="auto" w:shadow="1"/>
          <w:left w:val="single" w:sz="24" w:space="23" w:color="auto" w:shadow="1"/>
          <w:bottom w:val="single" w:sz="24" w:space="29" w:color="auto" w:shadow="1"/>
          <w:right w:val="single" w:sz="24" w:space="26" w:color="auto" w:shadow="1"/>
        </w:pBdr>
        <w:ind w:left="180"/>
        <w:jc w:val="center"/>
        <w:rPr>
          <w:b/>
          <w:bCs/>
          <w:sz w:val="28"/>
          <w:szCs w:val="28"/>
          <w:lang w:val="nl-NL"/>
        </w:rPr>
      </w:pPr>
    </w:p>
    <w:p w:rsidR="00080F90" w:rsidRPr="006D0278" w:rsidRDefault="00B91448" w:rsidP="00080F90">
      <w:pPr>
        <w:pBdr>
          <w:top w:val="single" w:sz="24" w:space="31" w:color="auto" w:shadow="1"/>
          <w:left w:val="single" w:sz="24" w:space="23" w:color="auto" w:shadow="1"/>
          <w:bottom w:val="single" w:sz="24" w:space="29" w:color="auto" w:shadow="1"/>
          <w:right w:val="single" w:sz="24" w:space="26" w:color="auto" w:shadow="1"/>
        </w:pBdr>
        <w:ind w:left="180"/>
        <w:jc w:val="center"/>
        <w:rPr>
          <w:b/>
          <w:bCs/>
          <w:sz w:val="28"/>
          <w:szCs w:val="28"/>
          <w:lang w:val="nl-NL"/>
        </w:rPr>
      </w:pPr>
      <w:r w:rsidRPr="006D0278">
        <w:rPr>
          <w:b/>
          <w:bCs/>
          <w:sz w:val="28"/>
          <w:szCs w:val="28"/>
          <w:lang w:val="nl-NL"/>
        </w:rPr>
        <w:t>201</w:t>
      </w:r>
      <w:r w:rsidR="00A50424">
        <w:rPr>
          <w:b/>
          <w:bCs/>
          <w:sz w:val="28"/>
          <w:szCs w:val="28"/>
          <w:lang w:val="nl-NL"/>
        </w:rPr>
        <w:t>7</w:t>
      </w:r>
    </w:p>
    <w:p w:rsidR="00080F90" w:rsidRPr="006D0278" w:rsidRDefault="00080F90" w:rsidP="00080F90">
      <w:pPr>
        <w:pStyle w:val="Letter"/>
        <w:rPr>
          <w:lang w:val="nl-NL"/>
        </w:rPr>
      </w:pPr>
    </w:p>
    <w:p w:rsidR="00080F90" w:rsidRPr="006D0278" w:rsidRDefault="00080F90" w:rsidP="00080F90">
      <w:pPr>
        <w:pStyle w:val="Letter"/>
        <w:rPr>
          <w:lang w:val="nl-NL"/>
        </w:rPr>
      </w:pPr>
    </w:p>
    <w:p w:rsidR="00080F90" w:rsidRPr="006D0278" w:rsidRDefault="00080F90" w:rsidP="00080F90">
      <w:pPr>
        <w:pStyle w:val="Letter"/>
        <w:rPr>
          <w:lang w:val="nl-NL"/>
        </w:rPr>
      </w:pPr>
    </w:p>
    <w:p w:rsidR="00080F90" w:rsidRPr="006D0278" w:rsidRDefault="00080F90" w:rsidP="00080F90">
      <w:pPr>
        <w:pStyle w:val="Letter"/>
        <w:rPr>
          <w:lang w:val="nl-NL"/>
        </w:rPr>
      </w:pPr>
    </w:p>
    <w:p w:rsidR="00080F90" w:rsidRPr="006D0278" w:rsidRDefault="00080F90" w:rsidP="00080F90">
      <w:pPr>
        <w:pStyle w:val="Letter"/>
        <w:rPr>
          <w:lang w:val="nl-NL"/>
        </w:rPr>
      </w:pPr>
    </w:p>
    <w:p w:rsidR="00080F90" w:rsidRPr="006D0278" w:rsidRDefault="00080F90" w:rsidP="00080F90">
      <w:pPr>
        <w:pStyle w:val="Letter"/>
        <w:rPr>
          <w:lang w:val="nl-NL"/>
        </w:rPr>
      </w:pPr>
    </w:p>
    <w:p w:rsidR="00080F90" w:rsidRPr="006D0278" w:rsidRDefault="00080F90" w:rsidP="00080F90">
      <w:pPr>
        <w:pStyle w:val="Letter"/>
        <w:rPr>
          <w:lang w:val="nl-NL"/>
        </w:rPr>
      </w:pPr>
    </w:p>
    <w:p w:rsidR="00080F90" w:rsidRPr="006D0278" w:rsidRDefault="00080F90" w:rsidP="00080F90">
      <w:pPr>
        <w:pStyle w:val="Letter"/>
        <w:rPr>
          <w:lang w:val="nl-NL"/>
        </w:rPr>
      </w:pPr>
    </w:p>
    <w:p w:rsidR="00080F90" w:rsidRDefault="008E706C" w:rsidP="00080F90">
      <w:pPr>
        <w:pStyle w:val="Letter"/>
        <w:rPr>
          <w:rFonts w:ascii="Times New Roman" w:hAnsi="Times New Roman"/>
          <w:sz w:val="24"/>
          <w:szCs w:val="24"/>
          <w:lang w:val="nl-NL"/>
        </w:rPr>
      </w:pPr>
      <w:r w:rsidRPr="006D0278">
        <w:rPr>
          <w:rFonts w:ascii="Times New Roman" w:hAnsi="Times New Roman"/>
          <w:sz w:val="24"/>
          <w:szCs w:val="24"/>
          <w:lang w:val="nl-NL"/>
        </w:rPr>
        <w:t>Hebben meegewerkt aan dit verslag:</w:t>
      </w:r>
    </w:p>
    <w:p w:rsidR="00FD0478" w:rsidRPr="006D0278" w:rsidRDefault="00FD0478" w:rsidP="00080F90">
      <w:pPr>
        <w:pStyle w:val="Letter"/>
        <w:rPr>
          <w:rFonts w:ascii="Times New Roman" w:hAnsi="Times New Roman"/>
          <w:sz w:val="24"/>
          <w:szCs w:val="24"/>
          <w:lang w:val="nl-NL"/>
        </w:rPr>
      </w:pPr>
    </w:p>
    <w:p w:rsidR="00080F90" w:rsidRPr="0076621B" w:rsidRDefault="00CC26BF" w:rsidP="00080F90">
      <w:pPr>
        <w:pStyle w:val="Letter"/>
        <w:rPr>
          <w:rFonts w:ascii="Times New Roman" w:hAnsi="Times New Roman"/>
          <w:sz w:val="24"/>
          <w:szCs w:val="24"/>
          <w:lang w:val="fr-BE"/>
        </w:rPr>
      </w:pPr>
      <w:r w:rsidRPr="0076621B">
        <w:rPr>
          <w:rFonts w:ascii="Times New Roman" w:hAnsi="Times New Roman"/>
          <w:sz w:val="24"/>
          <w:szCs w:val="24"/>
          <w:lang w:val="fr-BE"/>
        </w:rPr>
        <w:t>Ester Crabb</w:t>
      </w:r>
      <w:r w:rsidR="00FD0478">
        <w:rPr>
          <w:rFonts w:ascii="Times New Roman" w:hAnsi="Times New Roman"/>
          <w:sz w:val="24"/>
          <w:szCs w:val="24"/>
          <w:lang w:val="fr-BE"/>
        </w:rPr>
        <w:t>é</w:t>
      </w:r>
    </w:p>
    <w:p w:rsidR="00581C22" w:rsidRPr="00550FA0" w:rsidRDefault="00581C22" w:rsidP="00080F90">
      <w:pPr>
        <w:pStyle w:val="Letter"/>
        <w:rPr>
          <w:rFonts w:ascii="Times New Roman" w:hAnsi="Times New Roman"/>
          <w:i/>
          <w:sz w:val="24"/>
          <w:szCs w:val="24"/>
        </w:rPr>
      </w:pPr>
    </w:p>
    <w:p w:rsidR="00550FA0" w:rsidRDefault="006D3D96" w:rsidP="004D44F1">
      <w:pPr>
        <w:jc w:val="center"/>
        <w:rPr>
          <w:i/>
          <w:lang w:val="nl-NL"/>
        </w:rPr>
      </w:pPr>
      <w:r>
        <w:rPr>
          <w:i/>
          <w:lang w:val="nl-NL"/>
        </w:rPr>
        <w:t>Juridische Dienst</w:t>
      </w:r>
    </w:p>
    <w:p w:rsidR="00550FA0" w:rsidRDefault="00550FA0" w:rsidP="004D44F1">
      <w:pPr>
        <w:jc w:val="center"/>
        <w:rPr>
          <w:i/>
          <w:lang w:val="nl-NL"/>
        </w:rPr>
      </w:pPr>
    </w:p>
    <w:p w:rsidR="00550FA0" w:rsidRDefault="00550FA0" w:rsidP="004D44F1">
      <w:pPr>
        <w:jc w:val="center"/>
        <w:rPr>
          <w:i/>
          <w:lang w:val="nl-NL"/>
        </w:rPr>
      </w:pPr>
    </w:p>
    <w:p w:rsidR="00550FA0" w:rsidRDefault="00550FA0" w:rsidP="004D44F1">
      <w:pPr>
        <w:jc w:val="center"/>
        <w:rPr>
          <w:i/>
          <w:lang w:val="nl-NL"/>
        </w:rPr>
      </w:pPr>
    </w:p>
    <w:p w:rsidR="00602FCB" w:rsidRDefault="00602FCB" w:rsidP="004D44F1">
      <w:pPr>
        <w:jc w:val="center"/>
        <w:rPr>
          <w:i/>
          <w:lang w:val="nl-NL"/>
        </w:rPr>
      </w:pPr>
    </w:p>
    <w:p w:rsidR="00602FCB" w:rsidRDefault="00602FCB" w:rsidP="004D44F1">
      <w:pPr>
        <w:jc w:val="center"/>
        <w:rPr>
          <w:i/>
          <w:lang w:val="nl-NL"/>
        </w:rPr>
      </w:pPr>
    </w:p>
    <w:p w:rsidR="00602FCB" w:rsidRDefault="00602FCB" w:rsidP="004D44F1">
      <w:pPr>
        <w:jc w:val="center"/>
        <w:rPr>
          <w:i/>
          <w:lang w:val="nl-NL"/>
        </w:rPr>
      </w:pPr>
    </w:p>
    <w:p w:rsidR="00550FA0" w:rsidRDefault="00550FA0" w:rsidP="004D44F1">
      <w:pPr>
        <w:jc w:val="center"/>
        <w:rPr>
          <w:i/>
          <w:lang w:val="nl-NL"/>
        </w:rPr>
      </w:pPr>
    </w:p>
    <w:p w:rsidR="00550FA0" w:rsidRDefault="00550FA0" w:rsidP="004D44F1">
      <w:pPr>
        <w:jc w:val="center"/>
        <w:rPr>
          <w:i/>
          <w:lang w:val="nl-NL"/>
        </w:rPr>
      </w:pPr>
    </w:p>
    <w:p w:rsidR="0022795E" w:rsidRPr="00550FA0" w:rsidRDefault="00550FA0" w:rsidP="004D44F1">
      <w:pPr>
        <w:jc w:val="center"/>
        <w:rPr>
          <w:b/>
          <w:lang w:val="nl-BE"/>
        </w:rPr>
      </w:pPr>
      <w:r w:rsidRPr="00550FA0">
        <w:rPr>
          <w:b/>
          <w:lang w:val="nl-NL"/>
        </w:rPr>
        <w:lastRenderedPageBreak/>
        <w:t>I</w:t>
      </w:r>
      <w:r w:rsidR="00B91448">
        <w:rPr>
          <w:noProof/>
          <w:lang w:val="fr-BE" w:eastAsia="fr-BE"/>
        </w:rPr>
        <mc:AlternateContent>
          <mc:Choice Requires="wps">
            <w:drawing>
              <wp:anchor distT="0" distB="0" distL="114300" distR="114300" simplePos="0" relativeHeight="251653120" behindDoc="0" locked="1" layoutInCell="0" allowOverlap="1" wp14:anchorId="27B653F4" wp14:editId="18BF7B3B">
                <wp:simplePos x="0" y="0"/>
                <wp:positionH relativeFrom="page">
                  <wp:posOffset>252095</wp:posOffset>
                </wp:positionH>
                <wp:positionV relativeFrom="page">
                  <wp:posOffset>3747770</wp:posOffset>
                </wp:positionV>
                <wp:extent cx="360045" cy="184150"/>
                <wp:effectExtent l="4445" t="4445" r="0" b="1905"/>
                <wp:wrapNone/>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E7F" w:rsidRDefault="00B46E7F" w:rsidP="00080F90">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7B653F4" id="Text Box 2" o:spid="_x0000_s1029" type="#_x0000_t202" style="position:absolute;left:0;text-align:left;margin-left:19.85pt;margin-top:295.1pt;width:28.35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" o:allowincell="f" stroked="f">
                <o:lock v:ext="edit" aspectratio="t"/>
                <v:textbox>
                  <w:txbxContent>
                    <w:p w:rsidR="00B46E7F" w:rsidRDefault="00B46E7F" w:rsidP="00080F90">
                      <w:pPr>
                        <w:rPr>
                          <w:sz w:val="16"/>
                        </w:rPr>
                      </w:pPr>
                      <w:r>
                        <w:rPr>
                          <w:sz w:val="16"/>
                        </w:rPr>
                        <w:t>-</w:t>
                      </w:r>
                    </w:p>
                  </w:txbxContent>
                </v:textbox>
                <w10:wrap anchorx="page" anchory="page"/>
                <w10:anchorlock/>
              </v:shape>
            </w:pict>
          </mc:Fallback>
        </mc:AlternateContent>
      </w:r>
      <w:r w:rsidR="008E706C" w:rsidRPr="00550FA0">
        <w:rPr>
          <w:b/>
          <w:lang w:val="nl-BE"/>
        </w:rPr>
        <w:t>nhoudstafel</w:t>
      </w:r>
    </w:p>
    <w:p w:rsidR="00620B5F" w:rsidRPr="00550FA0" w:rsidRDefault="00620B5F" w:rsidP="004D44F1">
      <w:pPr>
        <w:jc w:val="center"/>
        <w:rPr>
          <w:b/>
          <w:lang w:val="nl-BE"/>
        </w:rPr>
      </w:pPr>
    </w:p>
    <w:p w:rsidR="0038667E" w:rsidRDefault="001A3A9B">
      <w:pPr>
        <w:pStyle w:val="TOC1"/>
        <w:rPr>
          <w:rFonts w:asciiTheme="minorHAnsi" w:eastAsiaTheme="minorEastAsia" w:hAnsiTheme="minorHAnsi" w:cstheme="minorBidi"/>
          <w:b w:val="0"/>
          <w:bCs w:val="0"/>
          <w:caps w:val="0"/>
          <w:lang w:val="fr-BE" w:eastAsia="fr-BE"/>
        </w:rPr>
      </w:pPr>
      <w:r>
        <w:rPr>
          <w:sz w:val="24"/>
          <w:szCs w:val="24"/>
          <w:u w:val="single"/>
        </w:rPr>
        <w:fldChar w:fldCharType="begin"/>
      </w:r>
      <w:r>
        <w:rPr>
          <w:sz w:val="24"/>
          <w:szCs w:val="24"/>
          <w:u w:val="single"/>
        </w:rPr>
        <w:instrText xml:space="preserve"> TOC \o "1-5" \h \z \u </w:instrText>
      </w:r>
      <w:r>
        <w:rPr>
          <w:sz w:val="24"/>
          <w:szCs w:val="24"/>
          <w:u w:val="single"/>
        </w:rPr>
        <w:fldChar w:fldCharType="separate"/>
      </w:r>
      <w:hyperlink w:anchor="_Toc510775715" w:history="1">
        <w:r w:rsidR="0038667E" w:rsidRPr="00D83E92">
          <w:rPr>
            <w:rStyle w:val="Hyperlink"/>
          </w:rPr>
          <w:t>Inleiding</w:t>
        </w:r>
        <w:r w:rsidR="0038667E">
          <w:rPr>
            <w:webHidden/>
          </w:rPr>
          <w:tab/>
        </w:r>
        <w:r w:rsidR="00027470">
          <w:rPr>
            <w:webHidden/>
          </w:rPr>
          <w:t>4</w:t>
        </w:r>
      </w:hyperlink>
    </w:p>
    <w:p w:rsidR="0038667E" w:rsidRDefault="00CC2BF4">
      <w:pPr>
        <w:pStyle w:val="TOC1"/>
        <w:rPr>
          <w:rFonts w:asciiTheme="minorHAnsi" w:eastAsiaTheme="minorEastAsia" w:hAnsiTheme="minorHAnsi" w:cstheme="minorBidi"/>
          <w:b w:val="0"/>
          <w:bCs w:val="0"/>
          <w:caps w:val="0"/>
          <w:lang w:val="fr-BE" w:eastAsia="fr-BE"/>
        </w:rPr>
      </w:pPr>
      <w:hyperlink w:anchor="_Toc510775716" w:history="1">
        <w:r w:rsidR="0038667E" w:rsidRPr="00D83E92">
          <w:rPr>
            <w:rStyle w:val="Hyperlink"/>
          </w:rPr>
          <w:t>I. Statistieken</w:t>
        </w:r>
        <w:r w:rsidR="0038667E">
          <w:rPr>
            <w:webHidden/>
          </w:rPr>
          <w:tab/>
        </w:r>
        <w:r w:rsidR="00027470">
          <w:rPr>
            <w:webHidden/>
          </w:rPr>
          <w:t>4</w:t>
        </w:r>
      </w:hyperlink>
    </w:p>
    <w:p w:rsidR="0038667E" w:rsidRDefault="00CC2BF4">
      <w:pPr>
        <w:pStyle w:val="TOC2"/>
        <w:tabs>
          <w:tab w:val="right" w:leader="dot" w:pos="9062"/>
        </w:tabs>
        <w:rPr>
          <w:rFonts w:asciiTheme="minorHAnsi" w:eastAsiaTheme="minorEastAsia" w:hAnsiTheme="minorHAnsi" w:cstheme="minorBidi"/>
          <w:smallCaps w:val="0"/>
          <w:noProof/>
          <w:sz w:val="22"/>
          <w:szCs w:val="22"/>
          <w:lang w:val="fr-BE" w:eastAsia="fr-BE"/>
        </w:rPr>
      </w:pPr>
      <w:hyperlink w:anchor="_Toc510775717" w:history="1">
        <w:r w:rsidR="0038667E" w:rsidRPr="00D83E92">
          <w:rPr>
            <w:rStyle w:val="Hyperlink"/>
            <w:noProof/>
            <w:lang w:val="nl-NL"/>
          </w:rPr>
          <w:t>1. Aantal ontvangen dossiers in 2017</w:t>
        </w:r>
        <w:r w:rsidR="0038667E">
          <w:rPr>
            <w:noProof/>
            <w:webHidden/>
          </w:rPr>
          <w:tab/>
        </w:r>
        <w:r w:rsidR="00027470">
          <w:rPr>
            <w:noProof/>
            <w:webHidden/>
          </w:rPr>
          <w:t>4</w:t>
        </w:r>
      </w:hyperlink>
    </w:p>
    <w:p w:rsidR="0038667E" w:rsidRPr="00B46E7F" w:rsidRDefault="00CC2BF4" w:rsidP="00B46E7F">
      <w:pPr>
        <w:pStyle w:val="TOC2"/>
        <w:tabs>
          <w:tab w:val="right" w:leader="dot" w:pos="9062"/>
        </w:tabs>
        <w:rPr>
          <w:rFonts w:asciiTheme="minorHAnsi" w:eastAsiaTheme="minorEastAsia" w:hAnsiTheme="minorHAnsi" w:cstheme="minorBidi"/>
          <w:smallCaps w:val="0"/>
          <w:noProof/>
          <w:sz w:val="22"/>
          <w:szCs w:val="22"/>
          <w:lang w:val="fr-BE" w:eastAsia="fr-BE"/>
        </w:rPr>
      </w:pPr>
      <w:hyperlink w:anchor="_Toc510775718" w:history="1">
        <w:r w:rsidR="0038667E" w:rsidRPr="00D83E92">
          <w:rPr>
            <w:rStyle w:val="Hyperlink"/>
            <w:noProof/>
            <w:lang w:val="nl-NL"/>
          </w:rPr>
          <w:t>2. Aantal dossiers ontvangen van 2013 tot 2017</w:t>
        </w:r>
        <w:r w:rsidR="0038667E">
          <w:rPr>
            <w:noProof/>
            <w:webHidden/>
          </w:rPr>
          <w:tab/>
        </w:r>
        <w:r w:rsidR="00027470">
          <w:rPr>
            <w:noProof/>
            <w:webHidden/>
          </w:rPr>
          <w:t>5</w:t>
        </w:r>
      </w:hyperlink>
    </w:p>
    <w:p w:rsidR="0038667E" w:rsidRDefault="00CC2BF4">
      <w:pPr>
        <w:pStyle w:val="TOC1"/>
        <w:rPr>
          <w:rFonts w:asciiTheme="minorHAnsi" w:eastAsiaTheme="minorEastAsia" w:hAnsiTheme="minorHAnsi" w:cstheme="minorBidi"/>
          <w:b w:val="0"/>
          <w:bCs w:val="0"/>
          <w:caps w:val="0"/>
          <w:lang w:val="fr-BE" w:eastAsia="fr-BE"/>
        </w:rPr>
      </w:pPr>
      <w:hyperlink w:anchor="_Toc510775723" w:history="1">
        <w:r w:rsidR="0038667E" w:rsidRPr="00D83E92">
          <w:rPr>
            <w:rStyle w:val="Hyperlink"/>
          </w:rPr>
          <w:t>II. Procedure van aanvraag tot regeling van een bevoegdheidsconflict</w:t>
        </w:r>
        <w:r w:rsidR="0038667E">
          <w:rPr>
            <w:webHidden/>
          </w:rPr>
          <w:tab/>
        </w:r>
        <w:r w:rsidR="00E05770">
          <w:rPr>
            <w:webHidden/>
          </w:rPr>
          <w:t>8</w:t>
        </w:r>
      </w:hyperlink>
    </w:p>
    <w:p w:rsidR="0038667E" w:rsidRDefault="00CC2BF4">
      <w:pPr>
        <w:pStyle w:val="TOC2"/>
        <w:tabs>
          <w:tab w:val="right" w:leader="dot" w:pos="9062"/>
        </w:tabs>
        <w:rPr>
          <w:rFonts w:asciiTheme="minorHAnsi" w:eastAsiaTheme="minorEastAsia" w:hAnsiTheme="minorHAnsi" w:cstheme="minorBidi"/>
          <w:smallCaps w:val="0"/>
          <w:noProof/>
          <w:sz w:val="22"/>
          <w:szCs w:val="22"/>
          <w:lang w:val="fr-BE" w:eastAsia="fr-BE"/>
        </w:rPr>
      </w:pPr>
      <w:hyperlink w:anchor="_Toc510775724" w:history="1">
        <w:r w:rsidR="0038667E" w:rsidRPr="00D83E92">
          <w:rPr>
            <w:rStyle w:val="Hyperlink"/>
            <w:noProof/>
            <w:lang w:val="nl-NL"/>
          </w:rPr>
          <w:t>1. De aanvragen tot regeling van conflicten ingediend door de OCMW's</w:t>
        </w:r>
        <w:r w:rsidR="0038667E">
          <w:rPr>
            <w:noProof/>
            <w:webHidden/>
          </w:rPr>
          <w:tab/>
        </w:r>
        <w:r w:rsidR="00E05770">
          <w:rPr>
            <w:noProof/>
            <w:webHidden/>
          </w:rPr>
          <w:t>8</w:t>
        </w:r>
      </w:hyperlink>
    </w:p>
    <w:p w:rsidR="0038667E" w:rsidRDefault="00CC2BF4">
      <w:pPr>
        <w:pStyle w:val="TOC3"/>
        <w:tabs>
          <w:tab w:val="right" w:leader="dot" w:pos="9062"/>
        </w:tabs>
        <w:rPr>
          <w:rFonts w:asciiTheme="minorHAnsi" w:eastAsiaTheme="minorEastAsia" w:hAnsiTheme="minorHAnsi" w:cstheme="minorBidi"/>
          <w:i w:val="0"/>
          <w:iCs w:val="0"/>
          <w:noProof/>
          <w:sz w:val="22"/>
          <w:szCs w:val="22"/>
          <w:lang w:val="fr-BE" w:eastAsia="fr-BE"/>
        </w:rPr>
      </w:pPr>
      <w:hyperlink w:anchor="_Toc510775725" w:history="1">
        <w:r w:rsidR="0038667E" w:rsidRPr="00D83E92">
          <w:rPr>
            <w:rStyle w:val="Hyperlink"/>
            <w:b/>
            <w:noProof/>
            <w:lang w:val="nl-NL"/>
          </w:rPr>
          <w:t>1. Ontvankelijke en onontvankelijke aanvragen</w:t>
        </w:r>
        <w:r w:rsidR="0038667E">
          <w:rPr>
            <w:noProof/>
            <w:webHidden/>
          </w:rPr>
          <w:tab/>
        </w:r>
        <w:r w:rsidR="00E05770">
          <w:rPr>
            <w:noProof/>
            <w:webHidden/>
          </w:rPr>
          <w:t>8</w:t>
        </w:r>
      </w:hyperlink>
    </w:p>
    <w:p w:rsidR="0038667E" w:rsidRDefault="00CC2BF4">
      <w:pPr>
        <w:pStyle w:val="TOC4"/>
        <w:tabs>
          <w:tab w:val="right" w:leader="dot" w:pos="9062"/>
        </w:tabs>
        <w:rPr>
          <w:rFonts w:asciiTheme="minorHAnsi" w:eastAsiaTheme="minorEastAsia" w:hAnsiTheme="minorHAnsi" w:cstheme="minorBidi"/>
          <w:noProof/>
          <w:sz w:val="22"/>
          <w:szCs w:val="22"/>
          <w:lang w:val="fr-BE" w:eastAsia="fr-BE"/>
        </w:rPr>
      </w:pPr>
      <w:hyperlink w:anchor="_Toc510775726" w:history="1">
        <w:r w:rsidR="0038667E" w:rsidRPr="00D83E92">
          <w:rPr>
            <w:rStyle w:val="Hyperlink"/>
            <w:noProof/>
            <w:lang w:val="nl-BE"/>
          </w:rPr>
          <w:t xml:space="preserve">1.1. Soorten onontvankelijke </w:t>
        </w:r>
        <w:r w:rsidR="0038667E" w:rsidRPr="00D83E92">
          <w:rPr>
            <w:rStyle w:val="Hyperlink"/>
            <w:noProof/>
            <w:lang w:val="nl-NL"/>
          </w:rPr>
          <w:t>aanvragen</w:t>
        </w:r>
        <w:r w:rsidR="0038667E">
          <w:rPr>
            <w:noProof/>
            <w:webHidden/>
          </w:rPr>
          <w:tab/>
        </w:r>
        <w:r w:rsidR="00E05770">
          <w:rPr>
            <w:noProof/>
            <w:webHidden/>
          </w:rPr>
          <w:t>8</w:t>
        </w:r>
      </w:hyperlink>
    </w:p>
    <w:p w:rsidR="0038667E" w:rsidRDefault="00CC2BF4">
      <w:pPr>
        <w:pStyle w:val="TOC4"/>
        <w:tabs>
          <w:tab w:val="right" w:leader="dot" w:pos="9062"/>
        </w:tabs>
        <w:rPr>
          <w:rFonts w:asciiTheme="minorHAnsi" w:eastAsiaTheme="minorEastAsia" w:hAnsiTheme="minorHAnsi" w:cstheme="minorBidi"/>
          <w:noProof/>
          <w:sz w:val="22"/>
          <w:szCs w:val="22"/>
          <w:lang w:val="fr-BE" w:eastAsia="fr-BE"/>
        </w:rPr>
      </w:pPr>
      <w:hyperlink w:anchor="_Toc510775727" w:history="1">
        <w:r w:rsidR="0038667E" w:rsidRPr="00D83E92">
          <w:rPr>
            <w:rStyle w:val="Hyperlink"/>
            <w:noProof/>
            <w:lang w:val="nl-NL"/>
          </w:rPr>
          <w:t>1.2. Adviezen van de Dienst OCMW-Wetgeving - Bevoegdheidsconflicten</w:t>
        </w:r>
        <w:r w:rsidR="0038667E">
          <w:rPr>
            <w:noProof/>
            <w:webHidden/>
          </w:rPr>
          <w:tab/>
        </w:r>
        <w:r w:rsidR="00E05770">
          <w:rPr>
            <w:noProof/>
            <w:webHidden/>
          </w:rPr>
          <w:t>9</w:t>
        </w:r>
      </w:hyperlink>
    </w:p>
    <w:p w:rsidR="0038667E" w:rsidRDefault="00CC2BF4">
      <w:pPr>
        <w:pStyle w:val="TOC3"/>
        <w:tabs>
          <w:tab w:val="right" w:leader="dot" w:pos="9062"/>
        </w:tabs>
        <w:rPr>
          <w:rFonts w:asciiTheme="minorHAnsi" w:eastAsiaTheme="minorEastAsia" w:hAnsiTheme="minorHAnsi" w:cstheme="minorBidi"/>
          <w:i w:val="0"/>
          <w:iCs w:val="0"/>
          <w:noProof/>
          <w:sz w:val="22"/>
          <w:szCs w:val="22"/>
          <w:lang w:val="fr-BE" w:eastAsia="fr-BE"/>
        </w:rPr>
      </w:pPr>
      <w:hyperlink w:anchor="_Toc510775728" w:history="1">
        <w:r w:rsidR="0038667E" w:rsidRPr="00D83E92">
          <w:rPr>
            <w:rStyle w:val="Hyperlink"/>
            <w:b/>
            <w:bCs/>
            <w:noProof/>
            <w:lang w:val="nl-NL"/>
          </w:rPr>
          <w:t>2. De aanvragen zonder voorwerp</w:t>
        </w:r>
        <w:r w:rsidR="0038667E">
          <w:rPr>
            <w:noProof/>
            <w:webHidden/>
          </w:rPr>
          <w:tab/>
        </w:r>
        <w:r w:rsidR="00E05770">
          <w:rPr>
            <w:noProof/>
            <w:webHidden/>
          </w:rPr>
          <w:t>9</w:t>
        </w:r>
      </w:hyperlink>
    </w:p>
    <w:p w:rsidR="0038667E" w:rsidRDefault="00CC2BF4">
      <w:pPr>
        <w:pStyle w:val="TOC3"/>
        <w:tabs>
          <w:tab w:val="right" w:leader="dot" w:pos="9062"/>
        </w:tabs>
        <w:rPr>
          <w:rFonts w:asciiTheme="minorHAnsi" w:eastAsiaTheme="minorEastAsia" w:hAnsiTheme="minorHAnsi" w:cstheme="minorBidi"/>
          <w:i w:val="0"/>
          <w:iCs w:val="0"/>
          <w:noProof/>
          <w:sz w:val="22"/>
          <w:szCs w:val="22"/>
          <w:lang w:val="fr-BE" w:eastAsia="fr-BE"/>
        </w:rPr>
      </w:pPr>
      <w:hyperlink w:anchor="_Toc510775729" w:history="1">
        <w:r w:rsidR="0038667E" w:rsidRPr="00D83E92">
          <w:rPr>
            <w:rStyle w:val="Hyperlink"/>
            <w:b/>
            <w:bCs/>
            <w:noProof/>
            <w:lang w:val="nl-NL"/>
          </w:rPr>
          <w:t>3. Welk OCMW wordt als bevoegd aangeduid?</w:t>
        </w:r>
        <w:r w:rsidR="0038667E">
          <w:rPr>
            <w:noProof/>
            <w:webHidden/>
          </w:rPr>
          <w:tab/>
        </w:r>
        <w:r w:rsidR="00E05770">
          <w:rPr>
            <w:noProof/>
            <w:webHidden/>
          </w:rPr>
          <w:t>10</w:t>
        </w:r>
      </w:hyperlink>
    </w:p>
    <w:p w:rsidR="0038667E" w:rsidRDefault="00CC2BF4">
      <w:pPr>
        <w:pStyle w:val="TOC2"/>
        <w:tabs>
          <w:tab w:val="right" w:leader="dot" w:pos="9062"/>
        </w:tabs>
        <w:rPr>
          <w:rFonts w:asciiTheme="minorHAnsi" w:eastAsiaTheme="minorEastAsia" w:hAnsiTheme="minorHAnsi" w:cstheme="minorBidi"/>
          <w:smallCaps w:val="0"/>
          <w:noProof/>
          <w:sz w:val="22"/>
          <w:szCs w:val="22"/>
          <w:lang w:val="fr-BE" w:eastAsia="fr-BE"/>
        </w:rPr>
      </w:pPr>
      <w:hyperlink w:anchor="_Toc510775730" w:history="1">
        <w:r w:rsidR="0038667E" w:rsidRPr="00D83E92">
          <w:rPr>
            <w:rStyle w:val="Hyperlink"/>
            <w:noProof/>
            <w:lang w:val="nl-NL"/>
          </w:rPr>
          <w:t>2. Opmerkingen</w:t>
        </w:r>
        <w:r w:rsidR="0038667E">
          <w:rPr>
            <w:noProof/>
            <w:webHidden/>
          </w:rPr>
          <w:tab/>
        </w:r>
        <w:r w:rsidR="00E05770">
          <w:rPr>
            <w:noProof/>
            <w:webHidden/>
          </w:rPr>
          <w:t>11</w:t>
        </w:r>
      </w:hyperlink>
    </w:p>
    <w:p w:rsidR="0038667E" w:rsidRDefault="00CC2BF4">
      <w:pPr>
        <w:pStyle w:val="TOC3"/>
        <w:tabs>
          <w:tab w:val="right" w:leader="dot" w:pos="9062"/>
        </w:tabs>
        <w:rPr>
          <w:rFonts w:asciiTheme="minorHAnsi" w:eastAsiaTheme="minorEastAsia" w:hAnsiTheme="minorHAnsi" w:cstheme="minorBidi"/>
          <w:i w:val="0"/>
          <w:iCs w:val="0"/>
          <w:noProof/>
          <w:sz w:val="22"/>
          <w:szCs w:val="22"/>
          <w:lang w:val="fr-BE" w:eastAsia="fr-BE"/>
        </w:rPr>
      </w:pPr>
      <w:hyperlink w:anchor="_Toc510775731" w:history="1">
        <w:r w:rsidR="0038667E" w:rsidRPr="00D83E92">
          <w:rPr>
            <w:rStyle w:val="Hyperlink"/>
            <w:b/>
            <w:bCs/>
            <w:noProof/>
            <w:lang w:val="nl-NL"/>
          </w:rPr>
          <w:t>1. Interactief elektronis</w:t>
        </w:r>
        <w:r w:rsidR="00B46E7F">
          <w:rPr>
            <w:rStyle w:val="Hyperlink"/>
            <w:b/>
            <w:bCs/>
            <w:noProof/>
            <w:lang w:val="nl-NL"/>
          </w:rPr>
          <w:t>ch aanvraagformulier</w:t>
        </w:r>
        <w:r w:rsidR="0038667E">
          <w:rPr>
            <w:noProof/>
            <w:webHidden/>
          </w:rPr>
          <w:tab/>
        </w:r>
        <w:r w:rsidR="00E05770">
          <w:rPr>
            <w:noProof/>
            <w:webHidden/>
          </w:rPr>
          <w:t>11</w:t>
        </w:r>
      </w:hyperlink>
    </w:p>
    <w:p w:rsidR="0038667E" w:rsidRDefault="00CC2BF4">
      <w:pPr>
        <w:pStyle w:val="TOC3"/>
        <w:tabs>
          <w:tab w:val="right" w:leader="dot" w:pos="9062"/>
        </w:tabs>
        <w:rPr>
          <w:rFonts w:asciiTheme="minorHAnsi" w:eastAsiaTheme="minorEastAsia" w:hAnsiTheme="minorHAnsi" w:cstheme="minorBidi"/>
          <w:i w:val="0"/>
          <w:iCs w:val="0"/>
          <w:noProof/>
          <w:sz w:val="22"/>
          <w:szCs w:val="22"/>
          <w:lang w:val="fr-BE" w:eastAsia="fr-BE"/>
        </w:rPr>
      </w:pPr>
      <w:hyperlink w:anchor="_Toc510775732" w:history="1">
        <w:r w:rsidR="0038667E" w:rsidRPr="00D83E92">
          <w:rPr>
            <w:rStyle w:val="Hyperlink"/>
            <w:b/>
            <w:bCs/>
            <w:noProof/>
            <w:lang w:val="nl-NL"/>
          </w:rPr>
          <w:t>2. Behandelingstermijn van de conflicten</w:t>
        </w:r>
        <w:r w:rsidR="0038667E">
          <w:rPr>
            <w:noProof/>
            <w:webHidden/>
          </w:rPr>
          <w:tab/>
        </w:r>
        <w:r w:rsidR="00E05770">
          <w:rPr>
            <w:noProof/>
            <w:webHidden/>
          </w:rPr>
          <w:t>12</w:t>
        </w:r>
      </w:hyperlink>
    </w:p>
    <w:p w:rsidR="0038667E" w:rsidRDefault="00CC2BF4">
      <w:pPr>
        <w:pStyle w:val="TOC1"/>
        <w:rPr>
          <w:rFonts w:asciiTheme="minorHAnsi" w:eastAsiaTheme="minorEastAsia" w:hAnsiTheme="minorHAnsi" w:cstheme="minorBidi"/>
          <w:b w:val="0"/>
          <w:bCs w:val="0"/>
          <w:caps w:val="0"/>
          <w:lang w:val="fr-BE" w:eastAsia="fr-BE"/>
        </w:rPr>
      </w:pPr>
      <w:hyperlink w:anchor="_Toc510775733" w:history="1">
        <w:r w:rsidR="0038667E" w:rsidRPr="00D83E92">
          <w:rPr>
            <w:rStyle w:val="Hyperlink"/>
          </w:rPr>
          <w:t>III. Aard van de conflicten</w:t>
        </w:r>
        <w:r w:rsidR="0038667E">
          <w:rPr>
            <w:webHidden/>
          </w:rPr>
          <w:tab/>
        </w:r>
        <w:r w:rsidR="00E05770">
          <w:rPr>
            <w:webHidden/>
          </w:rPr>
          <w:t>13</w:t>
        </w:r>
      </w:hyperlink>
    </w:p>
    <w:p w:rsidR="0038667E" w:rsidRDefault="00CC2BF4">
      <w:pPr>
        <w:pStyle w:val="TOC2"/>
        <w:tabs>
          <w:tab w:val="right" w:leader="dot" w:pos="9062"/>
        </w:tabs>
        <w:rPr>
          <w:rFonts w:asciiTheme="minorHAnsi" w:eastAsiaTheme="minorEastAsia" w:hAnsiTheme="minorHAnsi" w:cstheme="minorBidi"/>
          <w:smallCaps w:val="0"/>
          <w:noProof/>
          <w:sz w:val="22"/>
          <w:szCs w:val="22"/>
          <w:lang w:val="fr-BE" w:eastAsia="fr-BE"/>
        </w:rPr>
      </w:pPr>
      <w:hyperlink w:anchor="_Toc510775734" w:history="1">
        <w:r w:rsidR="0038667E" w:rsidRPr="00D83E92">
          <w:rPr>
            <w:rStyle w:val="Hyperlink"/>
            <w:noProof/>
            <w:lang w:val="nl-NL"/>
          </w:rPr>
          <w:t>1. Statistieken</w:t>
        </w:r>
        <w:r w:rsidR="0038667E">
          <w:rPr>
            <w:noProof/>
            <w:webHidden/>
          </w:rPr>
          <w:tab/>
        </w:r>
        <w:r w:rsidR="00E05770">
          <w:rPr>
            <w:noProof/>
            <w:webHidden/>
          </w:rPr>
          <w:t>13</w:t>
        </w:r>
      </w:hyperlink>
    </w:p>
    <w:p w:rsidR="0038667E" w:rsidRDefault="00CC2BF4">
      <w:pPr>
        <w:pStyle w:val="TOC3"/>
        <w:tabs>
          <w:tab w:val="left" w:pos="960"/>
          <w:tab w:val="right" w:leader="dot" w:pos="9062"/>
        </w:tabs>
        <w:rPr>
          <w:rFonts w:asciiTheme="minorHAnsi" w:eastAsiaTheme="minorEastAsia" w:hAnsiTheme="minorHAnsi" w:cstheme="minorBidi"/>
          <w:i w:val="0"/>
          <w:iCs w:val="0"/>
          <w:noProof/>
          <w:sz w:val="22"/>
          <w:szCs w:val="22"/>
          <w:lang w:val="fr-BE" w:eastAsia="fr-BE"/>
        </w:rPr>
      </w:pPr>
      <w:hyperlink w:anchor="_Toc510775735" w:history="1">
        <w:r w:rsidR="0038667E" w:rsidRPr="00D83E92">
          <w:rPr>
            <w:rStyle w:val="Hyperlink"/>
            <w:noProof/>
          </w:rPr>
          <w:t>1.</w:t>
        </w:r>
        <w:r w:rsidR="0038667E">
          <w:rPr>
            <w:rFonts w:asciiTheme="minorHAnsi" w:eastAsiaTheme="minorEastAsia" w:hAnsiTheme="minorHAnsi" w:cstheme="minorBidi"/>
            <w:i w:val="0"/>
            <w:iCs w:val="0"/>
            <w:noProof/>
            <w:sz w:val="22"/>
            <w:szCs w:val="22"/>
            <w:lang w:val="fr-BE" w:eastAsia="fr-BE"/>
          </w:rPr>
          <w:tab/>
        </w:r>
        <w:r w:rsidR="0038667E" w:rsidRPr="00D83E92">
          <w:rPr>
            <w:rStyle w:val="Hyperlink"/>
            <w:noProof/>
          </w:rPr>
          <w:t>Statistieken</w:t>
        </w:r>
        <w:r w:rsidR="0038667E">
          <w:rPr>
            <w:noProof/>
            <w:webHidden/>
          </w:rPr>
          <w:tab/>
        </w:r>
        <w:r w:rsidR="00E05770">
          <w:rPr>
            <w:noProof/>
            <w:webHidden/>
          </w:rPr>
          <w:t>13</w:t>
        </w:r>
      </w:hyperlink>
    </w:p>
    <w:p w:rsidR="0038667E" w:rsidRDefault="00CC2BF4">
      <w:pPr>
        <w:pStyle w:val="TOC3"/>
        <w:tabs>
          <w:tab w:val="left" w:pos="960"/>
          <w:tab w:val="right" w:leader="dot" w:pos="9062"/>
        </w:tabs>
        <w:rPr>
          <w:rFonts w:asciiTheme="minorHAnsi" w:eastAsiaTheme="minorEastAsia" w:hAnsiTheme="minorHAnsi" w:cstheme="minorBidi"/>
          <w:i w:val="0"/>
          <w:iCs w:val="0"/>
          <w:noProof/>
          <w:sz w:val="22"/>
          <w:szCs w:val="22"/>
          <w:lang w:val="fr-BE" w:eastAsia="fr-BE"/>
        </w:rPr>
      </w:pPr>
      <w:hyperlink w:anchor="_Toc510775736" w:history="1">
        <w:r w:rsidR="0038667E" w:rsidRPr="00D83E92">
          <w:rPr>
            <w:rStyle w:val="Hyperlink"/>
            <w:noProof/>
          </w:rPr>
          <w:t>2.</w:t>
        </w:r>
        <w:r w:rsidR="0038667E">
          <w:rPr>
            <w:rFonts w:asciiTheme="minorHAnsi" w:eastAsiaTheme="minorEastAsia" w:hAnsiTheme="minorHAnsi" w:cstheme="minorBidi"/>
            <w:i w:val="0"/>
            <w:iCs w:val="0"/>
            <w:noProof/>
            <w:sz w:val="22"/>
            <w:szCs w:val="22"/>
            <w:lang w:val="fr-BE" w:eastAsia="fr-BE"/>
          </w:rPr>
          <w:tab/>
        </w:r>
        <w:r w:rsidR="0038667E" w:rsidRPr="00D83E92">
          <w:rPr>
            <w:rStyle w:val="Hyperlink"/>
            <w:noProof/>
          </w:rPr>
          <w:t>Opmerkingen</w:t>
        </w:r>
        <w:r w:rsidR="0038667E">
          <w:rPr>
            <w:noProof/>
            <w:webHidden/>
          </w:rPr>
          <w:tab/>
        </w:r>
        <w:r w:rsidR="00E05770">
          <w:rPr>
            <w:noProof/>
            <w:webHidden/>
          </w:rPr>
          <w:t>14</w:t>
        </w:r>
      </w:hyperlink>
    </w:p>
    <w:p w:rsidR="0038667E" w:rsidRDefault="00CC2BF4">
      <w:pPr>
        <w:pStyle w:val="TOC2"/>
        <w:tabs>
          <w:tab w:val="right" w:leader="dot" w:pos="9062"/>
        </w:tabs>
        <w:rPr>
          <w:rFonts w:asciiTheme="minorHAnsi" w:eastAsiaTheme="minorEastAsia" w:hAnsiTheme="minorHAnsi" w:cstheme="minorBidi"/>
          <w:smallCaps w:val="0"/>
          <w:noProof/>
          <w:sz w:val="22"/>
          <w:szCs w:val="22"/>
          <w:lang w:val="fr-BE" w:eastAsia="fr-BE"/>
        </w:rPr>
      </w:pPr>
      <w:hyperlink w:anchor="_Toc510775737" w:history="1">
        <w:r w:rsidR="0038667E" w:rsidRPr="00D83E92">
          <w:rPr>
            <w:rStyle w:val="Hyperlink"/>
            <w:noProof/>
            <w:lang w:val="nl-NL"/>
          </w:rPr>
          <w:t>2. Conflicten over de bepaling van de gewoonlijke verblijfplaats</w:t>
        </w:r>
        <w:r w:rsidR="0038667E">
          <w:rPr>
            <w:noProof/>
            <w:webHidden/>
          </w:rPr>
          <w:tab/>
        </w:r>
        <w:r w:rsidR="00E05770">
          <w:rPr>
            <w:noProof/>
            <w:webHidden/>
          </w:rPr>
          <w:t>15</w:t>
        </w:r>
      </w:hyperlink>
    </w:p>
    <w:p w:rsidR="0038667E" w:rsidRDefault="00CC2BF4">
      <w:pPr>
        <w:pStyle w:val="TOC3"/>
        <w:tabs>
          <w:tab w:val="right" w:leader="dot" w:pos="9062"/>
        </w:tabs>
        <w:rPr>
          <w:rFonts w:asciiTheme="minorHAnsi" w:eastAsiaTheme="minorEastAsia" w:hAnsiTheme="minorHAnsi" w:cstheme="minorBidi"/>
          <w:i w:val="0"/>
          <w:iCs w:val="0"/>
          <w:noProof/>
          <w:sz w:val="22"/>
          <w:szCs w:val="22"/>
          <w:lang w:val="fr-BE" w:eastAsia="fr-BE"/>
        </w:rPr>
      </w:pPr>
      <w:hyperlink w:anchor="_Toc510775738" w:history="1">
        <w:r w:rsidR="0038667E" w:rsidRPr="00D83E92">
          <w:rPr>
            <w:rStyle w:val="Hyperlink"/>
            <w:b/>
            <w:noProof/>
            <w:lang w:val="nl-NL"/>
          </w:rPr>
          <w:t>1. Aantal dossiers in 2017</w:t>
        </w:r>
        <w:r w:rsidR="0038667E">
          <w:rPr>
            <w:noProof/>
            <w:webHidden/>
          </w:rPr>
          <w:tab/>
        </w:r>
        <w:r w:rsidR="00E05770">
          <w:rPr>
            <w:noProof/>
            <w:webHidden/>
          </w:rPr>
          <w:t>15</w:t>
        </w:r>
      </w:hyperlink>
    </w:p>
    <w:p w:rsidR="0038667E" w:rsidRDefault="00CC2BF4">
      <w:pPr>
        <w:pStyle w:val="TOC3"/>
        <w:tabs>
          <w:tab w:val="right" w:leader="dot" w:pos="9062"/>
        </w:tabs>
        <w:rPr>
          <w:rFonts w:asciiTheme="minorHAnsi" w:eastAsiaTheme="minorEastAsia" w:hAnsiTheme="minorHAnsi" w:cstheme="minorBidi"/>
          <w:i w:val="0"/>
          <w:iCs w:val="0"/>
          <w:noProof/>
          <w:sz w:val="22"/>
          <w:szCs w:val="22"/>
          <w:lang w:val="fr-BE" w:eastAsia="fr-BE"/>
        </w:rPr>
      </w:pPr>
      <w:hyperlink w:anchor="_Toc510775739" w:history="1">
        <w:r w:rsidR="0038667E" w:rsidRPr="00D83E92">
          <w:rPr>
            <w:rStyle w:val="Hyperlink"/>
            <w:b/>
            <w:bCs/>
            <w:noProof/>
            <w:lang w:val="nl-NL"/>
          </w:rPr>
          <w:t>2. Wettelijke bepaling</w:t>
        </w:r>
        <w:r w:rsidR="0038667E">
          <w:rPr>
            <w:noProof/>
            <w:webHidden/>
          </w:rPr>
          <w:tab/>
        </w:r>
        <w:r w:rsidR="00F377C3">
          <w:rPr>
            <w:noProof/>
            <w:webHidden/>
          </w:rPr>
          <w:t>15</w:t>
        </w:r>
      </w:hyperlink>
    </w:p>
    <w:p w:rsidR="0038667E" w:rsidRDefault="00CC2BF4">
      <w:pPr>
        <w:pStyle w:val="TOC3"/>
        <w:tabs>
          <w:tab w:val="right" w:leader="dot" w:pos="9062"/>
        </w:tabs>
        <w:rPr>
          <w:rFonts w:asciiTheme="minorHAnsi" w:eastAsiaTheme="minorEastAsia" w:hAnsiTheme="minorHAnsi" w:cstheme="minorBidi"/>
          <w:i w:val="0"/>
          <w:iCs w:val="0"/>
          <w:noProof/>
          <w:sz w:val="22"/>
          <w:szCs w:val="22"/>
          <w:lang w:val="fr-BE" w:eastAsia="fr-BE"/>
        </w:rPr>
      </w:pPr>
      <w:hyperlink w:anchor="_Toc510775740" w:history="1">
        <w:r w:rsidR="0038667E" w:rsidRPr="00D83E92">
          <w:rPr>
            <w:rStyle w:val="Hyperlink"/>
            <w:b/>
            <w:bCs/>
            <w:noProof/>
            <w:lang w:val="nl-NL"/>
          </w:rPr>
          <w:t>3. Opmerkingen over de toepassing van de algemene bevoegdheidsregel</w:t>
        </w:r>
        <w:r w:rsidR="0038667E">
          <w:rPr>
            <w:noProof/>
            <w:webHidden/>
          </w:rPr>
          <w:tab/>
        </w:r>
        <w:r w:rsidR="00F377C3">
          <w:rPr>
            <w:noProof/>
            <w:webHidden/>
          </w:rPr>
          <w:t>15</w:t>
        </w:r>
      </w:hyperlink>
    </w:p>
    <w:p w:rsidR="0038667E" w:rsidRDefault="00CC2BF4">
      <w:pPr>
        <w:pStyle w:val="TOC4"/>
        <w:tabs>
          <w:tab w:val="right" w:leader="dot" w:pos="9062"/>
        </w:tabs>
        <w:rPr>
          <w:rFonts w:asciiTheme="minorHAnsi" w:eastAsiaTheme="minorEastAsia" w:hAnsiTheme="minorHAnsi" w:cstheme="minorBidi"/>
          <w:noProof/>
          <w:sz w:val="22"/>
          <w:szCs w:val="22"/>
          <w:lang w:val="fr-BE" w:eastAsia="fr-BE"/>
        </w:rPr>
      </w:pPr>
      <w:hyperlink w:anchor="_Toc510775741" w:history="1">
        <w:r w:rsidR="0038667E" w:rsidRPr="00D83E92">
          <w:rPr>
            <w:rStyle w:val="Hyperlink"/>
            <w:noProof/>
            <w:lang w:val="nl-NL"/>
          </w:rPr>
          <w:t>3.1. De gewoonlijke verblijfplaats wordt bepaald op het ogenblik van de steunaanvraag</w:t>
        </w:r>
        <w:r w:rsidR="0038667E">
          <w:rPr>
            <w:noProof/>
            <w:webHidden/>
          </w:rPr>
          <w:tab/>
        </w:r>
        <w:r w:rsidR="00F377C3">
          <w:rPr>
            <w:noProof/>
            <w:webHidden/>
          </w:rPr>
          <w:t>15</w:t>
        </w:r>
      </w:hyperlink>
    </w:p>
    <w:p w:rsidR="0038667E" w:rsidRDefault="00CC2BF4">
      <w:pPr>
        <w:pStyle w:val="TOC4"/>
        <w:tabs>
          <w:tab w:val="right" w:leader="dot" w:pos="9062"/>
        </w:tabs>
        <w:rPr>
          <w:rFonts w:asciiTheme="minorHAnsi" w:eastAsiaTheme="minorEastAsia" w:hAnsiTheme="minorHAnsi" w:cstheme="minorBidi"/>
          <w:noProof/>
          <w:sz w:val="22"/>
          <w:szCs w:val="22"/>
          <w:lang w:val="fr-BE" w:eastAsia="fr-BE"/>
        </w:rPr>
      </w:pPr>
      <w:hyperlink w:anchor="_Toc510775742" w:history="1">
        <w:r w:rsidR="0038667E" w:rsidRPr="00D83E92">
          <w:rPr>
            <w:rStyle w:val="Hyperlink"/>
            <w:noProof/>
            <w:lang w:val="nl-NL"/>
          </w:rPr>
          <w:t>3.2. Bepaling van de gewoonlijke verblijfplaats</w:t>
        </w:r>
        <w:r w:rsidR="0038667E">
          <w:rPr>
            <w:noProof/>
            <w:webHidden/>
          </w:rPr>
          <w:tab/>
        </w:r>
        <w:r w:rsidR="00F377C3">
          <w:rPr>
            <w:noProof/>
            <w:webHidden/>
          </w:rPr>
          <w:t>17</w:t>
        </w:r>
      </w:hyperlink>
    </w:p>
    <w:p w:rsidR="0038667E" w:rsidRDefault="00CC2BF4">
      <w:pPr>
        <w:pStyle w:val="TOC4"/>
        <w:tabs>
          <w:tab w:val="right" w:leader="dot" w:pos="9062"/>
        </w:tabs>
        <w:rPr>
          <w:rFonts w:asciiTheme="minorHAnsi" w:eastAsiaTheme="minorEastAsia" w:hAnsiTheme="minorHAnsi" w:cstheme="minorBidi"/>
          <w:noProof/>
          <w:sz w:val="22"/>
          <w:szCs w:val="22"/>
          <w:lang w:val="fr-BE" w:eastAsia="fr-BE"/>
        </w:rPr>
      </w:pPr>
      <w:hyperlink w:anchor="_Toc510775743" w:history="1">
        <w:r w:rsidR="0038667E" w:rsidRPr="00D83E92">
          <w:rPr>
            <w:rStyle w:val="Hyperlink"/>
            <w:noProof/>
            <w:lang w:val="nl-NL"/>
          </w:rPr>
          <w:t>3.3. De toevallige verblijfplaats</w:t>
        </w:r>
        <w:r w:rsidR="0038667E">
          <w:rPr>
            <w:noProof/>
            <w:webHidden/>
          </w:rPr>
          <w:tab/>
        </w:r>
        <w:r w:rsidR="00F377C3">
          <w:rPr>
            <w:noProof/>
            <w:webHidden/>
          </w:rPr>
          <w:t>.18</w:t>
        </w:r>
      </w:hyperlink>
    </w:p>
    <w:p w:rsidR="0038667E" w:rsidRDefault="00CC2BF4">
      <w:pPr>
        <w:pStyle w:val="TOC2"/>
        <w:tabs>
          <w:tab w:val="right" w:leader="dot" w:pos="9062"/>
        </w:tabs>
        <w:rPr>
          <w:rFonts w:asciiTheme="minorHAnsi" w:eastAsiaTheme="minorEastAsia" w:hAnsiTheme="minorHAnsi" w:cstheme="minorBidi"/>
          <w:smallCaps w:val="0"/>
          <w:noProof/>
          <w:sz w:val="22"/>
          <w:szCs w:val="22"/>
          <w:lang w:val="fr-BE" w:eastAsia="fr-BE"/>
        </w:rPr>
      </w:pPr>
      <w:hyperlink w:anchor="_Toc510775744" w:history="1">
        <w:r w:rsidR="0038667E" w:rsidRPr="00D83E92">
          <w:rPr>
            <w:rStyle w:val="Hyperlink"/>
            <w:noProof/>
            <w:lang w:val="nl-NL"/>
          </w:rPr>
          <w:t>3. Conflicten m.b.t. de hulpaanvrager die in een instelling verblijft</w:t>
        </w:r>
        <w:r w:rsidR="0038667E">
          <w:rPr>
            <w:noProof/>
            <w:webHidden/>
          </w:rPr>
          <w:tab/>
        </w:r>
        <w:r w:rsidR="00F377C3">
          <w:rPr>
            <w:noProof/>
            <w:webHidden/>
          </w:rPr>
          <w:t>19</w:t>
        </w:r>
      </w:hyperlink>
    </w:p>
    <w:p w:rsidR="0038667E" w:rsidRDefault="00CC2BF4">
      <w:pPr>
        <w:pStyle w:val="TOC3"/>
        <w:tabs>
          <w:tab w:val="right" w:leader="dot" w:pos="9062"/>
        </w:tabs>
        <w:rPr>
          <w:rFonts w:asciiTheme="minorHAnsi" w:eastAsiaTheme="minorEastAsia" w:hAnsiTheme="minorHAnsi" w:cstheme="minorBidi"/>
          <w:i w:val="0"/>
          <w:iCs w:val="0"/>
          <w:noProof/>
          <w:sz w:val="22"/>
          <w:szCs w:val="22"/>
          <w:lang w:val="fr-BE" w:eastAsia="fr-BE"/>
        </w:rPr>
      </w:pPr>
      <w:hyperlink w:anchor="_Toc510775745" w:history="1">
        <w:r w:rsidR="0038667E" w:rsidRPr="00D83E92">
          <w:rPr>
            <w:rStyle w:val="Hyperlink"/>
            <w:b/>
            <w:bCs/>
            <w:noProof/>
            <w:lang w:val="nl-NL"/>
          </w:rPr>
          <w:t>1. Aantal dossiers in 2017</w:t>
        </w:r>
        <w:r w:rsidR="0038667E">
          <w:rPr>
            <w:noProof/>
            <w:webHidden/>
          </w:rPr>
          <w:tab/>
        </w:r>
        <w:r w:rsidR="00F377C3">
          <w:rPr>
            <w:noProof/>
            <w:webHidden/>
          </w:rPr>
          <w:t>19</w:t>
        </w:r>
      </w:hyperlink>
    </w:p>
    <w:p w:rsidR="0038667E" w:rsidRDefault="00CC2BF4">
      <w:pPr>
        <w:pStyle w:val="TOC3"/>
        <w:tabs>
          <w:tab w:val="right" w:leader="dot" w:pos="9062"/>
        </w:tabs>
        <w:rPr>
          <w:rFonts w:asciiTheme="minorHAnsi" w:eastAsiaTheme="minorEastAsia" w:hAnsiTheme="minorHAnsi" w:cstheme="minorBidi"/>
          <w:i w:val="0"/>
          <w:iCs w:val="0"/>
          <w:noProof/>
          <w:sz w:val="22"/>
          <w:szCs w:val="22"/>
          <w:lang w:val="fr-BE" w:eastAsia="fr-BE"/>
        </w:rPr>
      </w:pPr>
      <w:hyperlink w:anchor="_Toc510775746" w:history="1">
        <w:r w:rsidR="0038667E" w:rsidRPr="00D83E92">
          <w:rPr>
            <w:rStyle w:val="Hyperlink"/>
            <w:b/>
            <w:bCs/>
            <w:noProof/>
          </w:rPr>
          <w:t>2. Wettelijke bepaling</w:t>
        </w:r>
        <w:r w:rsidR="0038667E">
          <w:rPr>
            <w:noProof/>
            <w:webHidden/>
          </w:rPr>
          <w:tab/>
        </w:r>
        <w:r w:rsidR="00F377C3">
          <w:rPr>
            <w:noProof/>
            <w:webHidden/>
          </w:rPr>
          <w:t>19</w:t>
        </w:r>
      </w:hyperlink>
    </w:p>
    <w:p w:rsidR="0038667E" w:rsidRDefault="00CC2BF4">
      <w:pPr>
        <w:pStyle w:val="TOC3"/>
        <w:tabs>
          <w:tab w:val="right" w:leader="dot" w:pos="9062"/>
        </w:tabs>
        <w:rPr>
          <w:rFonts w:asciiTheme="minorHAnsi" w:eastAsiaTheme="minorEastAsia" w:hAnsiTheme="minorHAnsi" w:cstheme="minorBidi"/>
          <w:i w:val="0"/>
          <w:iCs w:val="0"/>
          <w:noProof/>
          <w:sz w:val="22"/>
          <w:szCs w:val="22"/>
          <w:lang w:val="fr-BE" w:eastAsia="fr-BE"/>
        </w:rPr>
      </w:pPr>
      <w:hyperlink w:anchor="_Toc510775747" w:history="1">
        <w:r w:rsidR="0038667E" w:rsidRPr="00D83E92">
          <w:rPr>
            <w:rStyle w:val="Hyperlink"/>
            <w:b/>
            <w:bCs/>
            <w:noProof/>
            <w:lang w:val="nl-NL"/>
          </w:rPr>
          <w:t>3. Opmerkingen over de toepassingen van paragrafen 1 en 3 van artikel 2 van de wet van 02/04/1965</w:t>
        </w:r>
        <w:r w:rsidR="0038667E">
          <w:rPr>
            <w:noProof/>
            <w:webHidden/>
          </w:rPr>
          <w:tab/>
        </w:r>
        <w:r w:rsidR="00F377C3">
          <w:rPr>
            <w:noProof/>
            <w:webHidden/>
          </w:rPr>
          <w:t>.20</w:t>
        </w:r>
      </w:hyperlink>
    </w:p>
    <w:p w:rsidR="0038667E" w:rsidRDefault="00CC2BF4">
      <w:pPr>
        <w:pStyle w:val="TOC4"/>
        <w:tabs>
          <w:tab w:val="right" w:leader="dot" w:pos="9062"/>
        </w:tabs>
        <w:rPr>
          <w:rFonts w:asciiTheme="minorHAnsi" w:eastAsiaTheme="minorEastAsia" w:hAnsiTheme="minorHAnsi" w:cstheme="minorBidi"/>
          <w:noProof/>
          <w:sz w:val="22"/>
          <w:szCs w:val="22"/>
          <w:lang w:val="fr-BE" w:eastAsia="fr-BE"/>
        </w:rPr>
      </w:pPr>
      <w:hyperlink w:anchor="_Toc510775748" w:history="1">
        <w:r w:rsidR="0038667E" w:rsidRPr="00D83E92">
          <w:rPr>
            <w:rStyle w:val="Hyperlink"/>
            <w:noProof/>
            <w:lang w:val="nl-NL"/>
          </w:rPr>
          <w:t>3.1. De lijst van instellingen van artikel 2, § 1, ,van de wet van 2 april 1965</w:t>
        </w:r>
        <w:r w:rsidR="0038667E">
          <w:rPr>
            <w:noProof/>
            <w:webHidden/>
          </w:rPr>
          <w:tab/>
        </w:r>
        <w:r w:rsidR="00F377C3">
          <w:rPr>
            <w:noProof/>
            <w:webHidden/>
          </w:rPr>
          <w:t>21</w:t>
        </w:r>
      </w:hyperlink>
    </w:p>
    <w:p w:rsidR="0038667E" w:rsidRDefault="00CC2BF4">
      <w:pPr>
        <w:pStyle w:val="TOC4"/>
        <w:tabs>
          <w:tab w:val="right" w:leader="dot" w:pos="9062"/>
        </w:tabs>
        <w:rPr>
          <w:rFonts w:asciiTheme="minorHAnsi" w:eastAsiaTheme="minorEastAsia" w:hAnsiTheme="minorHAnsi" w:cstheme="minorBidi"/>
          <w:noProof/>
          <w:sz w:val="22"/>
          <w:szCs w:val="22"/>
          <w:lang w:val="fr-BE" w:eastAsia="fr-BE"/>
        </w:rPr>
      </w:pPr>
      <w:hyperlink w:anchor="_Toc510775749" w:history="1">
        <w:r w:rsidR="0038667E" w:rsidRPr="00D83E92">
          <w:rPr>
            <w:rStyle w:val="Hyperlink"/>
            <w:noProof/>
            <w:lang w:val="nl-NL"/>
          </w:rPr>
          <w:t>3.2. De inschrijving, als hoofdverblijfplaats</w:t>
        </w:r>
        <w:r w:rsidR="00EA7153">
          <w:rPr>
            <w:rStyle w:val="Hyperlink"/>
            <w:noProof/>
            <w:lang w:val="nl-NL"/>
          </w:rPr>
          <w:t xml:space="preserve">, in het gemeentelijk </w:t>
        </w:r>
        <w:r w:rsidR="0038667E" w:rsidRPr="00D83E92">
          <w:rPr>
            <w:rStyle w:val="Hyperlink"/>
            <w:noProof/>
            <w:lang w:val="nl-NL"/>
          </w:rPr>
          <w:t>register</w:t>
        </w:r>
        <w:r w:rsidR="0038667E">
          <w:rPr>
            <w:noProof/>
            <w:webHidden/>
          </w:rPr>
          <w:tab/>
        </w:r>
        <w:r w:rsidR="00F377C3">
          <w:rPr>
            <w:noProof/>
            <w:webHidden/>
          </w:rPr>
          <w:t>22</w:t>
        </w:r>
      </w:hyperlink>
    </w:p>
    <w:p w:rsidR="0038667E" w:rsidRDefault="00CC2BF4">
      <w:pPr>
        <w:pStyle w:val="TOC4"/>
        <w:tabs>
          <w:tab w:val="right" w:leader="dot" w:pos="9062"/>
        </w:tabs>
        <w:rPr>
          <w:rFonts w:asciiTheme="minorHAnsi" w:eastAsiaTheme="minorEastAsia" w:hAnsiTheme="minorHAnsi" w:cstheme="minorBidi"/>
          <w:noProof/>
          <w:sz w:val="22"/>
          <w:szCs w:val="22"/>
          <w:lang w:val="fr-BE" w:eastAsia="fr-BE"/>
        </w:rPr>
      </w:pPr>
      <w:hyperlink w:anchor="_Toc510775750" w:history="1">
        <w:r w:rsidR="0038667E" w:rsidRPr="00D83E92">
          <w:rPr>
            <w:rStyle w:val="Hyperlink"/>
            <w:noProof/>
            <w:lang w:val="nl-NL"/>
          </w:rPr>
          <w:t>3.3. De regel van de continuïteit van artikel 2, §3,  van de wet van 2 april 1965.</w:t>
        </w:r>
        <w:r w:rsidR="0038667E">
          <w:rPr>
            <w:noProof/>
            <w:webHidden/>
          </w:rPr>
          <w:tab/>
        </w:r>
        <w:r w:rsidR="00F377C3">
          <w:rPr>
            <w:noProof/>
            <w:webHidden/>
          </w:rPr>
          <w:t>24</w:t>
        </w:r>
      </w:hyperlink>
    </w:p>
    <w:p w:rsidR="0038667E" w:rsidRDefault="00CC2BF4">
      <w:pPr>
        <w:pStyle w:val="TOC2"/>
        <w:tabs>
          <w:tab w:val="right" w:leader="dot" w:pos="9062"/>
        </w:tabs>
        <w:rPr>
          <w:rFonts w:asciiTheme="minorHAnsi" w:eastAsiaTheme="minorEastAsia" w:hAnsiTheme="minorHAnsi" w:cstheme="minorBidi"/>
          <w:smallCaps w:val="0"/>
          <w:noProof/>
          <w:sz w:val="22"/>
          <w:szCs w:val="22"/>
          <w:lang w:val="fr-BE" w:eastAsia="fr-BE"/>
        </w:rPr>
      </w:pPr>
      <w:hyperlink w:anchor="_Toc510775751" w:history="1">
        <w:r w:rsidR="0038667E" w:rsidRPr="00D83E92">
          <w:rPr>
            <w:rStyle w:val="Hyperlink"/>
            <w:noProof/>
            <w:lang w:val="nl-NL"/>
          </w:rPr>
          <w:t>4. Conflicten inzake studenten</w:t>
        </w:r>
        <w:r w:rsidR="0038667E">
          <w:rPr>
            <w:noProof/>
            <w:webHidden/>
          </w:rPr>
          <w:tab/>
        </w:r>
        <w:r w:rsidR="00F377C3">
          <w:rPr>
            <w:noProof/>
            <w:webHidden/>
          </w:rPr>
          <w:t>26</w:t>
        </w:r>
      </w:hyperlink>
    </w:p>
    <w:p w:rsidR="0038667E" w:rsidRDefault="00CC2BF4">
      <w:pPr>
        <w:pStyle w:val="TOC3"/>
        <w:tabs>
          <w:tab w:val="right" w:leader="dot" w:pos="9062"/>
        </w:tabs>
        <w:rPr>
          <w:rFonts w:asciiTheme="minorHAnsi" w:eastAsiaTheme="minorEastAsia" w:hAnsiTheme="minorHAnsi" w:cstheme="minorBidi"/>
          <w:i w:val="0"/>
          <w:iCs w:val="0"/>
          <w:noProof/>
          <w:sz w:val="22"/>
          <w:szCs w:val="22"/>
          <w:lang w:val="fr-BE" w:eastAsia="fr-BE"/>
        </w:rPr>
      </w:pPr>
      <w:hyperlink w:anchor="_Toc510775752" w:history="1">
        <w:r w:rsidR="0038667E" w:rsidRPr="00D83E92">
          <w:rPr>
            <w:rStyle w:val="Hyperlink"/>
            <w:b/>
            <w:bCs/>
            <w:noProof/>
            <w:lang w:val="nl-NL"/>
          </w:rPr>
          <w:t>1. Aantal dossiers in 2017</w:t>
        </w:r>
        <w:r w:rsidR="0038667E">
          <w:rPr>
            <w:noProof/>
            <w:webHidden/>
          </w:rPr>
          <w:tab/>
        </w:r>
        <w:r w:rsidR="00F377C3">
          <w:rPr>
            <w:noProof/>
            <w:webHidden/>
          </w:rPr>
          <w:t>26</w:t>
        </w:r>
      </w:hyperlink>
    </w:p>
    <w:p w:rsidR="0038667E" w:rsidRDefault="00CC2BF4">
      <w:pPr>
        <w:pStyle w:val="TOC3"/>
        <w:tabs>
          <w:tab w:val="left" w:pos="960"/>
          <w:tab w:val="right" w:leader="dot" w:pos="9062"/>
        </w:tabs>
        <w:rPr>
          <w:rFonts w:asciiTheme="minorHAnsi" w:eastAsiaTheme="minorEastAsia" w:hAnsiTheme="minorHAnsi" w:cstheme="minorBidi"/>
          <w:i w:val="0"/>
          <w:iCs w:val="0"/>
          <w:noProof/>
          <w:sz w:val="22"/>
          <w:szCs w:val="22"/>
          <w:lang w:val="fr-BE" w:eastAsia="fr-BE"/>
        </w:rPr>
      </w:pPr>
      <w:hyperlink w:anchor="_Toc510775753" w:history="1">
        <w:r w:rsidR="0038667E" w:rsidRPr="00D83E92">
          <w:rPr>
            <w:rStyle w:val="Hyperlink"/>
            <w:b/>
            <w:bCs/>
            <w:noProof/>
          </w:rPr>
          <w:t>2.</w:t>
        </w:r>
        <w:r w:rsidR="00EA7153">
          <w:rPr>
            <w:rFonts w:asciiTheme="minorHAnsi" w:eastAsiaTheme="minorEastAsia" w:hAnsiTheme="minorHAnsi" w:cstheme="minorBidi"/>
            <w:i w:val="0"/>
            <w:iCs w:val="0"/>
            <w:noProof/>
            <w:sz w:val="22"/>
            <w:szCs w:val="22"/>
            <w:lang w:val="fr-BE" w:eastAsia="fr-BE"/>
          </w:rPr>
          <w:t xml:space="preserve"> </w:t>
        </w:r>
        <w:r w:rsidR="0038667E" w:rsidRPr="00D83E92">
          <w:rPr>
            <w:rStyle w:val="Hyperlink"/>
            <w:b/>
            <w:bCs/>
            <w:noProof/>
          </w:rPr>
          <w:t>Wettelijke bepaling</w:t>
        </w:r>
        <w:r w:rsidR="0038667E">
          <w:rPr>
            <w:noProof/>
            <w:webHidden/>
          </w:rPr>
          <w:tab/>
        </w:r>
        <w:r w:rsidR="00F377C3">
          <w:rPr>
            <w:noProof/>
            <w:webHidden/>
          </w:rPr>
          <w:t>26</w:t>
        </w:r>
      </w:hyperlink>
    </w:p>
    <w:p w:rsidR="0038667E" w:rsidRDefault="00CC2BF4">
      <w:pPr>
        <w:pStyle w:val="TOC3"/>
        <w:tabs>
          <w:tab w:val="right" w:leader="dot" w:pos="9062"/>
        </w:tabs>
        <w:rPr>
          <w:rFonts w:asciiTheme="minorHAnsi" w:eastAsiaTheme="minorEastAsia" w:hAnsiTheme="minorHAnsi" w:cstheme="minorBidi"/>
          <w:i w:val="0"/>
          <w:iCs w:val="0"/>
          <w:noProof/>
          <w:sz w:val="22"/>
          <w:szCs w:val="22"/>
          <w:lang w:val="fr-BE" w:eastAsia="fr-BE"/>
        </w:rPr>
      </w:pPr>
      <w:hyperlink w:anchor="_Toc510775754" w:history="1">
        <w:r w:rsidR="0038667E" w:rsidRPr="00D83E92">
          <w:rPr>
            <w:rStyle w:val="Hyperlink"/>
            <w:b/>
            <w:bCs/>
            <w:noProof/>
            <w:lang w:val="nl-NL"/>
          </w:rPr>
          <w:t>3. Opmerkingen over de toepassing van artikel 2, § 6, van de wet van 2 april 1965</w:t>
        </w:r>
        <w:r w:rsidR="0038667E">
          <w:rPr>
            <w:noProof/>
            <w:webHidden/>
          </w:rPr>
          <w:tab/>
        </w:r>
        <w:r w:rsidR="00F377C3">
          <w:rPr>
            <w:noProof/>
            <w:webHidden/>
          </w:rPr>
          <w:t>26</w:t>
        </w:r>
      </w:hyperlink>
    </w:p>
    <w:p w:rsidR="0038667E" w:rsidRDefault="00CC2BF4">
      <w:pPr>
        <w:pStyle w:val="TOC4"/>
        <w:tabs>
          <w:tab w:val="right" w:leader="dot" w:pos="9062"/>
        </w:tabs>
        <w:rPr>
          <w:rFonts w:asciiTheme="minorHAnsi" w:eastAsiaTheme="minorEastAsia" w:hAnsiTheme="minorHAnsi" w:cstheme="minorBidi"/>
          <w:noProof/>
          <w:sz w:val="22"/>
          <w:szCs w:val="22"/>
          <w:lang w:val="fr-BE" w:eastAsia="fr-BE"/>
        </w:rPr>
      </w:pPr>
      <w:hyperlink w:anchor="_Toc510775755" w:history="1">
        <w:r w:rsidR="0038667E" w:rsidRPr="00D83E92">
          <w:rPr>
            <w:rStyle w:val="Hyperlink"/>
            <w:noProof/>
            <w:lang w:val="nl-NL"/>
          </w:rPr>
          <w:t>3.1. Toepassingsgebied van artikel 2, § 6, van de wet van 2 april 1965</w:t>
        </w:r>
        <w:r w:rsidR="0038667E">
          <w:rPr>
            <w:noProof/>
            <w:webHidden/>
          </w:rPr>
          <w:tab/>
        </w:r>
        <w:r w:rsidR="00F377C3">
          <w:rPr>
            <w:noProof/>
            <w:webHidden/>
          </w:rPr>
          <w:t>27</w:t>
        </w:r>
      </w:hyperlink>
    </w:p>
    <w:p w:rsidR="0038667E" w:rsidRDefault="00CC2BF4">
      <w:pPr>
        <w:pStyle w:val="TOC5"/>
        <w:tabs>
          <w:tab w:val="right" w:leader="dot" w:pos="9062"/>
        </w:tabs>
        <w:rPr>
          <w:rFonts w:asciiTheme="minorHAnsi" w:eastAsiaTheme="minorEastAsia" w:hAnsiTheme="minorHAnsi" w:cstheme="minorBidi"/>
          <w:noProof/>
          <w:sz w:val="22"/>
          <w:szCs w:val="22"/>
          <w:lang w:val="fr-BE" w:eastAsia="fr-BE"/>
        </w:rPr>
      </w:pPr>
      <w:hyperlink w:anchor="_Toc510775756" w:history="1">
        <w:r w:rsidR="0038667E" w:rsidRPr="00D83E92">
          <w:rPr>
            <w:rStyle w:val="Hyperlink"/>
            <w:noProof/>
          </w:rPr>
          <w:t>1) Toepassingsvoorwaarden</w:t>
        </w:r>
        <w:r w:rsidR="0038667E">
          <w:rPr>
            <w:noProof/>
            <w:webHidden/>
          </w:rPr>
          <w:tab/>
        </w:r>
        <w:r w:rsidR="00F377C3">
          <w:rPr>
            <w:noProof/>
            <w:webHidden/>
          </w:rPr>
          <w:t>27</w:t>
        </w:r>
      </w:hyperlink>
    </w:p>
    <w:p w:rsidR="0038667E" w:rsidRDefault="00CC2BF4">
      <w:pPr>
        <w:pStyle w:val="TOC5"/>
        <w:tabs>
          <w:tab w:val="right" w:leader="dot" w:pos="9062"/>
        </w:tabs>
        <w:rPr>
          <w:rFonts w:asciiTheme="minorHAnsi" w:eastAsiaTheme="minorEastAsia" w:hAnsiTheme="minorHAnsi" w:cstheme="minorBidi"/>
          <w:noProof/>
          <w:sz w:val="22"/>
          <w:szCs w:val="22"/>
          <w:lang w:val="fr-BE" w:eastAsia="fr-BE"/>
        </w:rPr>
      </w:pPr>
      <w:hyperlink w:anchor="_Toc510775757" w:history="1">
        <w:r w:rsidR="0038667E" w:rsidRPr="00D83E92">
          <w:rPr>
            <w:rStyle w:val="Hyperlink"/>
            <w:noProof/>
            <w:lang w:val="en-US"/>
          </w:rPr>
          <w:t>2) Studies met volledig leerplan:</w:t>
        </w:r>
        <w:r w:rsidR="0038667E">
          <w:rPr>
            <w:noProof/>
            <w:webHidden/>
          </w:rPr>
          <w:tab/>
        </w:r>
        <w:r w:rsidR="00F377C3">
          <w:rPr>
            <w:noProof/>
            <w:webHidden/>
          </w:rPr>
          <w:t>27</w:t>
        </w:r>
      </w:hyperlink>
    </w:p>
    <w:p w:rsidR="0038667E" w:rsidRDefault="00CC2BF4">
      <w:pPr>
        <w:pStyle w:val="TOC5"/>
        <w:tabs>
          <w:tab w:val="right" w:leader="dot" w:pos="9062"/>
        </w:tabs>
        <w:rPr>
          <w:rFonts w:asciiTheme="minorHAnsi" w:eastAsiaTheme="minorEastAsia" w:hAnsiTheme="minorHAnsi" w:cstheme="minorBidi"/>
          <w:noProof/>
          <w:sz w:val="22"/>
          <w:szCs w:val="22"/>
          <w:lang w:val="fr-BE" w:eastAsia="fr-BE"/>
        </w:rPr>
      </w:pPr>
      <w:hyperlink w:anchor="_Toc510775785" w:history="1">
        <w:r w:rsidR="0038667E" w:rsidRPr="00D83E92">
          <w:rPr>
            <w:rStyle w:val="Hyperlink"/>
            <w:noProof/>
          </w:rPr>
          <w:t>3) De inschrijving in het register</w:t>
        </w:r>
        <w:r w:rsidR="0038667E">
          <w:rPr>
            <w:noProof/>
            <w:webHidden/>
          </w:rPr>
          <w:tab/>
        </w:r>
        <w:r w:rsidR="00F377C3">
          <w:rPr>
            <w:noProof/>
            <w:webHidden/>
          </w:rPr>
          <w:t>28</w:t>
        </w:r>
      </w:hyperlink>
    </w:p>
    <w:p w:rsidR="0038667E" w:rsidRDefault="00CC2BF4">
      <w:pPr>
        <w:pStyle w:val="TOC5"/>
        <w:tabs>
          <w:tab w:val="right" w:leader="dot" w:pos="9062"/>
        </w:tabs>
        <w:rPr>
          <w:rFonts w:asciiTheme="minorHAnsi" w:eastAsiaTheme="minorEastAsia" w:hAnsiTheme="minorHAnsi" w:cstheme="minorBidi"/>
          <w:noProof/>
          <w:sz w:val="22"/>
          <w:szCs w:val="22"/>
          <w:lang w:val="fr-BE" w:eastAsia="fr-BE"/>
        </w:rPr>
      </w:pPr>
      <w:hyperlink w:anchor="_Toc510775786" w:history="1">
        <w:r w:rsidR="0038667E" w:rsidRPr="00D83E92">
          <w:rPr>
            <w:rStyle w:val="Hyperlink"/>
            <w:noProof/>
          </w:rPr>
          <w:t>4) Andere opmerkingen</w:t>
        </w:r>
        <w:r w:rsidR="0038667E">
          <w:rPr>
            <w:noProof/>
            <w:webHidden/>
          </w:rPr>
          <w:tab/>
        </w:r>
        <w:r w:rsidR="00F377C3">
          <w:rPr>
            <w:noProof/>
            <w:webHidden/>
          </w:rPr>
          <w:t>30</w:t>
        </w:r>
      </w:hyperlink>
    </w:p>
    <w:p w:rsidR="0038667E" w:rsidRDefault="00CC2BF4">
      <w:pPr>
        <w:pStyle w:val="TOC4"/>
        <w:tabs>
          <w:tab w:val="right" w:leader="dot" w:pos="9062"/>
        </w:tabs>
        <w:rPr>
          <w:rFonts w:asciiTheme="minorHAnsi" w:eastAsiaTheme="minorEastAsia" w:hAnsiTheme="minorHAnsi" w:cstheme="minorBidi"/>
          <w:noProof/>
          <w:sz w:val="22"/>
          <w:szCs w:val="22"/>
          <w:lang w:val="fr-BE" w:eastAsia="fr-BE"/>
        </w:rPr>
      </w:pPr>
      <w:hyperlink w:anchor="_Toc510775787" w:history="1">
        <w:r w:rsidR="0038667E" w:rsidRPr="00D83E92">
          <w:rPr>
            <w:rStyle w:val="Hyperlink"/>
            <w:noProof/>
            <w:lang w:val="nl-NL"/>
          </w:rPr>
          <w:t>3.2. De regel van de continuïteit  van de bevoegdheid</w:t>
        </w:r>
        <w:r w:rsidR="0038667E">
          <w:rPr>
            <w:noProof/>
            <w:webHidden/>
          </w:rPr>
          <w:tab/>
        </w:r>
        <w:r w:rsidR="008E56AF">
          <w:rPr>
            <w:noProof/>
            <w:webHidden/>
          </w:rPr>
          <w:t>30</w:t>
        </w:r>
      </w:hyperlink>
    </w:p>
    <w:p w:rsidR="0038667E" w:rsidRDefault="00CC2BF4">
      <w:pPr>
        <w:pStyle w:val="TOC5"/>
        <w:tabs>
          <w:tab w:val="right" w:leader="dot" w:pos="9062"/>
        </w:tabs>
        <w:rPr>
          <w:rFonts w:asciiTheme="minorHAnsi" w:eastAsiaTheme="minorEastAsia" w:hAnsiTheme="minorHAnsi" w:cstheme="minorBidi"/>
          <w:noProof/>
          <w:sz w:val="22"/>
          <w:szCs w:val="22"/>
          <w:lang w:val="fr-BE" w:eastAsia="fr-BE"/>
        </w:rPr>
      </w:pPr>
      <w:hyperlink w:anchor="_Toc510775788" w:history="1">
        <w:r w:rsidR="0038667E" w:rsidRPr="00D83E92">
          <w:rPr>
            <w:rStyle w:val="Hyperlink"/>
            <w:noProof/>
          </w:rPr>
          <w:t>1) De bevoegdheidscontinuïteit van het OCMW van oorspong</w:t>
        </w:r>
        <w:r w:rsidR="0038667E">
          <w:rPr>
            <w:noProof/>
            <w:webHidden/>
          </w:rPr>
          <w:tab/>
        </w:r>
        <w:r w:rsidR="008E56AF">
          <w:rPr>
            <w:noProof/>
            <w:webHidden/>
          </w:rPr>
          <w:t>30</w:t>
        </w:r>
      </w:hyperlink>
    </w:p>
    <w:p w:rsidR="0038667E" w:rsidRDefault="00CC2BF4">
      <w:pPr>
        <w:pStyle w:val="TOC5"/>
        <w:tabs>
          <w:tab w:val="right" w:leader="dot" w:pos="9062"/>
        </w:tabs>
        <w:rPr>
          <w:rFonts w:asciiTheme="minorHAnsi" w:eastAsiaTheme="minorEastAsia" w:hAnsiTheme="minorHAnsi" w:cstheme="minorBidi"/>
          <w:noProof/>
          <w:sz w:val="22"/>
          <w:szCs w:val="22"/>
          <w:lang w:val="fr-BE" w:eastAsia="fr-BE"/>
        </w:rPr>
      </w:pPr>
      <w:hyperlink w:anchor="_Toc510775789" w:history="1">
        <w:r w:rsidR="0038667E" w:rsidRPr="00D83E92">
          <w:rPr>
            <w:rStyle w:val="Hyperlink"/>
            <w:noProof/>
          </w:rPr>
          <w:t>2) Toepassingsvoorwaarden van de regel van de bevoegdheidscontinuïteit</w:t>
        </w:r>
        <w:r w:rsidR="0038667E">
          <w:rPr>
            <w:noProof/>
            <w:webHidden/>
          </w:rPr>
          <w:tab/>
        </w:r>
        <w:r w:rsidR="008E56AF">
          <w:rPr>
            <w:noProof/>
            <w:webHidden/>
          </w:rPr>
          <w:t>.31</w:t>
        </w:r>
      </w:hyperlink>
    </w:p>
    <w:p w:rsidR="0038667E" w:rsidRDefault="00CC2BF4">
      <w:pPr>
        <w:pStyle w:val="TOC5"/>
        <w:tabs>
          <w:tab w:val="right" w:leader="dot" w:pos="9062"/>
        </w:tabs>
        <w:rPr>
          <w:rFonts w:asciiTheme="minorHAnsi" w:eastAsiaTheme="minorEastAsia" w:hAnsiTheme="minorHAnsi" w:cstheme="minorBidi"/>
          <w:noProof/>
          <w:sz w:val="22"/>
          <w:szCs w:val="22"/>
          <w:lang w:val="fr-BE" w:eastAsia="fr-BE"/>
        </w:rPr>
      </w:pPr>
      <w:hyperlink w:anchor="_Toc510775790" w:history="1">
        <w:r w:rsidR="0038667E" w:rsidRPr="00D83E92">
          <w:rPr>
            <w:rStyle w:val="Hyperlink"/>
            <w:noProof/>
          </w:rPr>
          <w:t>3) Onderbreking van de studies</w:t>
        </w:r>
        <w:r w:rsidR="0038667E">
          <w:rPr>
            <w:noProof/>
            <w:webHidden/>
          </w:rPr>
          <w:tab/>
        </w:r>
        <w:r w:rsidR="008E56AF">
          <w:rPr>
            <w:noProof/>
            <w:webHidden/>
          </w:rPr>
          <w:t>31</w:t>
        </w:r>
      </w:hyperlink>
    </w:p>
    <w:p w:rsidR="0038667E" w:rsidRDefault="00CC2BF4">
      <w:pPr>
        <w:pStyle w:val="TOC5"/>
        <w:tabs>
          <w:tab w:val="left" w:pos="1440"/>
          <w:tab w:val="right" w:leader="dot" w:pos="9062"/>
        </w:tabs>
        <w:rPr>
          <w:rFonts w:asciiTheme="minorHAnsi" w:eastAsiaTheme="minorEastAsia" w:hAnsiTheme="minorHAnsi" w:cstheme="minorBidi"/>
          <w:noProof/>
          <w:sz w:val="22"/>
          <w:szCs w:val="22"/>
          <w:lang w:val="fr-BE" w:eastAsia="fr-BE"/>
        </w:rPr>
      </w:pPr>
      <w:hyperlink w:anchor="_Toc510775791" w:history="1">
        <w:r w:rsidR="0038667E" w:rsidRPr="00D83E92">
          <w:rPr>
            <w:rStyle w:val="Hyperlink"/>
            <w:noProof/>
          </w:rPr>
          <w:t>4)</w:t>
        </w:r>
        <w:r w:rsidR="00EA7153">
          <w:rPr>
            <w:rFonts w:asciiTheme="minorHAnsi" w:eastAsiaTheme="minorEastAsia" w:hAnsiTheme="minorHAnsi" w:cstheme="minorBidi"/>
            <w:noProof/>
            <w:sz w:val="22"/>
            <w:szCs w:val="22"/>
            <w:lang w:val="fr-BE" w:eastAsia="fr-BE"/>
          </w:rPr>
          <w:t xml:space="preserve"> </w:t>
        </w:r>
        <w:r w:rsidR="0038667E" w:rsidRPr="00D83E92">
          <w:rPr>
            <w:rStyle w:val="Hyperlink"/>
            <w:noProof/>
          </w:rPr>
          <w:t>Bijzonder geval</w:t>
        </w:r>
        <w:r w:rsidR="0038667E">
          <w:rPr>
            <w:noProof/>
            <w:webHidden/>
          </w:rPr>
          <w:tab/>
        </w:r>
        <w:r w:rsidR="008E56AF">
          <w:rPr>
            <w:noProof/>
            <w:webHidden/>
          </w:rPr>
          <w:t>32</w:t>
        </w:r>
      </w:hyperlink>
    </w:p>
    <w:p w:rsidR="0038667E" w:rsidRDefault="00CC2BF4">
      <w:pPr>
        <w:pStyle w:val="TOC2"/>
        <w:tabs>
          <w:tab w:val="right" w:leader="dot" w:pos="9062"/>
        </w:tabs>
        <w:rPr>
          <w:rFonts w:asciiTheme="minorHAnsi" w:eastAsiaTheme="minorEastAsia" w:hAnsiTheme="minorHAnsi" w:cstheme="minorBidi"/>
          <w:smallCaps w:val="0"/>
          <w:noProof/>
          <w:sz w:val="22"/>
          <w:szCs w:val="22"/>
          <w:lang w:val="fr-BE" w:eastAsia="fr-BE"/>
        </w:rPr>
      </w:pPr>
      <w:hyperlink w:anchor="_Toc510775792" w:history="1">
        <w:r w:rsidR="0038667E" w:rsidRPr="00D83E92">
          <w:rPr>
            <w:rStyle w:val="Hyperlink"/>
            <w:noProof/>
            <w:lang w:val="nl-NL"/>
          </w:rPr>
          <w:t>5. Conflicten inzake asielzoekers en personen die een opvangstructuur verlaten</w:t>
        </w:r>
        <w:r w:rsidR="0038667E">
          <w:rPr>
            <w:noProof/>
            <w:webHidden/>
          </w:rPr>
          <w:tab/>
        </w:r>
        <w:r w:rsidR="008E56AF">
          <w:rPr>
            <w:noProof/>
            <w:webHidden/>
          </w:rPr>
          <w:t>35</w:t>
        </w:r>
      </w:hyperlink>
    </w:p>
    <w:p w:rsidR="0038667E" w:rsidRDefault="00CC2BF4">
      <w:pPr>
        <w:pStyle w:val="TOC3"/>
        <w:tabs>
          <w:tab w:val="right" w:leader="dot" w:pos="9062"/>
        </w:tabs>
        <w:rPr>
          <w:rFonts w:asciiTheme="minorHAnsi" w:eastAsiaTheme="minorEastAsia" w:hAnsiTheme="minorHAnsi" w:cstheme="minorBidi"/>
          <w:i w:val="0"/>
          <w:iCs w:val="0"/>
          <w:noProof/>
          <w:sz w:val="22"/>
          <w:szCs w:val="22"/>
          <w:lang w:val="fr-BE" w:eastAsia="fr-BE"/>
        </w:rPr>
      </w:pPr>
      <w:hyperlink w:anchor="_Toc510775793" w:history="1">
        <w:r w:rsidR="0038667E" w:rsidRPr="00D83E92">
          <w:rPr>
            <w:rStyle w:val="Hyperlink"/>
            <w:b/>
            <w:bCs/>
            <w:noProof/>
            <w:lang w:val="nl-NL"/>
          </w:rPr>
          <w:t>1. Aantal dossiers in 2017</w:t>
        </w:r>
        <w:r w:rsidR="0038667E">
          <w:rPr>
            <w:noProof/>
            <w:webHidden/>
          </w:rPr>
          <w:tab/>
        </w:r>
        <w:r w:rsidR="008E56AF">
          <w:rPr>
            <w:noProof/>
            <w:webHidden/>
          </w:rPr>
          <w:t>35</w:t>
        </w:r>
      </w:hyperlink>
    </w:p>
    <w:p w:rsidR="0038667E" w:rsidRDefault="00CC2BF4">
      <w:pPr>
        <w:pStyle w:val="TOC3"/>
        <w:tabs>
          <w:tab w:val="right" w:leader="dot" w:pos="9062"/>
        </w:tabs>
        <w:rPr>
          <w:rFonts w:asciiTheme="minorHAnsi" w:eastAsiaTheme="minorEastAsia" w:hAnsiTheme="minorHAnsi" w:cstheme="minorBidi"/>
          <w:i w:val="0"/>
          <w:iCs w:val="0"/>
          <w:noProof/>
          <w:sz w:val="22"/>
          <w:szCs w:val="22"/>
          <w:lang w:val="fr-BE" w:eastAsia="fr-BE"/>
        </w:rPr>
      </w:pPr>
      <w:hyperlink w:anchor="_Toc510775794" w:history="1">
        <w:r w:rsidR="0038667E" w:rsidRPr="00D83E92">
          <w:rPr>
            <w:rStyle w:val="Hyperlink"/>
            <w:b/>
            <w:bCs/>
            <w:noProof/>
            <w:lang w:val="nl-NL"/>
          </w:rPr>
          <w:t>2. De bevoegdheidsregel van artikel 2, §5, van de wet van 1965 april betreffende het ten laste nemen van de steun verleend door de openbare centra voor maatschappelijk welzijn</w:t>
        </w:r>
        <w:r w:rsidR="0038667E">
          <w:rPr>
            <w:noProof/>
            <w:webHidden/>
          </w:rPr>
          <w:tab/>
        </w:r>
        <w:r w:rsidR="008E56AF">
          <w:rPr>
            <w:noProof/>
            <w:webHidden/>
          </w:rPr>
          <w:t>35</w:t>
        </w:r>
      </w:hyperlink>
    </w:p>
    <w:p w:rsidR="0038667E" w:rsidRDefault="00CC2BF4">
      <w:pPr>
        <w:pStyle w:val="TOC4"/>
        <w:tabs>
          <w:tab w:val="right" w:leader="dot" w:pos="9062"/>
        </w:tabs>
        <w:rPr>
          <w:rFonts w:asciiTheme="minorHAnsi" w:eastAsiaTheme="minorEastAsia" w:hAnsiTheme="minorHAnsi" w:cstheme="minorBidi"/>
          <w:noProof/>
          <w:sz w:val="22"/>
          <w:szCs w:val="22"/>
          <w:lang w:val="fr-BE" w:eastAsia="fr-BE"/>
        </w:rPr>
      </w:pPr>
      <w:hyperlink w:anchor="_Toc510775795" w:history="1">
        <w:r w:rsidR="0038667E" w:rsidRPr="00D83E92">
          <w:rPr>
            <w:rStyle w:val="Hyperlink"/>
            <w:noProof/>
            <w:lang w:val="nl-NL"/>
          </w:rPr>
          <w:t>1. Wettelijke bepaling</w:t>
        </w:r>
        <w:r w:rsidR="0038667E">
          <w:rPr>
            <w:noProof/>
            <w:webHidden/>
          </w:rPr>
          <w:tab/>
        </w:r>
        <w:r w:rsidR="008E56AF">
          <w:rPr>
            <w:noProof/>
            <w:webHidden/>
          </w:rPr>
          <w:t>35</w:t>
        </w:r>
      </w:hyperlink>
    </w:p>
    <w:p w:rsidR="0038667E" w:rsidRDefault="00CC2BF4">
      <w:pPr>
        <w:pStyle w:val="TOC4"/>
        <w:tabs>
          <w:tab w:val="right" w:leader="dot" w:pos="9062"/>
        </w:tabs>
        <w:rPr>
          <w:rFonts w:asciiTheme="minorHAnsi" w:eastAsiaTheme="minorEastAsia" w:hAnsiTheme="minorHAnsi" w:cstheme="minorBidi"/>
          <w:noProof/>
          <w:sz w:val="22"/>
          <w:szCs w:val="22"/>
          <w:lang w:val="fr-BE" w:eastAsia="fr-BE"/>
        </w:rPr>
      </w:pPr>
      <w:hyperlink w:anchor="_Toc510775796" w:history="1">
        <w:r w:rsidR="0038667E" w:rsidRPr="00D83E92">
          <w:rPr>
            <w:rStyle w:val="Hyperlink"/>
            <w:noProof/>
            <w:lang w:val="nl-NL" w:eastAsia="fr-FR"/>
          </w:rPr>
          <w:t>2. Opmerkingen over de toepassing van artikel 2, § 5, van de wet van 2 april 1965</w:t>
        </w:r>
        <w:r w:rsidR="0038667E">
          <w:rPr>
            <w:noProof/>
            <w:webHidden/>
          </w:rPr>
          <w:tab/>
        </w:r>
        <w:r w:rsidR="008E56AF">
          <w:rPr>
            <w:noProof/>
            <w:webHidden/>
          </w:rPr>
          <w:t>36</w:t>
        </w:r>
      </w:hyperlink>
    </w:p>
    <w:p w:rsidR="0038667E" w:rsidRDefault="00CC2BF4">
      <w:pPr>
        <w:pStyle w:val="TOC5"/>
        <w:tabs>
          <w:tab w:val="right" w:leader="dot" w:pos="9062"/>
        </w:tabs>
        <w:rPr>
          <w:rFonts w:asciiTheme="minorHAnsi" w:eastAsiaTheme="minorEastAsia" w:hAnsiTheme="minorHAnsi" w:cstheme="minorBidi"/>
          <w:noProof/>
          <w:sz w:val="22"/>
          <w:szCs w:val="22"/>
          <w:lang w:val="fr-BE" w:eastAsia="fr-BE"/>
        </w:rPr>
      </w:pPr>
      <w:hyperlink w:anchor="_Toc510775797" w:history="1">
        <w:r w:rsidR="0038667E" w:rsidRPr="00D83E92">
          <w:rPr>
            <w:rStyle w:val="Hyperlink"/>
            <w:noProof/>
            <w:lang w:eastAsia="fr-FR"/>
          </w:rPr>
          <w:t>2.1. De inschrijving in het wachtregister</w:t>
        </w:r>
        <w:r w:rsidR="0038667E">
          <w:rPr>
            <w:noProof/>
            <w:webHidden/>
          </w:rPr>
          <w:tab/>
        </w:r>
        <w:r w:rsidR="008E56AF">
          <w:rPr>
            <w:noProof/>
            <w:webHidden/>
          </w:rPr>
          <w:t>36</w:t>
        </w:r>
      </w:hyperlink>
    </w:p>
    <w:p w:rsidR="0038667E" w:rsidRDefault="00CC2BF4">
      <w:pPr>
        <w:pStyle w:val="TOC5"/>
        <w:tabs>
          <w:tab w:val="right" w:leader="dot" w:pos="9062"/>
        </w:tabs>
        <w:rPr>
          <w:rFonts w:asciiTheme="minorHAnsi" w:eastAsiaTheme="minorEastAsia" w:hAnsiTheme="minorHAnsi" w:cstheme="minorBidi"/>
          <w:noProof/>
          <w:sz w:val="22"/>
          <w:szCs w:val="22"/>
          <w:lang w:val="fr-BE" w:eastAsia="fr-BE"/>
        </w:rPr>
      </w:pPr>
      <w:hyperlink w:anchor="_Toc510775798" w:history="1">
        <w:r w:rsidR="0038667E" w:rsidRPr="00D83E92">
          <w:rPr>
            <w:rStyle w:val="Hyperlink"/>
            <w:noProof/>
          </w:rPr>
          <w:t>2.2. Toepassingsgebied van artikel 2, §5</w:t>
        </w:r>
        <w:r w:rsidR="0038667E">
          <w:rPr>
            <w:noProof/>
            <w:webHidden/>
          </w:rPr>
          <w:tab/>
        </w:r>
        <w:r w:rsidR="008E56AF">
          <w:rPr>
            <w:noProof/>
            <w:webHidden/>
          </w:rPr>
          <w:t>38</w:t>
        </w:r>
      </w:hyperlink>
    </w:p>
    <w:p w:rsidR="0038667E" w:rsidRDefault="00CC2BF4">
      <w:pPr>
        <w:pStyle w:val="TOC5"/>
        <w:tabs>
          <w:tab w:val="right" w:leader="dot" w:pos="9062"/>
        </w:tabs>
        <w:rPr>
          <w:rFonts w:asciiTheme="minorHAnsi" w:eastAsiaTheme="minorEastAsia" w:hAnsiTheme="minorHAnsi" w:cstheme="minorBidi"/>
          <w:noProof/>
          <w:sz w:val="22"/>
          <w:szCs w:val="22"/>
          <w:lang w:val="fr-BE" w:eastAsia="fr-BE"/>
        </w:rPr>
      </w:pPr>
      <w:hyperlink w:anchor="_Toc510775799" w:history="1">
        <w:r w:rsidR="0038667E" w:rsidRPr="00D83E92">
          <w:rPr>
            <w:rStyle w:val="Hyperlink"/>
            <w:noProof/>
          </w:rPr>
          <w:t>2.3. Personen die illegaal op het grondgebied verblijven</w:t>
        </w:r>
        <w:r w:rsidR="0038667E">
          <w:rPr>
            <w:noProof/>
            <w:webHidden/>
          </w:rPr>
          <w:tab/>
        </w:r>
        <w:r w:rsidR="008E56AF">
          <w:rPr>
            <w:noProof/>
            <w:webHidden/>
          </w:rPr>
          <w:t>38</w:t>
        </w:r>
      </w:hyperlink>
    </w:p>
    <w:p w:rsidR="0038667E" w:rsidRDefault="00CC2BF4">
      <w:pPr>
        <w:pStyle w:val="TOC3"/>
        <w:tabs>
          <w:tab w:val="right" w:leader="dot" w:pos="9062"/>
        </w:tabs>
        <w:rPr>
          <w:rFonts w:asciiTheme="minorHAnsi" w:eastAsiaTheme="minorEastAsia" w:hAnsiTheme="minorHAnsi" w:cstheme="minorBidi"/>
          <w:i w:val="0"/>
          <w:iCs w:val="0"/>
          <w:noProof/>
          <w:sz w:val="22"/>
          <w:szCs w:val="22"/>
          <w:lang w:val="fr-BE" w:eastAsia="fr-BE"/>
        </w:rPr>
      </w:pPr>
      <w:hyperlink w:anchor="_Toc510775800" w:history="1">
        <w:r w:rsidR="0038667E" w:rsidRPr="00D83E92">
          <w:rPr>
            <w:rStyle w:val="Hyperlink"/>
            <w:b/>
            <w:bCs/>
            <w:noProof/>
            <w:lang w:val="nl-NL"/>
          </w:rPr>
          <w:t>3. De bevoegdheidsregel van artikel 2, § 8, van de wet van 2 april 1965 voor de toekenning van een huurwaarborg aan de personen die een opvangstructuur verlaten.</w:t>
        </w:r>
        <w:r w:rsidR="0038667E">
          <w:rPr>
            <w:noProof/>
            <w:webHidden/>
          </w:rPr>
          <w:tab/>
        </w:r>
        <w:r w:rsidR="0038667E">
          <w:rPr>
            <w:noProof/>
            <w:webHidden/>
          </w:rPr>
          <w:fldChar w:fldCharType="begin"/>
        </w:r>
        <w:r w:rsidR="0038667E">
          <w:rPr>
            <w:noProof/>
            <w:webHidden/>
          </w:rPr>
          <w:instrText xml:space="preserve"> PAGEREF _Toc510775800 \h </w:instrText>
        </w:r>
        <w:r w:rsidR="0038667E">
          <w:rPr>
            <w:noProof/>
            <w:webHidden/>
          </w:rPr>
        </w:r>
        <w:r w:rsidR="0038667E">
          <w:rPr>
            <w:noProof/>
            <w:webHidden/>
          </w:rPr>
          <w:fldChar w:fldCharType="separate"/>
        </w:r>
        <w:r w:rsidR="008E56AF">
          <w:rPr>
            <w:noProof/>
            <w:webHidden/>
          </w:rPr>
          <w:t>..39</w:t>
        </w:r>
        <w:r w:rsidR="0038667E">
          <w:rPr>
            <w:noProof/>
            <w:webHidden/>
          </w:rPr>
          <w:fldChar w:fldCharType="end"/>
        </w:r>
      </w:hyperlink>
    </w:p>
    <w:p w:rsidR="0038667E" w:rsidRDefault="00CC2BF4">
      <w:pPr>
        <w:pStyle w:val="TOC4"/>
        <w:tabs>
          <w:tab w:val="right" w:leader="dot" w:pos="9062"/>
        </w:tabs>
        <w:rPr>
          <w:rFonts w:asciiTheme="minorHAnsi" w:eastAsiaTheme="minorEastAsia" w:hAnsiTheme="minorHAnsi" w:cstheme="minorBidi"/>
          <w:noProof/>
          <w:sz w:val="22"/>
          <w:szCs w:val="22"/>
          <w:lang w:val="fr-BE" w:eastAsia="fr-BE"/>
        </w:rPr>
      </w:pPr>
      <w:hyperlink w:anchor="_Toc510775801" w:history="1">
        <w:r w:rsidR="0038667E" w:rsidRPr="00D83E92">
          <w:rPr>
            <w:rStyle w:val="Hyperlink"/>
            <w:rFonts w:cs="Arial"/>
            <w:noProof/>
            <w:lang w:val="nl-NL"/>
          </w:rPr>
          <w:t>1. Wettelijke bepaling</w:t>
        </w:r>
        <w:r w:rsidR="0038667E">
          <w:rPr>
            <w:noProof/>
            <w:webHidden/>
          </w:rPr>
          <w:tab/>
        </w:r>
        <w:r w:rsidR="008E56AF">
          <w:rPr>
            <w:noProof/>
            <w:webHidden/>
          </w:rPr>
          <w:t>39</w:t>
        </w:r>
      </w:hyperlink>
    </w:p>
    <w:p w:rsidR="0038667E" w:rsidRDefault="00CC2BF4">
      <w:pPr>
        <w:pStyle w:val="TOC4"/>
        <w:tabs>
          <w:tab w:val="right" w:leader="dot" w:pos="9062"/>
        </w:tabs>
        <w:rPr>
          <w:rFonts w:asciiTheme="minorHAnsi" w:eastAsiaTheme="minorEastAsia" w:hAnsiTheme="minorHAnsi" w:cstheme="minorBidi"/>
          <w:noProof/>
          <w:sz w:val="22"/>
          <w:szCs w:val="22"/>
          <w:lang w:val="fr-BE" w:eastAsia="fr-BE"/>
        </w:rPr>
      </w:pPr>
      <w:hyperlink w:anchor="_Toc510775802" w:history="1">
        <w:r w:rsidR="0038667E" w:rsidRPr="00D83E92">
          <w:rPr>
            <w:rStyle w:val="Hyperlink"/>
            <w:noProof/>
            <w:lang w:val="nl-NL"/>
          </w:rPr>
          <w:t>2. Opmerkingen over de toepassing van artikel 2, § 8, van de wet van 02/04/65</w:t>
        </w:r>
        <w:r w:rsidR="0038667E">
          <w:rPr>
            <w:noProof/>
            <w:webHidden/>
          </w:rPr>
          <w:tab/>
        </w:r>
        <w:r w:rsidR="008E56AF">
          <w:rPr>
            <w:noProof/>
            <w:webHidden/>
          </w:rPr>
          <w:t>39</w:t>
        </w:r>
      </w:hyperlink>
    </w:p>
    <w:p w:rsidR="0038667E" w:rsidRDefault="00CC2BF4">
      <w:pPr>
        <w:pStyle w:val="TOC5"/>
        <w:tabs>
          <w:tab w:val="right" w:leader="dot" w:pos="9062"/>
        </w:tabs>
        <w:rPr>
          <w:rFonts w:asciiTheme="minorHAnsi" w:eastAsiaTheme="minorEastAsia" w:hAnsiTheme="minorHAnsi" w:cstheme="minorBidi"/>
          <w:noProof/>
          <w:sz w:val="22"/>
          <w:szCs w:val="22"/>
          <w:lang w:val="fr-BE" w:eastAsia="fr-BE"/>
        </w:rPr>
      </w:pPr>
      <w:hyperlink w:anchor="_Toc510775803" w:history="1">
        <w:r w:rsidR="0038667E" w:rsidRPr="00D83E92">
          <w:rPr>
            <w:rStyle w:val="Hyperlink"/>
            <w:noProof/>
          </w:rPr>
          <w:t>2.1. Toepassingsgebied van artikel 2, § 8, van de wet van 02/04/65</w:t>
        </w:r>
        <w:r w:rsidR="0038667E">
          <w:rPr>
            <w:noProof/>
            <w:webHidden/>
          </w:rPr>
          <w:tab/>
        </w:r>
        <w:r w:rsidR="008E56AF">
          <w:rPr>
            <w:noProof/>
            <w:webHidden/>
          </w:rPr>
          <w:t>39</w:t>
        </w:r>
      </w:hyperlink>
    </w:p>
    <w:p w:rsidR="0038667E" w:rsidRDefault="00CC2BF4">
      <w:pPr>
        <w:pStyle w:val="TOC5"/>
        <w:tabs>
          <w:tab w:val="right" w:leader="dot" w:pos="9062"/>
        </w:tabs>
        <w:rPr>
          <w:rFonts w:asciiTheme="minorHAnsi" w:eastAsiaTheme="minorEastAsia" w:hAnsiTheme="minorHAnsi" w:cstheme="minorBidi"/>
          <w:noProof/>
          <w:sz w:val="22"/>
          <w:szCs w:val="22"/>
          <w:lang w:val="fr-BE" w:eastAsia="fr-BE"/>
        </w:rPr>
      </w:pPr>
      <w:hyperlink w:anchor="_Toc510775804" w:history="1">
        <w:r w:rsidR="0038667E" w:rsidRPr="00D83E92">
          <w:rPr>
            <w:rStyle w:val="Hyperlink"/>
            <w:noProof/>
          </w:rPr>
          <w:t>2.2. Het OCMW bevoegd voor de huurwaarborg</w:t>
        </w:r>
        <w:r w:rsidR="0038667E">
          <w:rPr>
            <w:noProof/>
            <w:webHidden/>
          </w:rPr>
          <w:tab/>
        </w:r>
        <w:r w:rsidR="008E56AF">
          <w:rPr>
            <w:noProof/>
            <w:webHidden/>
          </w:rPr>
          <w:t>40</w:t>
        </w:r>
      </w:hyperlink>
    </w:p>
    <w:p w:rsidR="0038667E" w:rsidRDefault="00CC2BF4">
      <w:pPr>
        <w:pStyle w:val="TOC5"/>
        <w:tabs>
          <w:tab w:val="right" w:leader="dot" w:pos="9062"/>
        </w:tabs>
        <w:rPr>
          <w:rFonts w:asciiTheme="minorHAnsi" w:eastAsiaTheme="minorEastAsia" w:hAnsiTheme="minorHAnsi" w:cstheme="minorBidi"/>
          <w:noProof/>
          <w:sz w:val="22"/>
          <w:szCs w:val="22"/>
          <w:lang w:val="fr-BE" w:eastAsia="fr-BE"/>
        </w:rPr>
      </w:pPr>
      <w:hyperlink w:anchor="_Toc510775805" w:history="1">
        <w:r w:rsidR="0038667E" w:rsidRPr="00D83E92">
          <w:rPr>
            <w:rStyle w:val="Hyperlink"/>
            <w:noProof/>
          </w:rPr>
          <w:t>2.3. Het OCMW dat bevoegd is om de andere vormen van maatschappelijke hulp dan de huurwaarborg toe te kennen aan de personen die de opvangstructuren verlaten</w:t>
        </w:r>
        <w:r w:rsidR="0038667E">
          <w:rPr>
            <w:noProof/>
            <w:webHidden/>
          </w:rPr>
          <w:tab/>
        </w:r>
        <w:r w:rsidR="008E56AF">
          <w:rPr>
            <w:noProof/>
            <w:webHidden/>
          </w:rPr>
          <w:t>40</w:t>
        </w:r>
      </w:hyperlink>
    </w:p>
    <w:p w:rsidR="0038667E" w:rsidRDefault="00CC2BF4">
      <w:pPr>
        <w:pStyle w:val="TOC2"/>
        <w:tabs>
          <w:tab w:val="right" w:leader="dot" w:pos="9062"/>
        </w:tabs>
        <w:rPr>
          <w:rFonts w:asciiTheme="minorHAnsi" w:eastAsiaTheme="minorEastAsia" w:hAnsiTheme="minorHAnsi" w:cstheme="minorBidi"/>
          <w:smallCaps w:val="0"/>
          <w:noProof/>
          <w:sz w:val="22"/>
          <w:szCs w:val="22"/>
          <w:lang w:val="fr-BE" w:eastAsia="fr-BE"/>
        </w:rPr>
      </w:pPr>
      <w:hyperlink w:anchor="_Toc510775806" w:history="1">
        <w:r w:rsidR="0038667E" w:rsidRPr="00D83E92">
          <w:rPr>
            <w:rStyle w:val="Hyperlink"/>
            <w:noProof/>
            <w:lang w:val="nl-NL"/>
          </w:rPr>
          <w:t>6. Conflicten betreffende daklozen</w:t>
        </w:r>
        <w:r w:rsidR="0038667E">
          <w:rPr>
            <w:noProof/>
            <w:webHidden/>
          </w:rPr>
          <w:tab/>
        </w:r>
        <w:r w:rsidR="008E56AF">
          <w:rPr>
            <w:noProof/>
            <w:webHidden/>
          </w:rPr>
          <w:t>43</w:t>
        </w:r>
      </w:hyperlink>
    </w:p>
    <w:p w:rsidR="0038667E" w:rsidRDefault="00CC2BF4">
      <w:pPr>
        <w:pStyle w:val="TOC3"/>
        <w:tabs>
          <w:tab w:val="right" w:leader="dot" w:pos="9062"/>
        </w:tabs>
        <w:rPr>
          <w:rFonts w:asciiTheme="minorHAnsi" w:eastAsiaTheme="minorEastAsia" w:hAnsiTheme="minorHAnsi" w:cstheme="minorBidi"/>
          <w:i w:val="0"/>
          <w:iCs w:val="0"/>
          <w:noProof/>
          <w:sz w:val="22"/>
          <w:szCs w:val="22"/>
          <w:lang w:val="fr-BE" w:eastAsia="fr-BE"/>
        </w:rPr>
      </w:pPr>
      <w:hyperlink w:anchor="_Toc510775807" w:history="1">
        <w:r w:rsidR="0038667E" w:rsidRPr="00D83E92">
          <w:rPr>
            <w:rStyle w:val="Hyperlink"/>
            <w:b/>
            <w:bCs/>
            <w:noProof/>
            <w:lang w:val="nl-NL"/>
          </w:rPr>
          <w:t>1. Aantal dossiers in 2017</w:t>
        </w:r>
        <w:r w:rsidR="0038667E">
          <w:rPr>
            <w:noProof/>
            <w:webHidden/>
          </w:rPr>
          <w:tab/>
        </w:r>
        <w:r w:rsidR="00855C1D">
          <w:rPr>
            <w:noProof/>
            <w:webHidden/>
          </w:rPr>
          <w:t>43</w:t>
        </w:r>
      </w:hyperlink>
    </w:p>
    <w:p w:rsidR="0038667E" w:rsidRDefault="00CC2BF4">
      <w:pPr>
        <w:pStyle w:val="TOC3"/>
        <w:tabs>
          <w:tab w:val="right" w:leader="dot" w:pos="9062"/>
        </w:tabs>
        <w:rPr>
          <w:rFonts w:asciiTheme="minorHAnsi" w:eastAsiaTheme="minorEastAsia" w:hAnsiTheme="minorHAnsi" w:cstheme="minorBidi"/>
          <w:i w:val="0"/>
          <w:iCs w:val="0"/>
          <w:noProof/>
          <w:sz w:val="22"/>
          <w:szCs w:val="22"/>
          <w:lang w:val="fr-BE" w:eastAsia="fr-BE"/>
        </w:rPr>
      </w:pPr>
      <w:hyperlink w:anchor="_Toc510775808" w:history="1">
        <w:r w:rsidR="0038667E" w:rsidRPr="00D83E92">
          <w:rPr>
            <w:rStyle w:val="Hyperlink"/>
            <w:b/>
            <w:bCs/>
            <w:noProof/>
            <w:lang w:val="nl-NL"/>
          </w:rPr>
          <w:t>2. Wettelijke bepaling</w:t>
        </w:r>
        <w:r w:rsidR="0038667E">
          <w:rPr>
            <w:noProof/>
            <w:webHidden/>
          </w:rPr>
          <w:tab/>
        </w:r>
        <w:r w:rsidR="00855C1D">
          <w:rPr>
            <w:noProof/>
            <w:webHidden/>
          </w:rPr>
          <w:t>43</w:t>
        </w:r>
      </w:hyperlink>
    </w:p>
    <w:p w:rsidR="0038667E" w:rsidRDefault="00CC2BF4">
      <w:pPr>
        <w:pStyle w:val="TOC3"/>
        <w:tabs>
          <w:tab w:val="right" w:leader="dot" w:pos="9062"/>
        </w:tabs>
        <w:rPr>
          <w:rFonts w:asciiTheme="minorHAnsi" w:eastAsiaTheme="minorEastAsia" w:hAnsiTheme="minorHAnsi" w:cstheme="minorBidi"/>
          <w:i w:val="0"/>
          <w:iCs w:val="0"/>
          <w:noProof/>
          <w:sz w:val="22"/>
          <w:szCs w:val="22"/>
          <w:lang w:val="fr-BE" w:eastAsia="fr-BE"/>
        </w:rPr>
      </w:pPr>
      <w:hyperlink w:anchor="_Toc510775809" w:history="1">
        <w:r w:rsidR="0038667E" w:rsidRPr="00D83E92">
          <w:rPr>
            <w:rStyle w:val="Hyperlink"/>
            <w:b/>
            <w:bCs/>
            <w:noProof/>
            <w:lang w:val="nl-NL"/>
          </w:rPr>
          <w:t>3. Opmerkingen over de toepassing van artikel 2, § 7, van de wet van 2 april 1965</w:t>
        </w:r>
        <w:r w:rsidR="0038667E">
          <w:rPr>
            <w:noProof/>
            <w:webHidden/>
          </w:rPr>
          <w:tab/>
        </w:r>
        <w:r w:rsidR="00855C1D">
          <w:rPr>
            <w:noProof/>
            <w:webHidden/>
          </w:rPr>
          <w:t>43</w:t>
        </w:r>
      </w:hyperlink>
    </w:p>
    <w:p w:rsidR="0038667E" w:rsidRDefault="00CC2BF4">
      <w:pPr>
        <w:pStyle w:val="TOC4"/>
        <w:tabs>
          <w:tab w:val="right" w:leader="dot" w:pos="9062"/>
        </w:tabs>
        <w:rPr>
          <w:rFonts w:asciiTheme="minorHAnsi" w:eastAsiaTheme="minorEastAsia" w:hAnsiTheme="minorHAnsi" w:cstheme="minorBidi"/>
          <w:noProof/>
          <w:sz w:val="22"/>
          <w:szCs w:val="22"/>
          <w:lang w:val="fr-BE" w:eastAsia="fr-BE"/>
        </w:rPr>
      </w:pPr>
      <w:hyperlink w:anchor="_Toc510775810" w:history="1">
        <w:r w:rsidR="0038667E" w:rsidRPr="00D83E92">
          <w:rPr>
            <w:rStyle w:val="Hyperlink"/>
            <w:iCs/>
            <w:noProof/>
            <w:lang w:val="nl-NL" w:eastAsia="nl-NL"/>
          </w:rPr>
          <w:t>3.1. Begrip dakloze</w:t>
        </w:r>
        <w:r w:rsidR="0038667E">
          <w:rPr>
            <w:noProof/>
            <w:webHidden/>
          </w:rPr>
          <w:tab/>
        </w:r>
        <w:r w:rsidR="00855C1D">
          <w:rPr>
            <w:noProof/>
            <w:webHidden/>
          </w:rPr>
          <w:t>43</w:t>
        </w:r>
      </w:hyperlink>
    </w:p>
    <w:p w:rsidR="0038667E" w:rsidRDefault="00CC2BF4">
      <w:pPr>
        <w:pStyle w:val="TOC4"/>
        <w:tabs>
          <w:tab w:val="right" w:leader="dot" w:pos="9062"/>
        </w:tabs>
        <w:rPr>
          <w:rFonts w:asciiTheme="minorHAnsi" w:eastAsiaTheme="minorEastAsia" w:hAnsiTheme="minorHAnsi" w:cstheme="minorBidi"/>
          <w:noProof/>
          <w:sz w:val="22"/>
          <w:szCs w:val="22"/>
          <w:lang w:val="fr-BE" w:eastAsia="fr-BE"/>
        </w:rPr>
      </w:pPr>
      <w:hyperlink w:anchor="_Toc510775811" w:history="1">
        <w:r w:rsidR="0038667E" w:rsidRPr="00D83E92">
          <w:rPr>
            <w:rStyle w:val="Hyperlink"/>
            <w:iCs/>
            <w:noProof/>
            <w:lang w:val="nl-NL"/>
          </w:rPr>
          <w:t>3.2. Het bevoegde OCMW</w:t>
        </w:r>
        <w:r w:rsidR="0038667E">
          <w:rPr>
            <w:noProof/>
            <w:webHidden/>
          </w:rPr>
          <w:tab/>
        </w:r>
        <w:r w:rsidR="00855C1D">
          <w:rPr>
            <w:noProof/>
            <w:webHidden/>
          </w:rPr>
          <w:t>44</w:t>
        </w:r>
      </w:hyperlink>
    </w:p>
    <w:p w:rsidR="0038667E" w:rsidRDefault="00CC2BF4">
      <w:pPr>
        <w:pStyle w:val="TOC4"/>
        <w:tabs>
          <w:tab w:val="right" w:leader="dot" w:pos="9062"/>
        </w:tabs>
        <w:rPr>
          <w:rFonts w:asciiTheme="minorHAnsi" w:eastAsiaTheme="minorEastAsia" w:hAnsiTheme="minorHAnsi" w:cstheme="minorBidi"/>
          <w:noProof/>
          <w:sz w:val="22"/>
          <w:szCs w:val="22"/>
          <w:lang w:val="fr-BE" w:eastAsia="fr-BE"/>
        </w:rPr>
      </w:pPr>
      <w:hyperlink w:anchor="_Toc510775812" w:history="1">
        <w:r w:rsidR="0038667E" w:rsidRPr="00D83E92">
          <w:rPr>
            <w:rStyle w:val="Hyperlink"/>
            <w:iCs/>
            <w:noProof/>
            <w:lang w:val="nl-NL" w:eastAsia="fr-FR"/>
          </w:rPr>
          <w:t>3.3. Het referentieadres</w:t>
        </w:r>
        <w:r w:rsidR="0038667E">
          <w:rPr>
            <w:noProof/>
            <w:webHidden/>
          </w:rPr>
          <w:tab/>
        </w:r>
        <w:r w:rsidR="00855C1D">
          <w:rPr>
            <w:noProof/>
            <w:webHidden/>
          </w:rPr>
          <w:t>44</w:t>
        </w:r>
      </w:hyperlink>
    </w:p>
    <w:p w:rsidR="0038667E" w:rsidRDefault="00CC2BF4">
      <w:pPr>
        <w:pStyle w:val="TOC4"/>
        <w:tabs>
          <w:tab w:val="right" w:leader="dot" w:pos="9062"/>
        </w:tabs>
        <w:rPr>
          <w:rFonts w:asciiTheme="minorHAnsi" w:eastAsiaTheme="minorEastAsia" w:hAnsiTheme="minorHAnsi" w:cstheme="minorBidi"/>
          <w:noProof/>
          <w:sz w:val="22"/>
          <w:szCs w:val="22"/>
          <w:lang w:val="fr-BE" w:eastAsia="fr-BE"/>
        </w:rPr>
      </w:pPr>
      <w:hyperlink w:anchor="_Toc510775813" w:history="1">
        <w:r w:rsidR="0038667E" w:rsidRPr="00D83E92">
          <w:rPr>
            <w:rStyle w:val="Hyperlink"/>
            <w:noProof/>
            <w:lang w:val="nl-NL"/>
          </w:rPr>
          <w:t>3.4. De dakloze verblijft in één van de instellingen bedoeld in artikel 2, §1, van dezelfde wet</w:t>
        </w:r>
        <w:r w:rsidR="0038667E">
          <w:rPr>
            <w:noProof/>
            <w:webHidden/>
          </w:rPr>
          <w:tab/>
        </w:r>
        <w:r w:rsidR="00855C1D">
          <w:rPr>
            <w:noProof/>
            <w:webHidden/>
          </w:rPr>
          <w:t>44</w:t>
        </w:r>
      </w:hyperlink>
    </w:p>
    <w:p w:rsidR="0038667E" w:rsidRDefault="00CC2BF4">
      <w:pPr>
        <w:pStyle w:val="TOC2"/>
        <w:tabs>
          <w:tab w:val="left" w:pos="720"/>
          <w:tab w:val="right" w:leader="dot" w:pos="9062"/>
        </w:tabs>
        <w:rPr>
          <w:rFonts w:asciiTheme="minorHAnsi" w:eastAsiaTheme="minorEastAsia" w:hAnsiTheme="minorHAnsi" w:cstheme="minorBidi"/>
          <w:smallCaps w:val="0"/>
          <w:noProof/>
          <w:sz w:val="22"/>
          <w:szCs w:val="22"/>
          <w:lang w:val="fr-BE" w:eastAsia="fr-BE"/>
        </w:rPr>
      </w:pPr>
      <w:hyperlink w:anchor="_Toc510775814" w:history="1">
        <w:r w:rsidR="0038667E" w:rsidRPr="00D83E92">
          <w:rPr>
            <w:rStyle w:val="Hyperlink"/>
            <w:noProof/>
          </w:rPr>
          <w:t>7.</w:t>
        </w:r>
        <w:r w:rsidR="0038667E">
          <w:rPr>
            <w:rFonts w:asciiTheme="minorHAnsi" w:eastAsiaTheme="minorEastAsia" w:hAnsiTheme="minorHAnsi" w:cstheme="minorBidi"/>
            <w:smallCaps w:val="0"/>
            <w:noProof/>
            <w:sz w:val="22"/>
            <w:szCs w:val="22"/>
            <w:lang w:val="fr-BE" w:eastAsia="fr-BE"/>
          </w:rPr>
          <w:tab/>
        </w:r>
        <w:r w:rsidR="0038667E" w:rsidRPr="00D83E92">
          <w:rPr>
            <w:rStyle w:val="Hyperlink"/>
            <w:noProof/>
          </w:rPr>
          <w:t>De sanctie’s</w:t>
        </w:r>
        <w:r w:rsidR="0038667E">
          <w:rPr>
            <w:noProof/>
            <w:webHidden/>
          </w:rPr>
          <w:tab/>
        </w:r>
        <w:r w:rsidR="00855C1D">
          <w:rPr>
            <w:noProof/>
            <w:webHidden/>
          </w:rPr>
          <w:t>45</w:t>
        </w:r>
      </w:hyperlink>
    </w:p>
    <w:p w:rsidR="0038667E" w:rsidRDefault="00CC2BF4">
      <w:pPr>
        <w:pStyle w:val="TOC3"/>
        <w:tabs>
          <w:tab w:val="right" w:leader="dot" w:pos="9062"/>
        </w:tabs>
        <w:rPr>
          <w:rFonts w:asciiTheme="minorHAnsi" w:eastAsiaTheme="minorEastAsia" w:hAnsiTheme="minorHAnsi" w:cstheme="minorBidi"/>
          <w:i w:val="0"/>
          <w:iCs w:val="0"/>
          <w:noProof/>
          <w:sz w:val="22"/>
          <w:szCs w:val="22"/>
          <w:lang w:val="fr-BE" w:eastAsia="fr-BE"/>
        </w:rPr>
      </w:pPr>
      <w:hyperlink w:anchor="_Toc510775815" w:history="1">
        <w:r w:rsidR="0038667E" w:rsidRPr="00D83E92">
          <w:rPr>
            <w:rStyle w:val="Hyperlink"/>
            <w:b/>
            <w:bCs/>
            <w:noProof/>
            <w:lang w:val="nl-NL"/>
          </w:rPr>
          <w:t>1. Aantal dossiers in 2017</w:t>
        </w:r>
        <w:r w:rsidR="0038667E">
          <w:rPr>
            <w:noProof/>
            <w:webHidden/>
          </w:rPr>
          <w:tab/>
        </w:r>
        <w:r w:rsidR="00855C1D">
          <w:rPr>
            <w:noProof/>
            <w:webHidden/>
          </w:rPr>
          <w:t>.45</w:t>
        </w:r>
      </w:hyperlink>
    </w:p>
    <w:p w:rsidR="0038667E" w:rsidRDefault="00CC2BF4">
      <w:pPr>
        <w:pStyle w:val="TOC3"/>
        <w:tabs>
          <w:tab w:val="right" w:leader="dot" w:pos="9062"/>
        </w:tabs>
        <w:rPr>
          <w:rFonts w:asciiTheme="minorHAnsi" w:eastAsiaTheme="minorEastAsia" w:hAnsiTheme="minorHAnsi" w:cstheme="minorBidi"/>
          <w:i w:val="0"/>
          <w:iCs w:val="0"/>
          <w:noProof/>
          <w:sz w:val="22"/>
          <w:szCs w:val="22"/>
          <w:lang w:val="fr-BE" w:eastAsia="fr-BE"/>
        </w:rPr>
      </w:pPr>
      <w:hyperlink w:anchor="_Toc510775816" w:history="1">
        <w:r w:rsidR="0038667E" w:rsidRPr="00D83E92">
          <w:rPr>
            <w:rStyle w:val="Hyperlink"/>
            <w:b/>
            <w:bCs/>
            <w:noProof/>
            <w:lang w:val="nl-NL"/>
          </w:rPr>
          <w:t>2. Wettelijke bepaling</w:t>
        </w:r>
        <w:r w:rsidR="0038667E">
          <w:rPr>
            <w:noProof/>
            <w:webHidden/>
          </w:rPr>
          <w:tab/>
        </w:r>
        <w:r w:rsidR="00855C1D">
          <w:rPr>
            <w:noProof/>
            <w:webHidden/>
          </w:rPr>
          <w:t>45</w:t>
        </w:r>
      </w:hyperlink>
    </w:p>
    <w:p w:rsidR="0038667E" w:rsidRDefault="00CC2BF4">
      <w:pPr>
        <w:pStyle w:val="TOC3"/>
        <w:tabs>
          <w:tab w:val="left" w:pos="960"/>
          <w:tab w:val="right" w:leader="dot" w:pos="9062"/>
        </w:tabs>
        <w:rPr>
          <w:rFonts w:asciiTheme="minorHAnsi" w:eastAsiaTheme="minorEastAsia" w:hAnsiTheme="minorHAnsi" w:cstheme="minorBidi"/>
          <w:i w:val="0"/>
          <w:iCs w:val="0"/>
          <w:noProof/>
          <w:sz w:val="22"/>
          <w:szCs w:val="22"/>
          <w:lang w:val="fr-BE" w:eastAsia="fr-BE"/>
        </w:rPr>
      </w:pPr>
      <w:hyperlink w:anchor="_Toc510775817" w:history="1">
        <w:r w:rsidR="0038667E" w:rsidRPr="00D83E92">
          <w:rPr>
            <w:rStyle w:val="Hyperlink"/>
            <w:b/>
            <w:noProof/>
            <w:lang w:eastAsia="nl-BE" w:bidi="nl-BE"/>
          </w:rPr>
          <w:t>3.</w:t>
        </w:r>
        <w:r w:rsidR="00EA7153">
          <w:rPr>
            <w:rFonts w:asciiTheme="minorHAnsi" w:eastAsiaTheme="minorEastAsia" w:hAnsiTheme="minorHAnsi" w:cstheme="minorBidi"/>
            <w:i w:val="0"/>
            <w:iCs w:val="0"/>
            <w:noProof/>
            <w:sz w:val="22"/>
            <w:szCs w:val="22"/>
            <w:lang w:val="fr-BE" w:eastAsia="fr-BE"/>
          </w:rPr>
          <w:t xml:space="preserve"> </w:t>
        </w:r>
        <w:r w:rsidR="0038667E" w:rsidRPr="00D83E92">
          <w:rPr>
            <w:rStyle w:val="Hyperlink"/>
            <w:b/>
            <w:noProof/>
            <w:lang w:eastAsia="nl-BE" w:bidi="nl-BE"/>
          </w:rPr>
          <w:t>Toepassing van de sanctie</w:t>
        </w:r>
        <w:r w:rsidR="0038667E">
          <w:rPr>
            <w:noProof/>
            <w:webHidden/>
          </w:rPr>
          <w:tab/>
        </w:r>
        <w:r w:rsidR="00855C1D">
          <w:rPr>
            <w:noProof/>
            <w:webHidden/>
          </w:rPr>
          <w:t>45</w:t>
        </w:r>
      </w:hyperlink>
    </w:p>
    <w:p w:rsidR="0038667E" w:rsidRDefault="00CC2BF4">
      <w:pPr>
        <w:pStyle w:val="TOC1"/>
        <w:rPr>
          <w:rFonts w:asciiTheme="minorHAnsi" w:eastAsiaTheme="minorEastAsia" w:hAnsiTheme="minorHAnsi" w:cstheme="minorBidi"/>
          <w:b w:val="0"/>
          <w:bCs w:val="0"/>
          <w:caps w:val="0"/>
          <w:lang w:val="fr-BE" w:eastAsia="fr-BE"/>
        </w:rPr>
      </w:pPr>
      <w:hyperlink w:anchor="_Toc510775818" w:history="1">
        <w:r w:rsidR="0038667E" w:rsidRPr="00D83E92">
          <w:rPr>
            <w:rStyle w:val="Hyperlink"/>
          </w:rPr>
          <w:t>IV. Acties en voorstellen van de Dienst Bevoegdheidsconflicten om de OCMW's te helpen bij het behandelen van de bevoegdheidsconflicten</w:t>
        </w:r>
        <w:r w:rsidR="0038667E">
          <w:rPr>
            <w:webHidden/>
          </w:rPr>
          <w:tab/>
        </w:r>
        <w:r w:rsidR="00855C1D">
          <w:rPr>
            <w:webHidden/>
          </w:rPr>
          <w:t>47</w:t>
        </w:r>
      </w:hyperlink>
    </w:p>
    <w:p w:rsidR="0022795E" w:rsidRDefault="001A3A9B" w:rsidP="00625F75">
      <w:pPr>
        <w:pStyle w:val="TOC1"/>
        <w:jc w:val="both"/>
        <w:rPr>
          <w:sz w:val="24"/>
          <w:szCs w:val="24"/>
          <w:u w:val="single"/>
        </w:rPr>
      </w:pPr>
      <w:r>
        <w:rPr>
          <w:sz w:val="24"/>
          <w:szCs w:val="24"/>
          <w:u w:val="single"/>
        </w:rPr>
        <w:fldChar w:fldCharType="end"/>
      </w:r>
    </w:p>
    <w:p w:rsidR="00EA7153" w:rsidRDefault="00EA7153" w:rsidP="00EA7153">
      <w:pPr>
        <w:rPr>
          <w:lang w:val="nl-NL"/>
        </w:rPr>
      </w:pPr>
    </w:p>
    <w:p w:rsidR="00EA7153" w:rsidRDefault="00EA7153" w:rsidP="00EA7153">
      <w:pPr>
        <w:rPr>
          <w:lang w:val="nl-NL"/>
        </w:rPr>
      </w:pPr>
    </w:p>
    <w:p w:rsidR="00EA7153" w:rsidRDefault="00EA7153" w:rsidP="00EA7153">
      <w:pPr>
        <w:rPr>
          <w:lang w:val="nl-NL"/>
        </w:rPr>
      </w:pPr>
    </w:p>
    <w:p w:rsidR="00EA7153" w:rsidRDefault="00EA7153" w:rsidP="00EA7153">
      <w:pPr>
        <w:rPr>
          <w:lang w:val="nl-NL"/>
        </w:rPr>
      </w:pPr>
    </w:p>
    <w:p w:rsidR="00EA7153" w:rsidRDefault="00EA7153" w:rsidP="00EA7153">
      <w:pPr>
        <w:rPr>
          <w:lang w:val="nl-NL"/>
        </w:rPr>
      </w:pPr>
    </w:p>
    <w:p w:rsidR="00EA7153" w:rsidRPr="00EA7153" w:rsidRDefault="00EA7153" w:rsidP="00EA7153">
      <w:pPr>
        <w:rPr>
          <w:lang w:val="nl-NL"/>
        </w:rPr>
      </w:pPr>
    </w:p>
    <w:p w:rsidR="0022795E" w:rsidRPr="00AD7C5F" w:rsidRDefault="0022795E" w:rsidP="00625F75">
      <w:pPr>
        <w:jc w:val="both"/>
      </w:pPr>
    </w:p>
    <w:p w:rsidR="00843780" w:rsidRPr="006D0278" w:rsidRDefault="008E706C" w:rsidP="00E1791D">
      <w:pPr>
        <w:pStyle w:val="Heading1"/>
        <w:rPr>
          <w:sz w:val="28"/>
          <w:szCs w:val="28"/>
          <w:lang w:val="nl-NL"/>
        </w:rPr>
      </w:pPr>
      <w:bookmarkStart w:id="3" w:name="_Toc51469034"/>
      <w:bookmarkStart w:id="4" w:name="_Toc70850279"/>
      <w:bookmarkStart w:id="5" w:name="_Toc510775715"/>
      <w:r w:rsidRPr="006D0278">
        <w:rPr>
          <w:sz w:val="28"/>
          <w:szCs w:val="28"/>
          <w:lang w:val="nl-NL"/>
        </w:rPr>
        <w:lastRenderedPageBreak/>
        <w:t>I</w:t>
      </w:r>
      <w:bookmarkEnd w:id="3"/>
      <w:bookmarkEnd w:id="4"/>
      <w:r w:rsidRPr="006D0278">
        <w:rPr>
          <w:sz w:val="28"/>
          <w:szCs w:val="28"/>
          <w:lang w:val="nl-NL"/>
        </w:rPr>
        <w:t>nleiding</w:t>
      </w:r>
      <w:bookmarkEnd w:id="5"/>
    </w:p>
    <w:p w:rsidR="00843780" w:rsidRPr="006D0278" w:rsidRDefault="00843780">
      <w:pPr>
        <w:rPr>
          <w:b/>
          <w:bCs/>
          <w:lang w:val="nl-NL"/>
        </w:rPr>
      </w:pPr>
    </w:p>
    <w:p w:rsidR="00843780" w:rsidRPr="006D0278" w:rsidRDefault="00843780">
      <w:pPr>
        <w:rPr>
          <w:b/>
          <w:bCs/>
          <w:lang w:val="nl-NL"/>
        </w:rPr>
      </w:pPr>
    </w:p>
    <w:p w:rsidR="00F93B68" w:rsidRPr="006D0278" w:rsidRDefault="008E706C" w:rsidP="00826710">
      <w:pPr>
        <w:jc w:val="both"/>
        <w:rPr>
          <w:lang w:val="nl-NL"/>
        </w:rPr>
      </w:pPr>
      <w:r w:rsidRPr="006D0278">
        <w:rPr>
          <w:lang w:val="nl-NL"/>
        </w:rPr>
        <w:t xml:space="preserve">Net als de voorgaande verslagen, biedt dit verslag een aantal statistieken met commentaar. De aard van de behandelde bevoegdheidsconflicten en de verschillende vaststellingen bij de behandeling van de bevoegdheidsconflicten, zoals die </w:t>
      </w:r>
      <w:r w:rsidR="00D44E86">
        <w:rPr>
          <w:lang w:val="nl-NL"/>
        </w:rPr>
        <w:t xml:space="preserve">in voorgaande jaren werden beschreven  </w:t>
      </w:r>
      <w:r w:rsidRPr="006D0278">
        <w:rPr>
          <w:lang w:val="nl-NL"/>
        </w:rPr>
        <w:t xml:space="preserve">blijven actueel voor het jaar </w:t>
      </w:r>
      <w:r w:rsidR="00AE4B22" w:rsidRPr="006D0278">
        <w:rPr>
          <w:lang w:val="nl-NL"/>
        </w:rPr>
        <w:t>201</w:t>
      </w:r>
      <w:r w:rsidR="000F2298">
        <w:rPr>
          <w:lang w:val="nl-NL"/>
        </w:rPr>
        <w:t>7</w:t>
      </w:r>
      <w:r w:rsidRPr="006D0278">
        <w:rPr>
          <w:lang w:val="nl-NL"/>
        </w:rPr>
        <w:t xml:space="preserve">. </w:t>
      </w:r>
    </w:p>
    <w:p w:rsidR="0022795E" w:rsidRPr="006D0278" w:rsidRDefault="0022795E" w:rsidP="0022795E">
      <w:pPr>
        <w:rPr>
          <w:lang w:val="nl-NL"/>
        </w:rPr>
      </w:pPr>
      <w:bookmarkStart w:id="6" w:name="_Toc51469038"/>
      <w:bookmarkStart w:id="7" w:name="_Toc70850283"/>
    </w:p>
    <w:p w:rsidR="00CC370F" w:rsidRDefault="00CC370F" w:rsidP="00E1791D">
      <w:pPr>
        <w:pStyle w:val="Heading1"/>
        <w:rPr>
          <w:b w:val="0"/>
          <w:bCs w:val="0"/>
          <w:lang w:val="nl-NL"/>
        </w:rPr>
      </w:pPr>
    </w:p>
    <w:p w:rsidR="00D44E86" w:rsidRPr="00D44E86" w:rsidRDefault="00D44E86" w:rsidP="00D44E86">
      <w:pPr>
        <w:rPr>
          <w:lang w:val="nl-NL"/>
        </w:rPr>
      </w:pPr>
    </w:p>
    <w:p w:rsidR="00843780" w:rsidRPr="006D0278" w:rsidRDefault="008E706C" w:rsidP="00F269F4">
      <w:pPr>
        <w:pStyle w:val="Heading1"/>
        <w:pBdr>
          <w:top w:val="single" w:sz="4" w:space="1" w:color="auto"/>
          <w:left w:val="single" w:sz="4" w:space="4" w:color="auto"/>
          <w:bottom w:val="single" w:sz="4" w:space="1" w:color="auto"/>
          <w:right w:val="single" w:sz="4" w:space="4" w:color="auto"/>
        </w:pBdr>
        <w:rPr>
          <w:sz w:val="28"/>
          <w:lang w:val="nl-NL"/>
        </w:rPr>
      </w:pPr>
      <w:bookmarkStart w:id="8" w:name="_Toc510775716"/>
      <w:r w:rsidRPr="006D0278">
        <w:rPr>
          <w:sz w:val="28"/>
          <w:lang w:val="nl-NL"/>
        </w:rPr>
        <w:t>I. Statistieken</w:t>
      </w:r>
      <w:bookmarkEnd w:id="8"/>
      <w:r w:rsidRPr="006D0278">
        <w:rPr>
          <w:sz w:val="28"/>
          <w:lang w:val="nl-NL"/>
        </w:rPr>
        <w:t xml:space="preserve"> </w:t>
      </w:r>
    </w:p>
    <w:p w:rsidR="00AD7C5F" w:rsidRPr="006D0278" w:rsidRDefault="00AD7C5F" w:rsidP="008973DE">
      <w:pPr>
        <w:pStyle w:val="Heading2"/>
        <w:rPr>
          <w:lang w:val="nl-NL"/>
        </w:rPr>
      </w:pPr>
    </w:p>
    <w:p w:rsidR="000322D0" w:rsidRPr="006D0278" w:rsidRDefault="000322D0" w:rsidP="000322D0">
      <w:pPr>
        <w:rPr>
          <w:lang w:val="nl-NL"/>
        </w:rPr>
      </w:pPr>
    </w:p>
    <w:p w:rsidR="00887801" w:rsidRPr="006D0278" w:rsidRDefault="008E706C" w:rsidP="00E1791D">
      <w:pPr>
        <w:pStyle w:val="Heading2"/>
        <w:rPr>
          <w:lang w:val="nl-NL"/>
        </w:rPr>
      </w:pPr>
      <w:bookmarkStart w:id="9" w:name="_Toc510775717"/>
      <w:r w:rsidRPr="006D0278">
        <w:rPr>
          <w:lang w:val="nl-NL"/>
        </w:rPr>
        <w:t>1.</w:t>
      </w:r>
      <w:r w:rsidRPr="006D0278">
        <w:rPr>
          <w:u w:val="single"/>
          <w:lang w:val="nl-NL"/>
        </w:rPr>
        <w:t xml:space="preserve"> Aantal ontvangen dossiers in </w:t>
      </w:r>
      <w:r w:rsidR="00CF0008" w:rsidRPr="006D0278">
        <w:rPr>
          <w:u w:val="single"/>
          <w:lang w:val="nl-NL"/>
        </w:rPr>
        <w:t>201</w:t>
      </w:r>
      <w:r w:rsidR="00297D97">
        <w:rPr>
          <w:u w:val="single"/>
          <w:lang w:val="nl-NL"/>
        </w:rPr>
        <w:t>7</w:t>
      </w:r>
      <w:bookmarkEnd w:id="9"/>
    </w:p>
    <w:p w:rsidR="0034772F" w:rsidRPr="006D0278" w:rsidRDefault="0034772F" w:rsidP="00C13C2C">
      <w:pPr>
        <w:ind w:left="720"/>
        <w:jc w:val="both"/>
        <w:rPr>
          <w:u w:val="single"/>
          <w:lang w:val="nl-NL"/>
        </w:rPr>
      </w:pPr>
    </w:p>
    <w:p w:rsidR="0022795E" w:rsidRPr="006D0278" w:rsidRDefault="0022795E" w:rsidP="00C13C2C">
      <w:pPr>
        <w:ind w:left="720"/>
        <w:jc w:val="both"/>
        <w:rPr>
          <w:u w:val="single"/>
          <w:lang w:val="nl-NL"/>
        </w:rPr>
      </w:pPr>
    </w:p>
    <w:p w:rsidR="00C70196" w:rsidRPr="006D0278" w:rsidRDefault="008E706C" w:rsidP="004044F5">
      <w:pPr>
        <w:ind w:firstLine="720"/>
        <w:rPr>
          <w:u w:val="single"/>
          <w:lang w:val="nl-NL"/>
        </w:rPr>
      </w:pPr>
      <w:r w:rsidRPr="006D0278">
        <w:rPr>
          <w:u w:val="single"/>
          <w:lang w:val="nl-NL"/>
        </w:rPr>
        <w:t>1.1. Aantal dossiers ontvangen van 01/01/</w:t>
      </w:r>
      <w:r w:rsidR="00CF0008" w:rsidRPr="006D0278">
        <w:rPr>
          <w:u w:val="single"/>
          <w:lang w:val="nl-NL"/>
        </w:rPr>
        <w:t>201</w:t>
      </w:r>
      <w:r w:rsidR="00297D97">
        <w:rPr>
          <w:u w:val="single"/>
          <w:lang w:val="nl-NL"/>
        </w:rPr>
        <w:t>7</w:t>
      </w:r>
      <w:r w:rsidR="00CF0008" w:rsidRPr="006D0278">
        <w:rPr>
          <w:u w:val="single"/>
          <w:lang w:val="nl-NL"/>
        </w:rPr>
        <w:t xml:space="preserve"> </w:t>
      </w:r>
      <w:r w:rsidRPr="006D0278">
        <w:rPr>
          <w:u w:val="single"/>
          <w:lang w:val="nl-NL"/>
        </w:rPr>
        <w:t>tot en met 31/12/</w:t>
      </w:r>
      <w:r w:rsidR="00CF0008" w:rsidRPr="006D0278">
        <w:rPr>
          <w:u w:val="single"/>
          <w:lang w:val="nl-NL"/>
        </w:rPr>
        <w:t>201</w:t>
      </w:r>
      <w:r w:rsidR="00297D97">
        <w:rPr>
          <w:u w:val="single"/>
          <w:lang w:val="nl-NL"/>
        </w:rPr>
        <w:t>7</w:t>
      </w:r>
      <w:r w:rsidR="00CF0008" w:rsidRPr="006D0278">
        <w:rPr>
          <w:u w:val="single"/>
          <w:lang w:val="nl-NL"/>
        </w:rPr>
        <w:t xml:space="preserve">  </w:t>
      </w:r>
    </w:p>
    <w:p w:rsidR="00C70196" w:rsidRPr="006D0278" w:rsidRDefault="00C70196" w:rsidP="00C70196">
      <w:pPr>
        <w:pStyle w:val="Header"/>
        <w:tabs>
          <w:tab w:val="clear" w:pos="4536"/>
          <w:tab w:val="clear" w:pos="9072"/>
          <w:tab w:val="left" w:pos="360"/>
          <w:tab w:val="left" w:pos="2520"/>
        </w:tabs>
        <w:jc w:val="both"/>
      </w:pPr>
    </w:p>
    <w:p w:rsidR="00F90AB7" w:rsidRPr="006D0278" w:rsidRDefault="000322D0" w:rsidP="00F90AB7">
      <w:pPr>
        <w:pStyle w:val="Header"/>
        <w:tabs>
          <w:tab w:val="clear" w:pos="4536"/>
          <w:tab w:val="clear" w:pos="9072"/>
          <w:tab w:val="left" w:pos="360"/>
          <w:tab w:val="left" w:pos="3240"/>
        </w:tabs>
        <w:ind w:left="720" w:hanging="1080"/>
        <w:jc w:val="both"/>
      </w:pPr>
      <w:r w:rsidRPr="006D0278">
        <w:tab/>
      </w:r>
      <w:r w:rsidRPr="006D0278">
        <w:tab/>
      </w:r>
      <w:r w:rsidR="008E706C" w:rsidRPr="006D0278">
        <w:t xml:space="preserve">Nederlandstalige: </w:t>
      </w:r>
      <w:r w:rsidR="00F90AB7" w:rsidRPr="006D0278">
        <w:tab/>
      </w:r>
      <w:r w:rsidR="008E706C" w:rsidRPr="006D0278">
        <w:t xml:space="preserve"> </w:t>
      </w:r>
      <w:r w:rsidR="00297D97">
        <w:t>150</w:t>
      </w:r>
    </w:p>
    <w:p w:rsidR="00F90AB7" w:rsidRPr="006D0278" w:rsidRDefault="008E706C" w:rsidP="00F90AB7">
      <w:pPr>
        <w:pStyle w:val="Header"/>
        <w:tabs>
          <w:tab w:val="clear" w:pos="4536"/>
          <w:tab w:val="clear" w:pos="9072"/>
          <w:tab w:val="left" w:pos="1080"/>
          <w:tab w:val="left" w:pos="2520"/>
          <w:tab w:val="left" w:pos="3240"/>
        </w:tabs>
        <w:ind w:left="720"/>
        <w:jc w:val="both"/>
      </w:pPr>
      <w:r w:rsidRPr="006D0278">
        <w:t xml:space="preserve">Franstalige: </w:t>
      </w:r>
      <w:r w:rsidR="00F90AB7" w:rsidRPr="006D0278">
        <w:tab/>
      </w:r>
      <w:r w:rsidR="00F90AB7" w:rsidRPr="006D0278">
        <w:tab/>
      </w:r>
      <w:r w:rsidR="00EB0DB9">
        <w:t xml:space="preserve"> </w:t>
      </w:r>
      <w:r w:rsidR="00297D97">
        <w:t>490</w:t>
      </w:r>
    </w:p>
    <w:p w:rsidR="00F90AB7" w:rsidRPr="006D0278" w:rsidRDefault="008E706C" w:rsidP="00F90AB7">
      <w:pPr>
        <w:pStyle w:val="Header"/>
        <w:tabs>
          <w:tab w:val="clear" w:pos="4536"/>
          <w:tab w:val="clear" w:pos="9072"/>
          <w:tab w:val="left" w:pos="1440"/>
          <w:tab w:val="left" w:pos="3240"/>
        </w:tabs>
        <w:ind w:firstLine="720"/>
        <w:jc w:val="both"/>
      </w:pPr>
      <w:r w:rsidRPr="006D0278">
        <w:t xml:space="preserve">Totaal N+F: </w:t>
      </w:r>
      <w:r w:rsidR="00F90AB7" w:rsidRPr="006D0278">
        <w:tab/>
      </w:r>
      <w:r w:rsidR="00A67D59">
        <w:t xml:space="preserve"> </w:t>
      </w:r>
      <w:r w:rsidR="00297D97">
        <w:t>640</w:t>
      </w:r>
    </w:p>
    <w:p w:rsidR="00C70196" w:rsidRPr="006D0278" w:rsidRDefault="00C70196" w:rsidP="00F90AB7">
      <w:pPr>
        <w:pStyle w:val="Header"/>
        <w:tabs>
          <w:tab w:val="clear" w:pos="4536"/>
          <w:tab w:val="clear" w:pos="9072"/>
          <w:tab w:val="left" w:pos="360"/>
          <w:tab w:val="left" w:pos="3240"/>
        </w:tabs>
        <w:ind w:left="720" w:hanging="1080"/>
        <w:jc w:val="both"/>
      </w:pPr>
    </w:p>
    <w:p w:rsidR="000322D0" w:rsidRPr="006D0278" w:rsidRDefault="000322D0" w:rsidP="0067158C">
      <w:pPr>
        <w:pStyle w:val="Heading2"/>
        <w:ind w:left="720" w:firstLine="0"/>
        <w:rPr>
          <w:b w:val="0"/>
          <w:bCs w:val="0"/>
          <w:u w:val="single"/>
          <w:lang w:val="nl-NL"/>
        </w:rPr>
      </w:pPr>
    </w:p>
    <w:p w:rsidR="00C70196" w:rsidRPr="006D0278" w:rsidRDefault="008E706C" w:rsidP="004044F5">
      <w:pPr>
        <w:ind w:firstLine="720"/>
        <w:rPr>
          <w:u w:val="single"/>
          <w:lang w:val="nl-NL"/>
        </w:rPr>
      </w:pPr>
      <w:r w:rsidRPr="006D0278">
        <w:rPr>
          <w:u w:val="single"/>
          <w:lang w:val="nl-NL"/>
        </w:rPr>
        <w:t xml:space="preserve">1.2. Aantal dossiers ontvangen per maand in </w:t>
      </w:r>
      <w:r w:rsidR="00AE4B22" w:rsidRPr="006D0278">
        <w:rPr>
          <w:u w:val="single"/>
          <w:lang w:val="nl-NL"/>
        </w:rPr>
        <w:t>201</w:t>
      </w:r>
      <w:r w:rsidR="008E7B09">
        <w:rPr>
          <w:u w:val="single"/>
          <w:lang w:val="nl-NL"/>
        </w:rPr>
        <w:t>7</w:t>
      </w:r>
    </w:p>
    <w:p w:rsidR="0034772F" w:rsidRPr="006D0278" w:rsidRDefault="00C70196" w:rsidP="00C70196">
      <w:pPr>
        <w:tabs>
          <w:tab w:val="left" w:pos="360"/>
          <w:tab w:val="left" w:pos="2700"/>
          <w:tab w:val="left" w:pos="5040"/>
          <w:tab w:val="left" w:pos="7020"/>
        </w:tabs>
        <w:jc w:val="both"/>
        <w:rPr>
          <w:lang w:val="nl-NL"/>
        </w:rPr>
      </w:pPr>
      <w:r w:rsidRPr="006D0278">
        <w:rPr>
          <w:lang w:val="nl-NL"/>
        </w:rPr>
        <w:tab/>
      </w:r>
      <w:r w:rsidRPr="006D0278">
        <w:rPr>
          <w:lang w:val="nl-NL"/>
        </w:rPr>
        <w:tab/>
      </w:r>
    </w:p>
    <w:p w:rsidR="00F90AB7" w:rsidRPr="006D0278" w:rsidRDefault="00CD6D65" w:rsidP="00F90AB7">
      <w:pPr>
        <w:tabs>
          <w:tab w:val="left" w:pos="360"/>
          <w:tab w:val="left" w:pos="2700"/>
          <w:tab w:val="left" w:pos="5040"/>
          <w:tab w:val="left" w:pos="7020"/>
        </w:tabs>
        <w:jc w:val="both"/>
        <w:rPr>
          <w:lang w:val="nl-NL"/>
        </w:rPr>
      </w:pPr>
      <w:r w:rsidRPr="006D0278">
        <w:rPr>
          <w:lang w:val="nl-NL"/>
        </w:rPr>
        <w:tab/>
      </w:r>
      <w:r w:rsidRPr="006D0278">
        <w:rPr>
          <w:lang w:val="nl-NL"/>
        </w:rPr>
        <w:tab/>
      </w:r>
      <w:r w:rsidR="00F90AB7" w:rsidRPr="006D0278">
        <w:rPr>
          <w:lang w:val="nl-NL"/>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820"/>
        <w:gridCol w:w="1652"/>
        <w:gridCol w:w="1767"/>
        <w:gridCol w:w="1630"/>
      </w:tblGrid>
      <w:tr w:rsidR="00CB06A0" w:rsidRPr="00747098" w:rsidTr="00CB06A0">
        <w:tc>
          <w:tcPr>
            <w:tcW w:w="1365" w:type="dxa"/>
          </w:tcPr>
          <w:p w:rsidR="00CB06A0" w:rsidRPr="006D0278" w:rsidRDefault="00CB06A0" w:rsidP="00E7057F">
            <w:pPr>
              <w:tabs>
                <w:tab w:val="left" w:pos="360"/>
                <w:tab w:val="left" w:pos="2700"/>
                <w:tab w:val="left" w:pos="5040"/>
                <w:tab w:val="left" w:pos="7020"/>
              </w:tabs>
              <w:jc w:val="both"/>
              <w:rPr>
                <w:lang w:val="nl-NL"/>
              </w:rPr>
            </w:pPr>
          </w:p>
        </w:tc>
        <w:tc>
          <w:tcPr>
            <w:tcW w:w="1820" w:type="dxa"/>
          </w:tcPr>
          <w:p w:rsidR="00CB06A0" w:rsidRPr="00747098" w:rsidRDefault="00CB06A0" w:rsidP="00E7057F">
            <w:pPr>
              <w:tabs>
                <w:tab w:val="left" w:pos="360"/>
                <w:tab w:val="left" w:pos="2700"/>
                <w:tab w:val="left" w:pos="5040"/>
                <w:tab w:val="left" w:pos="7020"/>
              </w:tabs>
              <w:jc w:val="both"/>
              <w:rPr>
                <w:lang w:val="fr-FR"/>
              </w:rPr>
            </w:pPr>
            <w:r>
              <w:rPr>
                <w:lang w:val="fr-BE"/>
              </w:rPr>
              <w:t>Brussel</w:t>
            </w:r>
          </w:p>
        </w:tc>
        <w:tc>
          <w:tcPr>
            <w:tcW w:w="1652" w:type="dxa"/>
          </w:tcPr>
          <w:p w:rsidR="00CB06A0" w:rsidRPr="00747098" w:rsidRDefault="00CB06A0" w:rsidP="00E7057F">
            <w:pPr>
              <w:tabs>
                <w:tab w:val="left" w:pos="360"/>
                <w:tab w:val="left" w:pos="2700"/>
                <w:tab w:val="left" w:pos="5040"/>
                <w:tab w:val="left" w:pos="7020"/>
              </w:tabs>
              <w:jc w:val="both"/>
              <w:rPr>
                <w:lang w:val="fr-FR"/>
              </w:rPr>
            </w:pPr>
            <w:r>
              <w:rPr>
                <w:lang w:val="fr-BE"/>
              </w:rPr>
              <w:t xml:space="preserve">Vlaanderen </w:t>
            </w:r>
          </w:p>
        </w:tc>
        <w:tc>
          <w:tcPr>
            <w:tcW w:w="1767" w:type="dxa"/>
          </w:tcPr>
          <w:p w:rsidR="00CB06A0" w:rsidRPr="00CB06A0" w:rsidRDefault="00CB06A0" w:rsidP="00E7057F">
            <w:pPr>
              <w:tabs>
                <w:tab w:val="left" w:pos="360"/>
                <w:tab w:val="left" w:pos="2700"/>
                <w:tab w:val="left" w:pos="5040"/>
                <w:tab w:val="left" w:pos="7020"/>
              </w:tabs>
              <w:jc w:val="center"/>
              <w:rPr>
                <w:lang w:val="fr-BE"/>
              </w:rPr>
            </w:pPr>
            <w:r w:rsidRPr="00CB06A0">
              <w:rPr>
                <w:lang w:val="fr-BE"/>
              </w:rPr>
              <w:t>Wallonië</w:t>
            </w:r>
          </w:p>
        </w:tc>
        <w:tc>
          <w:tcPr>
            <w:tcW w:w="1630" w:type="dxa"/>
          </w:tcPr>
          <w:p w:rsidR="00CB06A0" w:rsidRPr="00747098" w:rsidRDefault="00CB06A0" w:rsidP="00E7057F">
            <w:pPr>
              <w:tabs>
                <w:tab w:val="left" w:pos="360"/>
                <w:tab w:val="left" w:pos="2700"/>
                <w:tab w:val="left" w:pos="5040"/>
                <w:tab w:val="left" w:pos="7020"/>
              </w:tabs>
              <w:jc w:val="center"/>
              <w:rPr>
                <w:b/>
                <w:lang w:val="fr-FR"/>
              </w:rPr>
            </w:pPr>
            <w:r>
              <w:rPr>
                <w:b/>
                <w:lang w:val="fr-BE"/>
              </w:rPr>
              <w:t>Totaal Nl + Fr</w:t>
            </w:r>
          </w:p>
        </w:tc>
      </w:tr>
      <w:tr w:rsidR="00CB06A0" w:rsidRPr="00747098" w:rsidTr="00CB06A0">
        <w:tc>
          <w:tcPr>
            <w:tcW w:w="1365" w:type="dxa"/>
          </w:tcPr>
          <w:p w:rsidR="00CB06A0" w:rsidRPr="00747098" w:rsidRDefault="00CB06A0" w:rsidP="00AE4B22">
            <w:pPr>
              <w:tabs>
                <w:tab w:val="left" w:pos="360"/>
                <w:tab w:val="left" w:pos="2700"/>
                <w:tab w:val="left" w:pos="5040"/>
                <w:tab w:val="left" w:pos="7020"/>
              </w:tabs>
              <w:jc w:val="both"/>
              <w:rPr>
                <w:lang w:val="fr-FR"/>
              </w:rPr>
            </w:pPr>
            <w:r>
              <w:rPr>
                <w:lang w:val="fr-BE"/>
              </w:rPr>
              <w:t>Januari:</w:t>
            </w:r>
          </w:p>
        </w:tc>
        <w:tc>
          <w:tcPr>
            <w:tcW w:w="1820" w:type="dxa"/>
            <w:vAlign w:val="bottom"/>
          </w:tcPr>
          <w:p w:rsidR="00CB06A0" w:rsidRPr="003F5E7D" w:rsidRDefault="008234AE" w:rsidP="00AE4B22">
            <w:pPr>
              <w:jc w:val="right"/>
              <w:rPr>
                <w:color w:val="000000"/>
                <w:sz w:val="22"/>
                <w:szCs w:val="22"/>
              </w:rPr>
            </w:pPr>
            <w:r>
              <w:rPr>
                <w:color w:val="000000"/>
                <w:sz w:val="22"/>
                <w:szCs w:val="22"/>
              </w:rPr>
              <w:t>17</w:t>
            </w:r>
          </w:p>
        </w:tc>
        <w:tc>
          <w:tcPr>
            <w:tcW w:w="1652" w:type="dxa"/>
            <w:vAlign w:val="bottom"/>
          </w:tcPr>
          <w:p w:rsidR="00CB06A0" w:rsidRPr="003F5E7D" w:rsidRDefault="00CB06A0" w:rsidP="00AE4B22">
            <w:pPr>
              <w:jc w:val="right"/>
              <w:rPr>
                <w:color w:val="000000"/>
                <w:sz w:val="22"/>
                <w:szCs w:val="22"/>
              </w:rPr>
            </w:pPr>
            <w:r>
              <w:rPr>
                <w:color w:val="000000"/>
                <w:sz w:val="22"/>
                <w:szCs w:val="22"/>
              </w:rPr>
              <w:t>10</w:t>
            </w:r>
          </w:p>
        </w:tc>
        <w:tc>
          <w:tcPr>
            <w:tcW w:w="1767" w:type="dxa"/>
          </w:tcPr>
          <w:p w:rsidR="00CB06A0" w:rsidRPr="00DF2C7C" w:rsidRDefault="0012689F" w:rsidP="00AE4B22">
            <w:pPr>
              <w:jc w:val="right"/>
              <w:rPr>
                <w:color w:val="000000"/>
                <w:sz w:val="22"/>
                <w:szCs w:val="22"/>
              </w:rPr>
            </w:pPr>
            <w:r w:rsidRPr="00DF2C7C">
              <w:rPr>
                <w:color w:val="000000"/>
                <w:sz w:val="22"/>
                <w:szCs w:val="22"/>
              </w:rPr>
              <w:t>20</w:t>
            </w:r>
          </w:p>
        </w:tc>
        <w:tc>
          <w:tcPr>
            <w:tcW w:w="1630" w:type="dxa"/>
            <w:vAlign w:val="bottom"/>
          </w:tcPr>
          <w:p w:rsidR="00CB06A0" w:rsidRPr="003F5E7D" w:rsidRDefault="00CB06A0" w:rsidP="00AE4B22">
            <w:pPr>
              <w:jc w:val="right"/>
              <w:rPr>
                <w:b/>
                <w:color w:val="000000"/>
                <w:sz w:val="22"/>
                <w:szCs w:val="22"/>
              </w:rPr>
            </w:pPr>
            <w:r>
              <w:rPr>
                <w:b/>
                <w:color w:val="000000"/>
                <w:sz w:val="22"/>
                <w:szCs w:val="22"/>
              </w:rPr>
              <w:t>47</w:t>
            </w:r>
          </w:p>
        </w:tc>
      </w:tr>
      <w:tr w:rsidR="00CB06A0" w:rsidRPr="00747098" w:rsidTr="00CB06A0">
        <w:tc>
          <w:tcPr>
            <w:tcW w:w="1365" w:type="dxa"/>
          </w:tcPr>
          <w:p w:rsidR="00CB06A0" w:rsidRPr="00747098" w:rsidRDefault="00CB06A0" w:rsidP="00AE4B22">
            <w:pPr>
              <w:tabs>
                <w:tab w:val="left" w:pos="360"/>
                <w:tab w:val="left" w:pos="2700"/>
                <w:tab w:val="left" w:pos="5040"/>
                <w:tab w:val="left" w:pos="7020"/>
              </w:tabs>
              <w:jc w:val="both"/>
              <w:rPr>
                <w:lang w:val="fr-FR"/>
              </w:rPr>
            </w:pPr>
            <w:r>
              <w:rPr>
                <w:lang w:val="fr-BE"/>
              </w:rPr>
              <w:t>Februari</w:t>
            </w:r>
          </w:p>
        </w:tc>
        <w:tc>
          <w:tcPr>
            <w:tcW w:w="1820" w:type="dxa"/>
            <w:vAlign w:val="bottom"/>
          </w:tcPr>
          <w:p w:rsidR="00CB06A0" w:rsidRPr="003F5E7D" w:rsidRDefault="008234AE" w:rsidP="00AE4B22">
            <w:pPr>
              <w:jc w:val="right"/>
              <w:rPr>
                <w:color w:val="000000"/>
                <w:sz w:val="22"/>
                <w:szCs w:val="22"/>
              </w:rPr>
            </w:pPr>
            <w:r>
              <w:rPr>
                <w:color w:val="000000"/>
                <w:sz w:val="22"/>
                <w:szCs w:val="22"/>
              </w:rPr>
              <w:t>15</w:t>
            </w:r>
          </w:p>
        </w:tc>
        <w:tc>
          <w:tcPr>
            <w:tcW w:w="1652" w:type="dxa"/>
            <w:vAlign w:val="bottom"/>
          </w:tcPr>
          <w:p w:rsidR="00CB06A0" w:rsidRPr="003F5E7D" w:rsidRDefault="00CB06A0" w:rsidP="00AE4B22">
            <w:pPr>
              <w:jc w:val="right"/>
              <w:rPr>
                <w:color w:val="000000"/>
                <w:sz w:val="22"/>
                <w:szCs w:val="22"/>
              </w:rPr>
            </w:pPr>
            <w:r>
              <w:rPr>
                <w:color w:val="000000"/>
                <w:sz w:val="22"/>
                <w:szCs w:val="22"/>
              </w:rPr>
              <w:t>11</w:t>
            </w:r>
          </w:p>
        </w:tc>
        <w:tc>
          <w:tcPr>
            <w:tcW w:w="1767" w:type="dxa"/>
          </w:tcPr>
          <w:p w:rsidR="00CB06A0" w:rsidRPr="00DF2C7C" w:rsidRDefault="0012689F" w:rsidP="00AE4B22">
            <w:pPr>
              <w:jc w:val="right"/>
              <w:rPr>
                <w:color w:val="000000"/>
                <w:sz w:val="22"/>
                <w:szCs w:val="22"/>
              </w:rPr>
            </w:pPr>
            <w:r w:rsidRPr="00DF2C7C">
              <w:rPr>
                <w:color w:val="000000"/>
                <w:sz w:val="22"/>
                <w:szCs w:val="22"/>
              </w:rPr>
              <w:t>10</w:t>
            </w:r>
          </w:p>
        </w:tc>
        <w:tc>
          <w:tcPr>
            <w:tcW w:w="1630" w:type="dxa"/>
            <w:vAlign w:val="bottom"/>
          </w:tcPr>
          <w:p w:rsidR="00CB06A0" w:rsidRPr="003F5E7D" w:rsidRDefault="00CB06A0" w:rsidP="00AE4B22">
            <w:pPr>
              <w:jc w:val="right"/>
              <w:rPr>
                <w:b/>
                <w:color w:val="000000"/>
                <w:sz w:val="22"/>
                <w:szCs w:val="22"/>
              </w:rPr>
            </w:pPr>
            <w:r>
              <w:rPr>
                <w:b/>
                <w:color w:val="000000"/>
                <w:sz w:val="22"/>
                <w:szCs w:val="22"/>
              </w:rPr>
              <w:t>36</w:t>
            </w:r>
          </w:p>
        </w:tc>
      </w:tr>
      <w:tr w:rsidR="00CB06A0" w:rsidRPr="00747098" w:rsidTr="00CB06A0">
        <w:tc>
          <w:tcPr>
            <w:tcW w:w="1365" w:type="dxa"/>
          </w:tcPr>
          <w:p w:rsidR="00CB06A0" w:rsidRPr="00747098" w:rsidRDefault="00CB06A0" w:rsidP="00AE4B22">
            <w:pPr>
              <w:tabs>
                <w:tab w:val="left" w:pos="360"/>
                <w:tab w:val="left" w:pos="2700"/>
                <w:tab w:val="left" w:pos="5040"/>
                <w:tab w:val="left" w:pos="7020"/>
              </w:tabs>
              <w:jc w:val="both"/>
              <w:rPr>
                <w:lang w:val="fr-FR"/>
              </w:rPr>
            </w:pPr>
            <w:r>
              <w:rPr>
                <w:lang w:val="fr-BE"/>
              </w:rPr>
              <w:t>Maart</w:t>
            </w:r>
          </w:p>
        </w:tc>
        <w:tc>
          <w:tcPr>
            <w:tcW w:w="1820" w:type="dxa"/>
            <w:vAlign w:val="bottom"/>
          </w:tcPr>
          <w:p w:rsidR="00CB06A0" w:rsidRPr="003F5E7D" w:rsidRDefault="008234AE" w:rsidP="00AE4B22">
            <w:pPr>
              <w:jc w:val="right"/>
              <w:rPr>
                <w:color w:val="000000"/>
                <w:sz w:val="22"/>
                <w:szCs w:val="22"/>
              </w:rPr>
            </w:pPr>
            <w:r>
              <w:rPr>
                <w:color w:val="000000"/>
                <w:sz w:val="22"/>
                <w:szCs w:val="22"/>
              </w:rPr>
              <w:t>19</w:t>
            </w:r>
          </w:p>
        </w:tc>
        <w:tc>
          <w:tcPr>
            <w:tcW w:w="1652" w:type="dxa"/>
            <w:vAlign w:val="bottom"/>
          </w:tcPr>
          <w:p w:rsidR="00CB06A0" w:rsidRPr="003F5E7D" w:rsidRDefault="00CB06A0" w:rsidP="00AE4B22">
            <w:pPr>
              <w:jc w:val="right"/>
              <w:rPr>
                <w:color w:val="000000"/>
                <w:sz w:val="22"/>
                <w:szCs w:val="22"/>
              </w:rPr>
            </w:pPr>
            <w:r>
              <w:rPr>
                <w:color w:val="000000"/>
                <w:sz w:val="22"/>
                <w:szCs w:val="22"/>
              </w:rPr>
              <w:t>8</w:t>
            </w:r>
          </w:p>
        </w:tc>
        <w:tc>
          <w:tcPr>
            <w:tcW w:w="1767" w:type="dxa"/>
          </w:tcPr>
          <w:p w:rsidR="00CB06A0" w:rsidRPr="00DF2C7C" w:rsidRDefault="0012689F" w:rsidP="00AE4B22">
            <w:pPr>
              <w:jc w:val="right"/>
              <w:rPr>
                <w:color w:val="000000"/>
                <w:sz w:val="22"/>
                <w:szCs w:val="22"/>
              </w:rPr>
            </w:pPr>
            <w:r w:rsidRPr="00DF2C7C">
              <w:rPr>
                <w:color w:val="000000"/>
                <w:sz w:val="22"/>
                <w:szCs w:val="22"/>
              </w:rPr>
              <w:t>17</w:t>
            </w:r>
          </w:p>
        </w:tc>
        <w:tc>
          <w:tcPr>
            <w:tcW w:w="1630" w:type="dxa"/>
            <w:vAlign w:val="bottom"/>
          </w:tcPr>
          <w:p w:rsidR="00CB06A0" w:rsidRPr="003F5E7D" w:rsidRDefault="00CB06A0" w:rsidP="00AE4B22">
            <w:pPr>
              <w:jc w:val="right"/>
              <w:rPr>
                <w:b/>
                <w:color w:val="000000"/>
                <w:sz w:val="22"/>
                <w:szCs w:val="22"/>
              </w:rPr>
            </w:pPr>
            <w:r>
              <w:rPr>
                <w:b/>
                <w:color w:val="000000"/>
                <w:sz w:val="22"/>
                <w:szCs w:val="22"/>
              </w:rPr>
              <w:t>44</w:t>
            </w:r>
          </w:p>
        </w:tc>
      </w:tr>
      <w:tr w:rsidR="00CB06A0" w:rsidRPr="00747098" w:rsidTr="00CB06A0">
        <w:tc>
          <w:tcPr>
            <w:tcW w:w="1365" w:type="dxa"/>
          </w:tcPr>
          <w:p w:rsidR="00CB06A0" w:rsidRPr="00747098" w:rsidRDefault="00CB06A0" w:rsidP="00AE4B22">
            <w:pPr>
              <w:tabs>
                <w:tab w:val="left" w:pos="360"/>
                <w:tab w:val="left" w:pos="2700"/>
                <w:tab w:val="left" w:pos="5040"/>
                <w:tab w:val="left" w:pos="7020"/>
              </w:tabs>
              <w:jc w:val="both"/>
              <w:rPr>
                <w:lang w:val="fr-FR"/>
              </w:rPr>
            </w:pPr>
            <w:r>
              <w:rPr>
                <w:lang w:val="fr-BE"/>
              </w:rPr>
              <w:t>April</w:t>
            </w:r>
          </w:p>
        </w:tc>
        <w:tc>
          <w:tcPr>
            <w:tcW w:w="1820" w:type="dxa"/>
            <w:vAlign w:val="bottom"/>
          </w:tcPr>
          <w:p w:rsidR="00CB06A0" w:rsidRPr="003F5E7D" w:rsidRDefault="008234AE" w:rsidP="00AE4B22">
            <w:pPr>
              <w:jc w:val="right"/>
              <w:rPr>
                <w:color w:val="000000"/>
                <w:sz w:val="22"/>
                <w:szCs w:val="22"/>
              </w:rPr>
            </w:pPr>
            <w:r>
              <w:rPr>
                <w:color w:val="000000"/>
                <w:sz w:val="22"/>
                <w:szCs w:val="22"/>
              </w:rPr>
              <w:t>28</w:t>
            </w:r>
          </w:p>
        </w:tc>
        <w:tc>
          <w:tcPr>
            <w:tcW w:w="1652" w:type="dxa"/>
            <w:vAlign w:val="bottom"/>
          </w:tcPr>
          <w:p w:rsidR="00CB06A0" w:rsidRPr="003F5E7D" w:rsidRDefault="00CB06A0" w:rsidP="00AE4B22">
            <w:pPr>
              <w:jc w:val="right"/>
              <w:rPr>
                <w:color w:val="000000"/>
                <w:sz w:val="22"/>
                <w:szCs w:val="22"/>
              </w:rPr>
            </w:pPr>
            <w:r>
              <w:rPr>
                <w:color w:val="000000"/>
                <w:sz w:val="22"/>
                <w:szCs w:val="22"/>
              </w:rPr>
              <w:t>10</w:t>
            </w:r>
          </w:p>
        </w:tc>
        <w:tc>
          <w:tcPr>
            <w:tcW w:w="1767" w:type="dxa"/>
          </w:tcPr>
          <w:p w:rsidR="00CB06A0" w:rsidRPr="00DF2C7C" w:rsidRDefault="0012689F" w:rsidP="00AE4B22">
            <w:pPr>
              <w:jc w:val="right"/>
              <w:rPr>
                <w:color w:val="000000"/>
                <w:sz w:val="22"/>
                <w:szCs w:val="22"/>
              </w:rPr>
            </w:pPr>
            <w:r w:rsidRPr="00DF2C7C">
              <w:rPr>
                <w:color w:val="000000"/>
                <w:sz w:val="22"/>
                <w:szCs w:val="22"/>
              </w:rPr>
              <w:t>18</w:t>
            </w:r>
          </w:p>
        </w:tc>
        <w:tc>
          <w:tcPr>
            <w:tcW w:w="1630" w:type="dxa"/>
            <w:vAlign w:val="bottom"/>
          </w:tcPr>
          <w:p w:rsidR="00CB06A0" w:rsidRPr="003F5E7D" w:rsidRDefault="00CB06A0" w:rsidP="00AE4B22">
            <w:pPr>
              <w:jc w:val="right"/>
              <w:rPr>
                <w:b/>
                <w:color w:val="000000"/>
                <w:sz w:val="22"/>
                <w:szCs w:val="22"/>
              </w:rPr>
            </w:pPr>
            <w:r>
              <w:rPr>
                <w:b/>
                <w:color w:val="000000"/>
                <w:sz w:val="22"/>
                <w:szCs w:val="22"/>
              </w:rPr>
              <w:t>56</w:t>
            </w:r>
          </w:p>
        </w:tc>
      </w:tr>
      <w:tr w:rsidR="00CB06A0" w:rsidRPr="00747098" w:rsidTr="00CB06A0">
        <w:tc>
          <w:tcPr>
            <w:tcW w:w="1365" w:type="dxa"/>
          </w:tcPr>
          <w:p w:rsidR="00CB06A0" w:rsidRPr="00747098" w:rsidRDefault="00CB06A0" w:rsidP="00AE4B22">
            <w:pPr>
              <w:tabs>
                <w:tab w:val="left" w:pos="360"/>
                <w:tab w:val="left" w:pos="2700"/>
                <w:tab w:val="left" w:pos="5040"/>
                <w:tab w:val="left" w:pos="7020"/>
              </w:tabs>
              <w:jc w:val="both"/>
              <w:rPr>
                <w:lang w:val="fr-FR"/>
              </w:rPr>
            </w:pPr>
            <w:r>
              <w:rPr>
                <w:lang w:val="fr-BE"/>
              </w:rPr>
              <w:t>Mei</w:t>
            </w:r>
          </w:p>
        </w:tc>
        <w:tc>
          <w:tcPr>
            <w:tcW w:w="1820" w:type="dxa"/>
            <w:vAlign w:val="bottom"/>
          </w:tcPr>
          <w:p w:rsidR="00CB06A0" w:rsidRPr="003F5E7D" w:rsidRDefault="008234AE" w:rsidP="00AE4B22">
            <w:pPr>
              <w:jc w:val="right"/>
              <w:rPr>
                <w:color w:val="000000"/>
                <w:sz w:val="22"/>
                <w:szCs w:val="22"/>
              </w:rPr>
            </w:pPr>
            <w:r>
              <w:rPr>
                <w:color w:val="000000"/>
                <w:sz w:val="22"/>
                <w:szCs w:val="22"/>
              </w:rPr>
              <w:t>28</w:t>
            </w:r>
          </w:p>
        </w:tc>
        <w:tc>
          <w:tcPr>
            <w:tcW w:w="1652" w:type="dxa"/>
            <w:vAlign w:val="bottom"/>
          </w:tcPr>
          <w:p w:rsidR="00CB06A0" w:rsidRPr="003F5E7D" w:rsidRDefault="00CB06A0" w:rsidP="00AE4B22">
            <w:pPr>
              <w:jc w:val="right"/>
              <w:rPr>
                <w:color w:val="000000"/>
                <w:sz w:val="22"/>
                <w:szCs w:val="22"/>
              </w:rPr>
            </w:pPr>
            <w:r>
              <w:rPr>
                <w:color w:val="000000"/>
                <w:sz w:val="22"/>
                <w:szCs w:val="22"/>
              </w:rPr>
              <w:t>10</w:t>
            </w:r>
          </w:p>
        </w:tc>
        <w:tc>
          <w:tcPr>
            <w:tcW w:w="1767" w:type="dxa"/>
          </w:tcPr>
          <w:p w:rsidR="00CB06A0" w:rsidRPr="00DF2C7C" w:rsidRDefault="0012689F" w:rsidP="00AE4B22">
            <w:pPr>
              <w:jc w:val="right"/>
              <w:rPr>
                <w:color w:val="000000"/>
                <w:sz w:val="22"/>
                <w:szCs w:val="22"/>
              </w:rPr>
            </w:pPr>
            <w:r w:rsidRPr="00DF2C7C">
              <w:rPr>
                <w:color w:val="000000"/>
                <w:sz w:val="22"/>
                <w:szCs w:val="22"/>
              </w:rPr>
              <w:t>25</w:t>
            </w:r>
          </w:p>
        </w:tc>
        <w:tc>
          <w:tcPr>
            <w:tcW w:w="1630" w:type="dxa"/>
            <w:vAlign w:val="bottom"/>
          </w:tcPr>
          <w:p w:rsidR="00CB06A0" w:rsidRPr="003F5E7D" w:rsidRDefault="00CB06A0" w:rsidP="00AE4B22">
            <w:pPr>
              <w:jc w:val="right"/>
              <w:rPr>
                <w:b/>
                <w:color w:val="000000"/>
                <w:sz w:val="22"/>
                <w:szCs w:val="22"/>
              </w:rPr>
            </w:pPr>
            <w:r>
              <w:rPr>
                <w:b/>
                <w:color w:val="000000"/>
                <w:sz w:val="22"/>
                <w:szCs w:val="22"/>
              </w:rPr>
              <w:t>63</w:t>
            </w:r>
          </w:p>
        </w:tc>
      </w:tr>
      <w:tr w:rsidR="00CB06A0" w:rsidRPr="00747098" w:rsidTr="00CB06A0">
        <w:tc>
          <w:tcPr>
            <w:tcW w:w="1365" w:type="dxa"/>
          </w:tcPr>
          <w:p w:rsidR="00CB06A0" w:rsidRPr="00747098" w:rsidRDefault="00CB06A0" w:rsidP="00AE4B22">
            <w:pPr>
              <w:tabs>
                <w:tab w:val="left" w:pos="360"/>
                <w:tab w:val="left" w:pos="2700"/>
                <w:tab w:val="left" w:pos="5040"/>
                <w:tab w:val="left" w:pos="7020"/>
              </w:tabs>
              <w:jc w:val="both"/>
              <w:rPr>
                <w:lang w:val="fr-FR"/>
              </w:rPr>
            </w:pPr>
            <w:r>
              <w:rPr>
                <w:lang w:val="fr-BE"/>
              </w:rPr>
              <w:t>Juni</w:t>
            </w:r>
          </w:p>
        </w:tc>
        <w:tc>
          <w:tcPr>
            <w:tcW w:w="1820" w:type="dxa"/>
            <w:vAlign w:val="bottom"/>
          </w:tcPr>
          <w:p w:rsidR="00CB06A0" w:rsidRPr="003F5E7D" w:rsidRDefault="008234AE" w:rsidP="00AE4B22">
            <w:pPr>
              <w:jc w:val="right"/>
              <w:rPr>
                <w:color w:val="000000"/>
                <w:sz w:val="22"/>
                <w:szCs w:val="22"/>
              </w:rPr>
            </w:pPr>
            <w:r>
              <w:rPr>
                <w:color w:val="000000"/>
                <w:sz w:val="22"/>
                <w:szCs w:val="22"/>
              </w:rPr>
              <w:t>33</w:t>
            </w:r>
          </w:p>
        </w:tc>
        <w:tc>
          <w:tcPr>
            <w:tcW w:w="1652" w:type="dxa"/>
            <w:vAlign w:val="bottom"/>
          </w:tcPr>
          <w:p w:rsidR="00CB06A0" w:rsidRPr="003F5E7D" w:rsidRDefault="00CB06A0" w:rsidP="00AE4B22">
            <w:pPr>
              <w:jc w:val="right"/>
              <w:rPr>
                <w:color w:val="000000"/>
                <w:sz w:val="22"/>
                <w:szCs w:val="22"/>
              </w:rPr>
            </w:pPr>
            <w:r w:rsidRPr="0069088E">
              <w:rPr>
                <w:color w:val="000000"/>
                <w:sz w:val="22"/>
                <w:szCs w:val="22"/>
              </w:rPr>
              <w:t>1</w:t>
            </w:r>
            <w:r>
              <w:rPr>
                <w:color w:val="000000"/>
                <w:sz w:val="22"/>
                <w:szCs w:val="22"/>
              </w:rPr>
              <w:t>5</w:t>
            </w:r>
          </w:p>
        </w:tc>
        <w:tc>
          <w:tcPr>
            <w:tcW w:w="1767" w:type="dxa"/>
          </w:tcPr>
          <w:p w:rsidR="00CB06A0" w:rsidRPr="00DF2C7C" w:rsidRDefault="0012689F" w:rsidP="00AE4B22">
            <w:pPr>
              <w:jc w:val="right"/>
              <w:rPr>
                <w:color w:val="000000"/>
                <w:sz w:val="22"/>
                <w:szCs w:val="22"/>
              </w:rPr>
            </w:pPr>
            <w:r w:rsidRPr="00DF2C7C">
              <w:rPr>
                <w:color w:val="000000"/>
                <w:sz w:val="22"/>
                <w:szCs w:val="22"/>
              </w:rPr>
              <w:t>17</w:t>
            </w:r>
          </w:p>
        </w:tc>
        <w:tc>
          <w:tcPr>
            <w:tcW w:w="1630" w:type="dxa"/>
            <w:vAlign w:val="bottom"/>
          </w:tcPr>
          <w:p w:rsidR="00CB06A0" w:rsidRPr="003F5E7D" w:rsidRDefault="00CB06A0" w:rsidP="00AE4B22">
            <w:pPr>
              <w:jc w:val="right"/>
              <w:rPr>
                <w:b/>
                <w:color w:val="000000"/>
                <w:sz w:val="22"/>
                <w:szCs w:val="22"/>
              </w:rPr>
            </w:pPr>
            <w:r>
              <w:rPr>
                <w:b/>
                <w:color w:val="000000"/>
                <w:sz w:val="22"/>
                <w:szCs w:val="22"/>
              </w:rPr>
              <w:t>65</w:t>
            </w:r>
          </w:p>
        </w:tc>
      </w:tr>
      <w:tr w:rsidR="00CB06A0" w:rsidRPr="00747098" w:rsidTr="00CB06A0">
        <w:tc>
          <w:tcPr>
            <w:tcW w:w="1365" w:type="dxa"/>
          </w:tcPr>
          <w:p w:rsidR="00CB06A0" w:rsidRPr="00747098" w:rsidRDefault="00CB06A0" w:rsidP="00AE4B22">
            <w:pPr>
              <w:tabs>
                <w:tab w:val="left" w:pos="360"/>
                <w:tab w:val="left" w:pos="2700"/>
                <w:tab w:val="left" w:pos="5040"/>
                <w:tab w:val="left" w:pos="7020"/>
              </w:tabs>
              <w:jc w:val="both"/>
              <w:rPr>
                <w:lang w:val="fr-FR"/>
              </w:rPr>
            </w:pPr>
            <w:r>
              <w:rPr>
                <w:lang w:val="fr-BE"/>
              </w:rPr>
              <w:t>Juli</w:t>
            </w:r>
          </w:p>
        </w:tc>
        <w:tc>
          <w:tcPr>
            <w:tcW w:w="1820" w:type="dxa"/>
            <w:vAlign w:val="bottom"/>
          </w:tcPr>
          <w:p w:rsidR="00CB06A0" w:rsidRPr="003F5E7D" w:rsidRDefault="008234AE" w:rsidP="00AE4B22">
            <w:pPr>
              <w:jc w:val="right"/>
              <w:rPr>
                <w:color w:val="000000"/>
                <w:sz w:val="22"/>
                <w:szCs w:val="22"/>
              </w:rPr>
            </w:pPr>
            <w:r>
              <w:rPr>
                <w:color w:val="000000"/>
                <w:sz w:val="22"/>
                <w:szCs w:val="22"/>
              </w:rPr>
              <w:t>20</w:t>
            </w:r>
          </w:p>
        </w:tc>
        <w:tc>
          <w:tcPr>
            <w:tcW w:w="1652" w:type="dxa"/>
            <w:vAlign w:val="bottom"/>
          </w:tcPr>
          <w:p w:rsidR="00CB06A0" w:rsidRPr="003F5E7D" w:rsidRDefault="00CB06A0" w:rsidP="00AE4B22">
            <w:pPr>
              <w:jc w:val="right"/>
              <w:rPr>
                <w:color w:val="000000"/>
                <w:sz w:val="22"/>
                <w:szCs w:val="22"/>
              </w:rPr>
            </w:pPr>
            <w:r>
              <w:rPr>
                <w:color w:val="000000"/>
                <w:sz w:val="22"/>
                <w:szCs w:val="22"/>
              </w:rPr>
              <w:t>10</w:t>
            </w:r>
          </w:p>
        </w:tc>
        <w:tc>
          <w:tcPr>
            <w:tcW w:w="1767" w:type="dxa"/>
          </w:tcPr>
          <w:p w:rsidR="00CB06A0" w:rsidRPr="00DF2C7C" w:rsidRDefault="0012689F" w:rsidP="00AE4B22">
            <w:pPr>
              <w:jc w:val="right"/>
              <w:rPr>
                <w:color w:val="000000"/>
                <w:sz w:val="22"/>
                <w:szCs w:val="22"/>
              </w:rPr>
            </w:pPr>
            <w:r w:rsidRPr="00DF2C7C">
              <w:rPr>
                <w:color w:val="000000"/>
                <w:sz w:val="22"/>
                <w:szCs w:val="22"/>
              </w:rPr>
              <w:t>18</w:t>
            </w:r>
          </w:p>
        </w:tc>
        <w:tc>
          <w:tcPr>
            <w:tcW w:w="1630" w:type="dxa"/>
            <w:vAlign w:val="bottom"/>
          </w:tcPr>
          <w:p w:rsidR="00CB06A0" w:rsidRPr="003F5E7D" w:rsidRDefault="00CB06A0" w:rsidP="00AE4B22">
            <w:pPr>
              <w:jc w:val="right"/>
              <w:rPr>
                <w:b/>
                <w:color w:val="000000"/>
                <w:sz w:val="22"/>
                <w:szCs w:val="22"/>
              </w:rPr>
            </w:pPr>
            <w:r>
              <w:rPr>
                <w:b/>
                <w:color w:val="000000"/>
                <w:sz w:val="22"/>
                <w:szCs w:val="22"/>
              </w:rPr>
              <w:t>48</w:t>
            </w:r>
          </w:p>
        </w:tc>
      </w:tr>
      <w:tr w:rsidR="00CB06A0" w:rsidRPr="00747098" w:rsidTr="00CB06A0">
        <w:tc>
          <w:tcPr>
            <w:tcW w:w="1365" w:type="dxa"/>
          </w:tcPr>
          <w:p w:rsidR="00CB06A0" w:rsidRPr="00747098" w:rsidRDefault="00CB06A0" w:rsidP="00AE4B22">
            <w:pPr>
              <w:tabs>
                <w:tab w:val="left" w:pos="360"/>
                <w:tab w:val="left" w:pos="2700"/>
                <w:tab w:val="left" w:pos="5040"/>
                <w:tab w:val="left" w:pos="7020"/>
              </w:tabs>
              <w:jc w:val="both"/>
              <w:rPr>
                <w:lang w:val="fr-FR"/>
              </w:rPr>
            </w:pPr>
            <w:r>
              <w:rPr>
                <w:lang w:val="fr-BE"/>
              </w:rPr>
              <w:t>Augustus</w:t>
            </w:r>
          </w:p>
        </w:tc>
        <w:tc>
          <w:tcPr>
            <w:tcW w:w="1820" w:type="dxa"/>
            <w:vAlign w:val="bottom"/>
          </w:tcPr>
          <w:p w:rsidR="00CB06A0" w:rsidRPr="003F5E7D" w:rsidRDefault="008234AE" w:rsidP="00AE4B22">
            <w:pPr>
              <w:jc w:val="right"/>
              <w:rPr>
                <w:color w:val="000000"/>
                <w:sz w:val="22"/>
                <w:szCs w:val="22"/>
              </w:rPr>
            </w:pPr>
            <w:r>
              <w:rPr>
                <w:color w:val="000000"/>
                <w:sz w:val="22"/>
                <w:szCs w:val="22"/>
              </w:rPr>
              <w:t>15</w:t>
            </w:r>
          </w:p>
        </w:tc>
        <w:tc>
          <w:tcPr>
            <w:tcW w:w="1652" w:type="dxa"/>
            <w:vAlign w:val="bottom"/>
          </w:tcPr>
          <w:p w:rsidR="00CB06A0" w:rsidRPr="003F5E7D" w:rsidRDefault="00CB06A0" w:rsidP="00AE4B22">
            <w:pPr>
              <w:jc w:val="right"/>
              <w:rPr>
                <w:color w:val="000000"/>
                <w:sz w:val="22"/>
                <w:szCs w:val="22"/>
              </w:rPr>
            </w:pPr>
            <w:r w:rsidRPr="0069088E">
              <w:rPr>
                <w:color w:val="000000"/>
                <w:sz w:val="22"/>
                <w:szCs w:val="22"/>
              </w:rPr>
              <w:t>1</w:t>
            </w:r>
            <w:r>
              <w:rPr>
                <w:color w:val="000000"/>
                <w:sz w:val="22"/>
                <w:szCs w:val="22"/>
              </w:rPr>
              <w:t>6</w:t>
            </w:r>
          </w:p>
        </w:tc>
        <w:tc>
          <w:tcPr>
            <w:tcW w:w="1767" w:type="dxa"/>
          </w:tcPr>
          <w:p w:rsidR="00CB06A0" w:rsidRPr="00DF2C7C" w:rsidRDefault="0012689F" w:rsidP="00AE4B22">
            <w:pPr>
              <w:jc w:val="right"/>
              <w:rPr>
                <w:color w:val="000000"/>
                <w:sz w:val="22"/>
                <w:szCs w:val="22"/>
              </w:rPr>
            </w:pPr>
            <w:r w:rsidRPr="00DF2C7C">
              <w:rPr>
                <w:color w:val="000000"/>
                <w:sz w:val="22"/>
                <w:szCs w:val="22"/>
              </w:rPr>
              <w:t>17</w:t>
            </w:r>
          </w:p>
        </w:tc>
        <w:tc>
          <w:tcPr>
            <w:tcW w:w="1630" w:type="dxa"/>
            <w:vAlign w:val="bottom"/>
          </w:tcPr>
          <w:p w:rsidR="00CB06A0" w:rsidRPr="003F5E7D" w:rsidRDefault="00CB06A0" w:rsidP="00AE4B22">
            <w:pPr>
              <w:jc w:val="right"/>
              <w:rPr>
                <w:b/>
                <w:color w:val="000000"/>
                <w:sz w:val="22"/>
                <w:szCs w:val="22"/>
              </w:rPr>
            </w:pPr>
            <w:r>
              <w:rPr>
                <w:b/>
                <w:color w:val="000000"/>
                <w:sz w:val="22"/>
                <w:szCs w:val="22"/>
              </w:rPr>
              <w:t>48</w:t>
            </w:r>
          </w:p>
        </w:tc>
      </w:tr>
      <w:tr w:rsidR="00CB06A0" w:rsidRPr="00747098" w:rsidTr="00CB06A0">
        <w:tc>
          <w:tcPr>
            <w:tcW w:w="1365" w:type="dxa"/>
          </w:tcPr>
          <w:p w:rsidR="00CB06A0" w:rsidRPr="00747098" w:rsidRDefault="00CB06A0" w:rsidP="00AE4B22">
            <w:pPr>
              <w:tabs>
                <w:tab w:val="left" w:pos="360"/>
                <w:tab w:val="left" w:pos="2700"/>
                <w:tab w:val="left" w:pos="5040"/>
                <w:tab w:val="left" w:pos="7020"/>
              </w:tabs>
              <w:jc w:val="both"/>
              <w:rPr>
                <w:lang w:val="fr-FR"/>
              </w:rPr>
            </w:pPr>
            <w:r>
              <w:rPr>
                <w:lang w:val="fr-BE"/>
              </w:rPr>
              <w:t>September</w:t>
            </w:r>
          </w:p>
        </w:tc>
        <w:tc>
          <w:tcPr>
            <w:tcW w:w="1820" w:type="dxa"/>
            <w:vAlign w:val="bottom"/>
          </w:tcPr>
          <w:p w:rsidR="00CB06A0" w:rsidRPr="003F5E7D" w:rsidRDefault="008234AE" w:rsidP="00AE4B22">
            <w:pPr>
              <w:jc w:val="right"/>
              <w:rPr>
                <w:color w:val="000000"/>
                <w:sz w:val="22"/>
                <w:szCs w:val="22"/>
              </w:rPr>
            </w:pPr>
            <w:r>
              <w:rPr>
                <w:color w:val="000000"/>
                <w:sz w:val="22"/>
                <w:szCs w:val="22"/>
              </w:rPr>
              <w:t>23</w:t>
            </w:r>
          </w:p>
        </w:tc>
        <w:tc>
          <w:tcPr>
            <w:tcW w:w="1652" w:type="dxa"/>
            <w:vAlign w:val="bottom"/>
          </w:tcPr>
          <w:p w:rsidR="00CB06A0" w:rsidRPr="003F5E7D" w:rsidRDefault="00CB06A0" w:rsidP="00AE4B22">
            <w:pPr>
              <w:jc w:val="right"/>
              <w:rPr>
                <w:color w:val="000000"/>
                <w:sz w:val="22"/>
                <w:szCs w:val="22"/>
              </w:rPr>
            </w:pPr>
            <w:r>
              <w:rPr>
                <w:color w:val="000000"/>
                <w:sz w:val="22"/>
                <w:szCs w:val="22"/>
              </w:rPr>
              <w:t>13</w:t>
            </w:r>
          </w:p>
        </w:tc>
        <w:tc>
          <w:tcPr>
            <w:tcW w:w="1767" w:type="dxa"/>
          </w:tcPr>
          <w:p w:rsidR="00CB06A0" w:rsidRPr="00DF2C7C" w:rsidRDefault="0012689F" w:rsidP="00AE4B22">
            <w:pPr>
              <w:jc w:val="right"/>
              <w:rPr>
                <w:color w:val="000000"/>
                <w:sz w:val="22"/>
                <w:szCs w:val="22"/>
              </w:rPr>
            </w:pPr>
            <w:r w:rsidRPr="00DF2C7C">
              <w:rPr>
                <w:color w:val="000000"/>
                <w:sz w:val="22"/>
                <w:szCs w:val="22"/>
              </w:rPr>
              <w:t>18</w:t>
            </w:r>
          </w:p>
        </w:tc>
        <w:tc>
          <w:tcPr>
            <w:tcW w:w="1630" w:type="dxa"/>
            <w:vAlign w:val="bottom"/>
          </w:tcPr>
          <w:p w:rsidR="00CB06A0" w:rsidRPr="003F5E7D" w:rsidRDefault="00CB06A0" w:rsidP="00AE4B22">
            <w:pPr>
              <w:jc w:val="right"/>
              <w:rPr>
                <w:b/>
                <w:color w:val="000000"/>
                <w:sz w:val="22"/>
                <w:szCs w:val="22"/>
              </w:rPr>
            </w:pPr>
            <w:r>
              <w:rPr>
                <w:b/>
                <w:color w:val="000000"/>
                <w:sz w:val="22"/>
                <w:szCs w:val="22"/>
              </w:rPr>
              <w:t>54</w:t>
            </w:r>
          </w:p>
        </w:tc>
      </w:tr>
      <w:tr w:rsidR="00CB06A0" w:rsidRPr="00747098" w:rsidTr="00CB06A0">
        <w:tc>
          <w:tcPr>
            <w:tcW w:w="1365" w:type="dxa"/>
          </w:tcPr>
          <w:p w:rsidR="00CB06A0" w:rsidRPr="00747098" w:rsidRDefault="00CB06A0" w:rsidP="00AE4B22">
            <w:pPr>
              <w:tabs>
                <w:tab w:val="left" w:pos="360"/>
                <w:tab w:val="left" w:pos="2700"/>
                <w:tab w:val="left" w:pos="5040"/>
                <w:tab w:val="left" w:pos="7020"/>
              </w:tabs>
              <w:jc w:val="both"/>
              <w:rPr>
                <w:lang w:val="fr-FR"/>
              </w:rPr>
            </w:pPr>
            <w:r>
              <w:rPr>
                <w:lang w:val="fr-BE"/>
              </w:rPr>
              <w:t>Oktober </w:t>
            </w:r>
          </w:p>
        </w:tc>
        <w:tc>
          <w:tcPr>
            <w:tcW w:w="1820" w:type="dxa"/>
            <w:vAlign w:val="bottom"/>
          </w:tcPr>
          <w:p w:rsidR="00CB06A0" w:rsidRPr="003F5E7D" w:rsidRDefault="008234AE" w:rsidP="00AE4B22">
            <w:pPr>
              <w:jc w:val="right"/>
              <w:rPr>
                <w:color w:val="000000"/>
                <w:sz w:val="22"/>
                <w:szCs w:val="22"/>
              </w:rPr>
            </w:pPr>
            <w:r>
              <w:rPr>
                <w:color w:val="000000"/>
                <w:sz w:val="22"/>
                <w:szCs w:val="22"/>
              </w:rPr>
              <w:t>22</w:t>
            </w:r>
          </w:p>
        </w:tc>
        <w:tc>
          <w:tcPr>
            <w:tcW w:w="1652" w:type="dxa"/>
            <w:vAlign w:val="bottom"/>
          </w:tcPr>
          <w:p w:rsidR="00CB06A0" w:rsidRPr="003F5E7D" w:rsidRDefault="00CB06A0" w:rsidP="00AE4B22">
            <w:pPr>
              <w:jc w:val="right"/>
              <w:rPr>
                <w:color w:val="000000"/>
                <w:sz w:val="22"/>
                <w:szCs w:val="22"/>
              </w:rPr>
            </w:pPr>
            <w:r w:rsidRPr="0069088E">
              <w:rPr>
                <w:color w:val="000000"/>
                <w:sz w:val="22"/>
                <w:szCs w:val="22"/>
              </w:rPr>
              <w:t>1</w:t>
            </w:r>
            <w:r>
              <w:rPr>
                <w:color w:val="000000"/>
                <w:sz w:val="22"/>
                <w:szCs w:val="22"/>
              </w:rPr>
              <w:t>7</w:t>
            </w:r>
          </w:p>
        </w:tc>
        <w:tc>
          <w:tcPr>
            <w:tcW w:w="1767" w:type="dxa"/>
          </w:tcPr>
          <w:p w:rsidR="00CB06A0" w:rsidRPr="00DF2C7C" w:rsidRDefault="0012689F" w:rsidP="00AE4B22">
            <w:pPr>
              <w:jc w:val="right"/>
              <w:rPr>
                <w:color w:val="000000"/>
                <w:sz w:val="22"/>
                <w:szCs w:val="22"/>
              </w:rPr>
            </w:pPr>
            <w:r w:rsidRPr="00DF2C7C">
              <w:rPr>
                <w:color w:val="000000"/>
                <w:sz w:val="22"/>
                <w:szCs w:val="22"/>
              </w:rPr>
              <w:t>32</w:t>
            </w:r>
          </w:p>
        </w:tc>
        <w:tc>
          <w:tcPr>
            <w:tcW w:w="1630" w:type="dxa"/>
            <w:vAlign w:val="bottom"/>
          </w:tcPr>
          <w:p w:rsidR="00CB06A0" w:rsidRPr="003F5E7D" w:rsidRDefault="00CB06A0" w:rsidP="00AE4B22">
            <w:pPr>
              <w:jc w:val="right"/>
              <w:rPr>
                <w:b/>
                <w:color w:val="000000"/>
                <w:sz w:val="22"/>
                <w:szCs w:val="22"/>
              </w:rPr>
            </w:pPr>
            <w:r>
              <w:rPr>
                <w:b/>
                <w:color w:val="000000"/>
                <w:sz w:val="22"/>
                <w:szCs w:val="22"/>
              </w:rPr>
              <w:t>71</w:t>
            </w:r>
          </w:p>
        </w:tc>
      </w:tr>
      <w:tr w:rsidR="00CB06A0" w:rsidRPr="00747098" w:rsidTr="00CB06A0">
        <w:tc>
          <w:tcPr>
            <w:tcW w:w="1365" w:type="dxa"/>
          </w:tcPr>
          <w:p w:rsidR="00CB06A0" w:rsidRPr="00747098" w:rsidRDefault="00CB06A0" w:rsidP="00AE4B22">
            <w:pPr>
              <w:tabs>
                <w:tab w:val="left" w:pos="360"/>
                <w:tab w:val="left" w:pos="2700"/>
                <w:tab w:val="left" w:pos="5040"/>
                <w:tab w:val="left" w:pos="7020"/>
              </w:tabs>
              <w:jc w:val="both"/>
              <w:rPr>
                <w:lang w:val="fr-FR"/>
              </w:rPr>
            </w:pPr>
            <w:r>
              <w:rPr>
                <w:lang w:val="fr-BE"/>
              </w:rPr>
              <w:t xml:space="preserve">November </w:t>
            </w:r>
          </w:p>
        </w:tc>
        <w:tc>
          <w:tcPr>
            <w:tcW w:w="1820" w:type="dxa"/>
            <w:vAlign w:val="bottom"/>
          </w:tcPr>
          <w:p w:rsidR="00CB06A0" w:rsidRPr="003F5E7D" w:rsidRDefault="008234AE" w:rsidP="00AE4B22">
            <w:pPr>
              <w:jc w:val="right"/>
              <w:rPr>
                <w:color w:val="000000"/>
                <w:sz w:val="22"/>
                <w:szCs w:val="22"/>
              </w:rPr>
            </w:pPr>
            <w:r>
              <w:rPr>
                <w:color w:val="000000"/>
                <w:sz w:val="22"/>
                <w:szCs w:val="22"/>
              </w:rPr>
              <w:t>21</w:t>
            </w:r>
          </w:p>
        </w:tc>
        <w:tc>
          <w:tcPr>
            <w:tcW w:w="1652" w:type="dxa"/>
            <w:vAlign w:val="bottom"/>
          </w:tcPr>
          <w:p w:rsidR="00CB06A0" w:rsidRPr="003F5E7D" w:rsidRDefault="00CB06A0" w:rsidP="00AE4B22">
            <w:pPr>
              <w:jc w:val="right"/>
              <w:rPr>
                <w:color w:val="000000"/>
                <w:sz w:val="22"/>
                <w:szCs w:val="22"/>
              </w:rPr>
            </w:pPr>
            <w:r>
              <w:rPr>
                <w:color w:val="000000"/>
                <w:sz w:val="22"/>
                <w:szCs w:val="22"/>
              </w:rPr>
              <w:t>11</w:t>
            </w:r>
          </w:p>
        </w:tc>
        <w:tc>
          <w:tcPr>
            <w:tcW w:w="1767" w:type="dxa"/>
          </w:tcPr>
          <w:p w:rsidR="00CB06A0" w:rsidRPr="00DF2C7C" w:rsidRDefault="0012689F" w:rsidP="00AE4B22">
            <w:pPr>
              <w:jc w:val="right"/>
              <w:rPr>
                <w:color w:val="000000"/>
                <w:sz w:val="22"/>
                <w:szCs w:val="22"/>
              </w:rPr>
            </w:pPr>
            <w:r w:rsidRPr="00DF2C7C">
              <w:rPr>
                <w:color w:val="000000"/>
                <w:sz w:val="22"/>
                <w:szCs w:val="22"/>
              </w:rPr>
              <w:t>26</w:t>
            </w:r>
          </w:p>
        </w:tc>
        <w:tc>
          <w:tcPr>
            <w:tcW w:w="1630" w:type="dxa"/>
            <w:vAlign w:val="bottom"/>
          </w:tcPr>
          <w:p w:rsidR="00CB06A0" w:rsidRPr="003F5E7D" w:rsidRDefault="00CB06A0" w:rsidP="00AE4B22">
            <w:pPr>
              <w:jc w:val="right"/>
              <w:rPr>
                <w:b/>
                <w:color w:val="000000"/>
                <w:sz w:val="22"/>
                <w:szCs w:val="22"/>
              </w:rPr>
            </w:pPr>
            <w:r>
              <w:rPr>
                <w:b/>
                <w:color w:val="000000"/>
                <w:sz w:val="22"/>
                <w:szCs w:val="22"/>
              </w:rPr>
              <w:t>58</w:t>
            </w:r>
          </w:p>
        </w:tc>
      </w:tr>
      <w:tr w:rsidR="00CB06A0" w:rsidRPr="00747098" w:rsidTr="00CB06A0">
        <w:tc>
          <w:tcPr>
            <w:tcW w:w="1365" w:type="dxa"/>
          </w:tcPr>
          <w:p w:rsidR="00CB06A0" w:rsidRPr="00747098" w:rsidRDefault="00CB06A0" w:rsidP="00AE4B22">
            <w:pPr>
              <w:tabs>
                <w:tab w:val="left" w:pos="360"/>
                <w:tab w:val="left" w:pos="2700"/>
                <w:tab w:val="left" w:pos="5040"/>
                <w:tab w:val="left" w:pos="7020"/>
              </w:tabs>
              <w:jc w:val="both"/>
              <w:rPr>
                <w:lang w:val="fr-FR"/>
              </w:rPr>
            </w:pPr>
            <w:r>
              <w:rPr>
                <w:lang w:val="fr-FR"/>
              </w:rPr>
              <w:t>December</w:t>
            </w:r>
          </w:p>
        </w:tc>
        <w:tc>
          <w:tcPr>
            <w:tcW w:w="1820" w:type="dxa"/>
            <w:vAlign w:val="bottom"/>
          </w:tcPr>
          <w:p w:rsidR="00CB06A0" w:rsidRPr="003F5E7D" w:rsidRDefault="008234AE" w:rsidP="00AE4B22">
            <w:pPr>
              <w:jc w:val="right"/>
              <w:rPr>
                <w:color w:val="000000"/>
                <w:sz w:val="22"/>
                <w:szCs w:val="22"/>
              </w:rPr>
            </w:pPr>
            <w:r>
              <w:rPr>
                <w:color w:val="000000"/>
                <w:sz w:val="22"/>
                <w:szCs w:val="22"/>
              </w:rPr>
              <w:t>29</w:t>
            </w:r>
          </w:p>
        </w:tc>
        <w:tc>
          <w:tcPr>
            <w:tcW w:w="1652" w:type="dxa"/>
            <w:vAlign w:val="bottom"/>
          </w:tcPr>
          <w:p w:rsidR="00CB06A0" w:rsidRPr="003F5E7D" w:rsidRDefault="00CB06A0" w:rsidP="00AE4B22">
            <w:pPr>
              <w:jc w:val="right"/>
              <w:rPr>
                <w:color w:val="000000"/>
                <w:sz w:val="22"/>
                <w:szCs w:val="22"/>
              </w:rPr>
            </w:pPr>
            <w:r>
              <w:rPr>
                <w:color w:val="000000"/>
                <w:sz w:val="22"/>
                <w:szCs w:val="22"/>
              </w:rPr>
              <w:t>8</w:t>
            </w:r>
          </w:p>
        </w:tc>
        <w:tc>
          <w:tcPr>
            <w:tcW w:w="1767" w:type="dxa"/>
          </w:tcPr>
          <w:p w:rsidR="00CB06A0" w:rsidRPr="00DF2C7C" w:rsidRDefault="0012689F" w:rsidP="00AE4B22">
            <w:pPr>
              <w:jc w:val="right"/>
              <w:rPr>
                <w:color w:val="000000"/>
                <w:sz w:val="22"/>
                <w:szCs w:val="22"/>
              </w:rPr>
            </w:pPr>
            <w:r w:rsidRPr="00DF2C7C">
              <w:rPr>
                <w:color w:val="000000"/>
                <w:sz w:val="22"/>
                <w:szCs w:val="22"/>
              </w:rPr>
              <w:t>13</w:t>
            </w:r>
          </w:p>
        </w:tc>
        <w:tc>
          <w:tcPr>
            <w:tcW w:w="1630" w:type="dxa"/>
            <w:vAlign w:val="bottom"/>
          </w:tcPr>
          <w:p w:rsidR="00CB06A0" w:rsidRPr="003F5E7D" w:rsidRDefault="00CB06A0" w:rsidP="00AE4B22">
            <w:pPr>
              <w:jc w:val="right"/>
              <w:rPr>
                <w:b/>
                <w:color w:val="000000"/>
                <w:sz w:val="22"/>
                <w:szCs w:val="22"/>
              </w:rPr>
            </w:pPr>
            <w:r w:rsidRPr="0069088E">
              <w:rPr>
                <w:b/>
                <w:color w:val="000000"/>
                <w:sz w:val="22"/>
                <w:szCs w:val="22"/>
              </w:rPr>
              <w:t>50</w:t>
            </w:r>
          </w:p>
        </w:tc>
      </w:tr>
      <w:tr w:rsidR="00CB06A0" w:rsidRPr="00747098" w:rsidTr="00CB06A0">
        <w:tc>
          <w:tcPr>
            <w:tcW w:w="1365" w:type="dxa"/>
          </w:tcPr>
          <w:p w:rsidR="00CB06A0" w:rsidRPr="00747098" w:rsidRDefault="00CB06A0" w:rsidP="00AE4B22">
            <w:pPr>
              <w:tabs>
                <w:tab w:val="left" w:pos="360"/>
                <w:tab w:val="left" w:pos="2700"/>
                <w:tab w:val="left" w:pos="5040"/>
                <w:tab w:val="left" w:pos="7020"/>
              </w:tabs>
              <w:rPr>
                <w:b/>
                <w:lang w:val="fr-FR"/>
              </w:rPr>
            </w:pPr>
          </w:p>
        </w:tc>
        <w:tc>
          <w:tcPr>
            <w:tcW w:w="1820" w:type="dxa"/>
          </w:tcPr>
          <w:p w:rsidR="00CB06A0" w:rsidRPr="003F5E7D" w:rsidRDefault="00CB06A0" w:rsidP="00AE4B22">
            <w:pPr>
              <w:tabs>
                <w:tab w:val="left" w:pos="360"/>
                <w:tab w:val="left" w:pos="2700"/>
                <w:tab w:val="left" w:pos="5040"/>
                <w:tab w:val="left" w:pos="7020"/>
              </w:tabs>
              <w:jc w:val="both"/>
              <w:rPr>
                <w:b/>
                <w:lang w:val="fr-FR"/>
              </w:rPr>
            </w:pPr>
          </w:p>
        </w:tc>
        <w:tc>
          <w:tcPr>
            <w:tcW w:w="1652" w:type="dxa"/>
          </w:tcPr>
          <w:p w:rsidR="00CB06A0" w:rsidRPr="003F5E7D" w:rsidRDefault="00CB06A0" w:rsidP="00AE4B22">
            <w:pPr>
              <w:tabs>
                <w:tab w:val="left" w:pos="360"/>
                <w:tab w:val="left" w:pos="2700"/>
                <w:tab w:val="left" w:pos="5040"/>
                <w:tab w:val="left" w:pos="7020"/>
              </w:tabs>
              <w:jc w:val="both"/>
              <w:rPr>
                <w:b/>
                <w:lang w:val="fr-FR"/>
              </w:rPr>
            </w:pPr>
          </w:p>
        </w:tc>
        <w:tc>
          <w:tcPr>
            <w:tcW w:w="1767" w:type="dxa"/>
          </w:tcPr>
          <w:p w:rsidR="00CB06A0" w:rsidRPr="003F5E7D" w:rsidRDefault="00CB06A0" w:rsidP="00AE4B22">
            <w:pPr>
              <w:tabs>
                <w:tab w:val="left" w:pos="360"/>
                <w:tab w:val="left" w:pos="2700"/>
                <w:tab w:val="left" w:pos="5040"/>
                <w:tab w:val="left" w:pos="7020"/>
              </w:tabs>
              <w:jc w:val="both"/>
              <w:rPr>
                <w:b/>
                <w:highlight w:val="green"/>
                <w:lang w:val="fr-FR"/>
              </w:rPr>
            </w:pPr>
          </w:p>
        </w:tc>
        <w:tc>
          <w:tcPr>
            <w:tcW w:w="1630" w:type="dxa"/>
          </w:tcPr>
          <w:p w:rsidR="00CB06A0" w:rsidRPr="003F5E7D" w:rsidRDefault="00CB06A0" w:rsidP="00AE4B22">
            <w:pPr>
              <w:tabs>
                <w:tab w:val="left" w:pos="360"/>
                <w:tab w:val="left" w:pos="2700"/>
                <w:tab w:val="left" w:pos="5040"/>
                <w:tab w:val="left" w:pos="7020"/>
              </w:tabs>
              <w:jc w:val="both"/>
              <w:rPr>
                <w:b/>
                <w:highlight w:val="green"/>
                <w:lang w:val="fr-FR"/>
              </w:rPr>
            </w:pPr>
          </w:p>
        </w:tc>
      </w:tr>
      <w:tr w:rsidR="00CB06A0" w:rsidRPr="00747098" w:rsidTr="00CB06A0">
        <w:tc>
          <w:tcPr>
            <w:tcW w:w="1365" w:type="dxa"/>
          </w:tcPr>
          <w:p w:rsidR="00CB06A0" w:rsidRPr="00747098" w:rsidRDefault="00CB06A0" w:rsidP="00AE4B22">
            <w:pPr>
              <w:tabs>
                <w:tab w:val="left" w:pos="360"/>
                <w:tab w:val="left" w:pos="2700"/>
                <w:tab w:val="left" w:pos="5040"/>
                <w:tab w:val="left" w:pos="7020"/>
              </w:tabs>
              <w:rPr>
                <w:b/>
                <w:highlight w:val="red"/>
                <w:lang w:val="fr-BE"/>
              </w:rPr>
            </w:pPr>
            <w:r>
              <w:rPr>
                <w:b/>
                <w:lang w:val="fr-BE"/>
              </w:rPr>
              <w:t>Totaal</w:t>
            </w:r>
          </w:p>
        </w:tc>
        <w:tc>
          <w:tcPr>
            <w:tcW w:w="1820" w:type="dxa"/>
            <w:vAlign w:val="center"/>
          </w:tcPr>
          <w:p w:rsidR="00CB06A0" w:rsidRPr="003F5E7D" w:rsidRDefault="0012689F" w:rsidP="00AE4B22">
            <w:pPr>
              <w:tabs>
                <w:tab w:val="left" w:pos="360"/>
                <w:tab w:val="left" w:pos="2700"/>
                <w:tab w:val="left" w:pos="5040"/>
                <w:tab w:val="left" w:pos="7020"/>
              </w:tabs>
              <w:jc w:val="right"/>
              <w:rPr>
                <w:b/>
                <w:lang w:val="fr-FR"/>
              </w:rPr>
            </w:pPr>
            <w:r>
              <w:rPr>
                <w:b/>
                <w:lang w:val="fr-FR"/>
              </w:rPr>
              <w:t>270</w:t>
            </w:r>
          </w:p>
        </w:tc>
        <w:tc>
          <w:tcPr>
            <w:tcW w:w="1652" w:type="dxa"/>
            <w:vAlign w:val="center"/>
          </w:tcPr>
          <w:p w:rsidR="00CB06A0" w:rsidRPr="003F5E7D" w:rsidRDefault="00CB06A0" w:rsidP="00CB06A0">
            <w:pPr>
              <w:tabs>
                <w:tab w:val="left" w:pos="360"/>
                <w:tab w:val="left" w:pos="2700"/>
                <w:tab w:val="left" w:pos="5040"/>
                <w:tab w:val="left" w:pos="7020"/>
              </w:tabs>
              <w:jc w:val="right"/>
              <w:rPr>
                <w:b/>
                <w:lang w:val="fr-FR"/>
              </w:rPr>
            </w:pPr>
            <w:r>
              <w:rPr>
                <w:b/>
                <w:lang w:val="fr-FR"/>
              </w:rPr>
              <w:t>139</w:t>
            </w:r>
          </w:p>
        </w:tc>
        <w:tc>
          <w:tcPr>
            <w:tcW w:w="1767" w:type="dxa"/>
          </w:tcPr>
          <w:p w:rsidR="00CB06A0" w:rsidRDefault="0012689F" w:rsidP="00AE4B22">
            <w:pPr>
              <w:tabs>
                <w:tab w:val="left" w:pos="360"/>
                <w:tab w:val="left" w:pos="2700"/>
                <w:tab w:val="left" w:pos="5040"/>
                <w:tab w:val="left" w:pos="7020"/>
              </w:tabs>
              <w:jc w:val="right"/>
              <w:rPr>
                <w:b/>
                <w:highlight w:val="green"/>
                <w:lang w:val="fr-FR"/>
              </w:rPr>
            </w:pPr>
            <w:r w:rsidRPr="00DF2C7C">
              <w:rPr>
                <w:b/>
                <w:lang w:val="fr-FR"/>
              </w:rPr>
              <w:t>231</w:t>
            </w:r>
          </w:p>
        </w:tc>
        <w:tc>
          <w:tcPr>
            <w:tcW w:w="1630" w:type="dxa"/>
            <w:vAlign w:val="center"/>
          </w:tcPr>
          <w:p w:rsidR="00CB06A0" w:rsidRPr="003F5E7D" w:rsidRDefault="00CB06A0" w:rsidP="00AE4B22">
            <w:pPr>
              <w:tabs>
                <w:tab w:val="left" w:pos="360"/>
                <w:tab w:val="left" w:pos="2700"/>
                <w:tab w:val="left" w:pos="5040"/>
                <w:tab w:val="left" w:pos="7020"/>
              </w:tabs>
              <w:jc w:val="right"/>
              <w:rPr>
                <w:b/>
                <w:highlight w:val="green"/>
                <w:lang w:val="fr-FR"/>
              </w:rPr>
            </w:pPr>
            <w:r w:rsidRPr="00CB06A0">
              <w:rPr>
                <w:b/>
                <w:lang w:val="fr-FR"/>
              </w:rPr>
              <w:t>640</w:t>
            </w:r>
          </w:p>
        </w:tc>
      </w:tr>
    </w:tbl>
    <w:p w:rsidR="00F90AB7" w:rsidRDefault="00F90AB7" w:rsidP="00F90AB7">
      <w:pPr>
        <w:tabs>
          <w:tab w:val="left" w:pos="360"/>
          <w:tab w:val="left" w:pos="3420"/>
          <w:tab w:val="left" w:pos="5400"/>
          <w:tab w:val="left" w:pos="7380"/>
        </w:tabs>
        <w:ind w:left="1089"/>
        <w:jc w:val="both"/>
        <w:rPr>
          <w:highlight w:val="yellow"/>
          <w:u w:val="single"/>
          <w:lang w:val="fr-BE"/>
        </w:rPr>
      </w:pPr>
      <w:r>
        <w:rPr>
          <w:lang w:val="fr-BE"/>
        </w:rPr>
        <w:tab/>
      </w:r>
    </w:p>
    <w:p w:rsidR="00807189" w:rsidRDefault="00807189" w:rsidP="00807189">
      <w:pPr>
        <w:tabs>
          <w:tab w:val="left" w:pos="360"/>
        </w:tabs>
        <w:ind w:left="360"/>
        <w:jc w:val="both"/>
        <w:rPr>
          <w:lang w:val="nl-NL"/>
        </w:rPr>
      </w:pPr>
    </w:p>
    <w:p w:rsidR="00F269F4" w:rsidRDefault="00F269F4">
      <w:pPr>
        <w:rPr>
          <w:lang w:val="nl-NL"/>
        </w:rPr>
      </w:pPr>
      <w:r>
        <w:rPr>
          <w:lang w:val="nl-NL"/>
        </w:rPr>
        <w:br w:type="page"/>
      </w:r>
    </w:p>
    <w:p w:rsidR="00D44E86" w:rsidRDefault="00D44E86" w:rsidP="00807189">
      <w:pPr>
        <w:tabs>
          <w:tab w:val="left" w:pos="360"/>
        </w:tabs>
        <w:ind w:left="360"/>
        <w:jc w:val="both"/>
        <w:rPr>
          <w:lang w:val="nl-NL"/>
        </w:rPr>
      </w:pPr>
    </w:p>
    <w:p w:rsidR="00D44E86" w:rsidRDefault="00D44E86" w:rsidP="00807189">
      <w:pPr>
        <w:tabs>
          <w:tab w:val="left" w:pos="360"/>
        </w:tabs>
        <w:ind w:left="360"/>
        <w:jc w:val="both"/>
        <w:rPr>
          <w:lang w:val="nl-NL"/>
        </w:rPr>
      </w:pPr>
    </w:p>
    <w:p w:rsidR="00F93E52" w:rsidRDefault="008E706C" w:rsidP="00F93E52">
      <w:pPr>
        <w:pStyle w:val="Heading2"/>
        <w:rPr>
          <w:bCs w:val="0"/>
          <w:u w:val="single"/>
          <w:lang w:val="nl-NL"/>
        </w:rPr>
      </w:pPr>
      <w:bookmarkStart w:id="10" w:name="_Toc510775718"/>
      <w:r w:rsidRPr="006D0278">
        <w:rPr>
          <w:bCs w:val="0"/>
          <w:lang w:val="nl-NL"/>
        </w:rPr>
        <w:t>2.</w:t>
      </w:r>
      <w:r w:rsidRPr="006D0278">
        <w:rPr>
          <w:bCs w:val="0"/>
          <w:u w:val="single"/>
          <w:lang w:val="nl-NL"/>
        </w:rPr>
        <w:t xml:space="preserve"> Aantal dossiers ontvangen van 20</w:t>
      </w:r>
      <w:r w:rsidR="00012226">
        <w:rPr>
          <w:bCs w:val="0"/>
          <w:u w:val="single"/>
          <w:lang w:val="nl-NL"/>
        </w:rPr>
        <w:t>13</w:t>
      </w:r>
      <w:r w:rsidRPr="006D0278">
        <w:rPr>
          <w:bCs w:val="0"/>
          <w:u w:val="single"/>
          <w:lang w:val="nl-NL"/>
        </w:rPr>
        <w:t xml:space="preserve"> tot </w:t>
      </w:r>
      <w:r w:rsidR="00257C37" w:rsidRPr="006D0278">
        <w:rPr>
          <w:bCs w:val="0"/>
          <w:u w:val="single"/>
          <w:lang w:val="nl-NL"/>
        </w:rPr>
        <w:t>201</w:t>
      </w:r>
      <w:r w:rsidR="00012226">
        <w:rPr>
          <w:bCs w:val="0"/>
          <w:u w:val="single"/>
          <w:lang w:val="nl-NL"/>
        </w:rPr>
        <w:t>7</w:t>
      </w:r>
      <w:bookmarkEnd w:id="10"/>
    </w:p>
    <w:p w:rsidR="00012226" w:rsidRDefault="00012226" w:rsidP="00012226">
      <w:pPr>
        <w:rPr>
          <w:lang w:val="nl-NL"/>
        </w:rPr>
      </w:pPr>
    </w:p>
    <w:p w:rsidR="00012226" w:rsidRPr="00FC7F1B" w:rsidRDefault="00012226" w:rsidP="00012226">
      <w:pPr>
        <w:pStyle w:val="Heading3"/>
        <w:rPr>
          <w:lang w:val="nl-NL"/>
        </w:rPr>
      </w:pPr>
    </w:p>
    <w:p w:rsidR="00012226" w:rsidRPr="00FC7F1B" w:rsidRDefault="00012226" w:rsidP="00012226">
      <w:pPr>
        <w:rPr>
          <w:lang w:val="nl-NL" w:eastAsia="nl-NL"/>
        </w:rPr>
      </w:pPr>
    </w:p>
    <w:p w:rsidR="00012226" w:rsidRDefault="00012226" w:rsidP="00012226">
      <w:pPr>
        <w:rPr>
          <w:lang w:eastAsia="nl-NL"/>
        </w:rPr>
      </w:pPr>
      <w:r>
        <w:rPr>
          <w:noProof/>
          <w:lang w:val="fr-BE" w:eastAsia="fr-BE"/>
        </w:rPr>
        <w:drawing>
          <wp:inline distT="0" distB="0" distL="0" distR="0" wp14:anchorId="1F29A6C1" wp14:editId="1BEF0C03">
            <wp:extent cx="5829300" cy="2638425"/>
            <wp:effectExtent l="0" t="0" r="19050"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2226" w:rsidRDefault="00012226" w:rsidP="00012226">
      <w:pPr>
        <w:rPr>
          <w:lang w:eastAsia="nl-NL"/>
        </w:rPr>
      </w:pPr>
    </w:p>
    <w:p w:rsidR="00012226" w:rsidRPr="00012226" w:rsidRDefault="00012226" w:rsidP="00012226">
      <w:pPr>
        <w:rPr>
          <w:lang w:val="nl-NL"/>
        </w:rPr>
      </w:pPr>
    </w:p>
    <w:p w:rsidR="00F93E52" w:rsidRPr="006D0278" w:rsidRDefault="00F93E52" w:rsidP="00F93E52">
      <w:pPr>
        <w:jc w:val="both"/>
        <w:rPr>
          <w:lang w:val="nl-NL"/>
        </w:rPr>
      </w:pPr>
    </w:p>
    <w:p w:rsidR="00012226" w:rsidRDefault="00FC7F1B" w:rsidP="00012226">
      <w:pPr>
        <w:pStyle w:val="Heading3"/>
      </w:pPr>
      <w:bookmarkStart w:id="11" w:name="_Toc510775720"/>
      <w:r>
        <w:t xml:space="preserve">Verschil </w:t>
      </w:r>
      <w:r w:rsidR="00012226">
        <w:t>FR/NL</w:t>
      </w:r>
      <w:bookmarkEnd w:id="11"/>
    </w:p>
    <w:p w:rsidR="00012226" w:rsidRDefault="00012226" w:rsidP="00012226">
      <w:pPr>
        <w:rPr>
          <w:lang w:eastAsia="nl-NL"/>
        </w:rPr>
      </w:pPr>
    </w:p>
    <w:p w:rsidR="00012226" w:rsidRDefault="00012226" w:rsidP="00012226">
      <w:pPr>
        <w:rPr>
          <w:lang w:eastAsia="nl-NL"/>
        </w:rPr>
      </w:pPr>
      <w:r>
        <w:rPr>
          <w:noProof/>
          <w:lang w:val="fr-BE" w:eastAsia="fr-BE"/>
        </w:rPr>
        <w:drawing>
          <wp:inline distT="0" distB="0" distL="0" distR="0" wp14:anchorId="55D8E9D0" wp14:editId="7D8EAAB3">
            <wp:extent cx="6019800" cy="3362325"/>
            <wp:effectExtent l="0" t="0" r="19050" b="952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2226" w:rsidRDefault="00012226" w:rsidP="00012226">
      <w:pPr>
        <w:rPr>
          <w:lang w:eastAsia="nl-NL"/>
        </w:rPr>
      </w:pPr>
    </w:p>
    <w:p w:rsidR="00012226" w:rsidRPr="00BA4BC6" w:rsidRDefault="00BA4BC6" w:rsidP="00012226">
      <w:pPr>
        <w:pStyle w:val="Heading3"/>
        <w:rPr>
          <w:lang w:val="nl-NL"/>
        </w:rPr>
      </w:pPr>
      <w:bookmarkStart w:id="12" w:name="_Toc510775721"/>
      <w:r w:rsidRPr="00BA4BC6">
        <w:rPr>
          <w:lang w:val="nl-NL"/>
        </w:rPr>
        <w:lastRenderedPageBreak/>
        <w:t xml:space="preserve">Evolutie in % van de conflicten </w:t>
      </w:r>
      <w:r>
        <w:rPr>
          <w:lang w:val="nl-NL"/>
        </w:rPr>
        <w:t>per taal</w:t>
      </w:r>
      <w:bookmarkEnd w:id="12"/>
      <w:r w:rsidR="00012226" w:rsidRPr="00BA4BC6">
        <w:rPr>
          <w:lang w:val="nl-NL"/>
        </w:rPr>
        <w:t xml:space="preserve"> </w:t>
      </w:r>
    </w:p>
    <w:p w:rsidR="00012226" w:rsidRDefault="00012226" w:rsidP="00012226">
      <w:pPr>
        <w:rPr>
          <w:lang w:eastAsia="nl-NL"/>
        </w:rPr>
      </w:pPr>
      <w:r>
        <w:rPr>
          <w:noProof/>
          <w:lang w:val="fr-BE" w:eastAsia="fr-BE"/>
        </w:rPr>
        <w:drawing>
          <wp:inline distT="0" distB="0" distL="0" distR="0" wp14:anchorId="57A03A51" wp14:editId="38EA2525">
            <wp:extent cx="5760720" cy="3657213"/>
            <wp:effectExtent l="0" t="0" r="11430" b="635"/>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2226" w:rsidRPr="00D2100B" w:rsidRDefault="00012226" w:rsidP="00012226">
      <w:pPr>
        <w:rPr>
          <w:lang w:eastAsia="nl-NL"/>
        </w:rPr>
      </w:pPr>
    </w:p>
    <w:p w:rsidR="00012226" w:rsidRPr="00BA4BC6" w:rsidRDefault="00BA4BC6" w:rsidP="00012226">
      <w:pPr>
        <w:pStyle w:val="Heading3"/>
        <w:rPr>
          <w:lang w:val="nl-NL"/>
        </w:rPr>
      </w:pPr>
      <w:bookmarkStart w:id="13" w:name="_Toc510775722"/>
      <w:r w:rsidRPr="00BA4BC6">
        <w:rPr>
          <w:lang w:val="nl-NL"/>
        </w:rPr>
        <w:t>Evolutie in % van de conflicten per regio</w:t>
      </w:r>
      <w:bookmarkEnd w:id="13"/>
      <w:r w:rsidRPr="00BA4BC6">
        <w:rPr>
          <w:lang w:val="nl-NL"/>
        </w:rPr>
        <w:t xml:space="preserve"> </w:t>
      </w:r>
      <w:r w:rsidR="00012226" w:rsidRPr="00BA4BC6">
        <w:rPr>
          <w:lang w:val="nl-NL"/>
        </w:rPr>
        <w:t xml:space="preserve">  </w:t>
      </w:r>
    </w:p>
    <w:p w:rsidR="00012226" w:rsidRPr="00BA4BC6" w:rsidRDefault="00012226" w:rsidP="00012226">
      <w:pPr>
        <w:rPr>
          <w:lang w:val="nl-NL" w:eastAsia="nl-NL"/>
        </w:rPr>
      </w:pPr>
    </w:p>
    <w:p w:rsidR="00012226" w:rsidRPr="00BA4BC6" w:rsidRDefault="00012226" w:rsidP="00012226">
      <w:pPr>
        <w:rPr>
          <w:lang w:val="fr-BE" w:eastAsia="nl-NL"/>
        </w:rPr>
      </w:pPr>
      <w:r>
        <w:rPr>
          <w:noProof/>
          <w:lang w:val="fr-BE" w:eastAsia="fr-BE"/>
        </w:rPr>
        <w:drawing>
          <wp:inline distT="0" distB="0" distL="0" distR="0" wp14:anchorId="099FCF9E" wp14:editId="52EC8556">
            <wp:extent cx="5760720" cy="3656965"/>
            <wp:effectExtent l="0" t="0" r="11430" b="635"/>
            <wp:docPr id="7"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2226" w:rsidRPr="00BA4BC6" w:rsidRDefault="00012226" w:rsidP="00012226">
      <w:pPr>
        <w:rPr>
          <w:lang w:val="fr-BE" w:eastAsia="nl-NL"/>
        </w:rPr>
      </w:pPr>
    </w:p>
    <w:p w:rsidR="00012226" w:rsidRPr="00BA4BC6" w:rsidRDefault="00012226" w:rsidP="00012226">
      <w:pPr>
        <w:rPr>
          <w:lang w:val="fr-BE" w:eastAsia="nl-NL"/>
        </w:rPr>
      </w:pPr>
    </w:p>
    <w:tbl>
      <w:tblPr>
        <w:tblW w:w="9202" w:type="dxa"/>
        <w:tblInd w:w="40" w:type="dxa"/>
        <w:tblLayout w:type="fixed"/>
        <w:tblCellMar>
          <w:left w:w="70" w:type="dxa"/>
          <w:right w:w="70" w:type="dxa"/>
        </w:tblCellMar>
        <w:tblLook w:val="0000" w:firstRow="0" w:lastRow="0" w:firstColumn="0" w:lastColumn="0" w:noHBand="0" w:noVBand="0"/>
      </w:tblPr>
      <w:tblGrid>
        <w:gridCol w:w="1023"/>
        <w:gridCol w:w="992"/>
        <w:gridCol w:w="567"/>
        <w:gridCol w:w="567"/>
        <w:gridCol w:w="709"/>
        <w:gridCol w:w="567"/>
        <w:gridCol w:w="567"/>
        <w:gridCol w:w="567"/>
        <w:gridCol w:w="498"/>
        <w:gridCol w:w="651"/>
        <w:gridCol w:w="552"/>
        <w:gridCol w:w="567"/>
        <w:gridCol w:w="567"/>
        <w:gridCol w:w="808"/>
      </w:tblGrid>
      <w:tr w:rsidR="00012226" w:rsidRPr="00BA4BC6" w:rsidTr="008234AE">
        <w:trPr>
          <w:trHeight w:val="238"/>
        </w:trPr>
        <w:tc>
          <w:tcPr>
            <w:tcW w:w="1023" w:type="dxa"/>
            <w:tcBorders>
              <w:top w:val="nil"/>
              <w:left w:val="nil"/>
              <w:bottom w:val="nil"/>
              <w:right w:val="nil"/>
            </w:tcBorders>
          </w:tcPr>
          <w:p w:rsidR="00012226" w:rsidRPr="00BA4BC6" w:rsidRDefault="00BA4BC6" w:rsidP="008234AE">
            <w:pPr>
              <w:autoSpaceDE w:val="0"/>
              <w:autoSpaceDN w:val="0"/>
              <w:adjustRightInd w:val="0"/>
              <w:rPr>
                <w:rFonts w:cs="Arial"/>
                <w:color w:val="000000"/>
                <w:sz w:val="20"/>
                <w:lang w:val="fr-BE"/>
              </w:rPr>
            </w:pPr>
            <w:r>
              <w:rPr>
                <w:rFonts w:cs="Arial"/>
                <w:color w:val="000000"/>
                <w:sz w:val="20"/>
                <w:lang w:val="fr-BE"/>
              </w:rPr>
              <w:lastRenderedPageBreak/>
              <w:t>Regio</w:t>
            </w:r>
          </w:p>
          <w:p w:rsidR="00012226" w:rsidRPr="00BA4BC6" w:rsidRDefault="00012226" w:rsidP="008234AE">
            <w:pPr>
              <w:autoSpaceDE w:val="0"/>
              <w:autoSpaceDN w:val="0"/>
              <w:adjustRightInd w:val="0"/>
              <w:rPr>
                <w:rFonts w:cs="Arial"/>
                <w:color w:val="000000"/>
                <w:sz w:val="20"/>
                <w:lang w:val="fr-BE"/>
              </w:rPr>
            </w:pPr>
            <w:r w:rsidRPr="00BA4BC6">
              <w:rPr>
                <w:rFonts w:cs="Arial"/>
                <w:color w:val="000000"/>
                <w:sz w:val="20"/>
                <w:lang w:val="fr-BE"/>
              </w:rPr>
              <w:t>2017</w:t>
            </w:r>
          </w:p>
        </w:tc>
        <w:tc>
          <w:tcPr>
            <w:tcW w:w="992" w:type="dxa"/>
            <w:tcBorders>
              <w:top w:val="nil"/>
              <w:left w:val="nil"/>
              <w:bottom w:val="nil"/>
              <w:right w:val="nil"/>
            </w:tcBorders>
          </w:tcPr>
          <w:p w:rsidR="00012226" w:rsidRPr="00012226" w:rsidRDefault="00012226" w:rsidP="008234AE">
            <w:pPr>
              <w:autoSpaceDE w:val="0"/>
              <w:autoSpaceDN w:val="0"/>
              <w:adjustRightInd w:val="0"/>
              <w:rPr>
                <w:rFonts w:cs="Arial"/>
                <w:color w:val="000000"/>
                <w:sz w:val="20"/>
                <w:lang w:val="fr-BE"/>
              </w:rPr>
            </w:pPr>
            <w:r w:rsidRPr="00012226">
              <w:rPr>
                <w:rFonts w:cs="Arial"/>
                <w:color w:val="000000"/>
                <w:sz w:val="20"/>
                <w:lang w:val="fr-BE"/>
              </w:rPr>
              <w:t>Tota</w:t>
            </w:r>
            <w:r w:rsidR="00BA4BC6">
              <w:rPr>
                <w:rFonts w:cs="Arial"/>
                <w:color w:val="000000"/>
                <w:sz w:val="20"/>
                <w:lang w:val="fr-BE"/>
              </w:rPr>
              <w:t>al aantal</w:t>
            </w:r>
            <w:r w:rsidRPr="00012226">
              <w:rPr>
                <w:rFonts w:cs="Arial"/>
                <w:color w:val="000000"/>
                <w:sz w:val="20"/>
                <w:lang w:val="fr-BE"/>
              </w:rPr>
              <w:t xml:space="preserve"> confli</w:t>
            </w:r>
            <w:r w:rsidR="00BA4BC6">
              <w:rPr>
                <w:rFonts w:cs="Arial"/>
                <w:color w:val="000000"/>
                <w:sz w:val="20"/>
                <w:lang w:val="fr-BE"/>
              </w:rPr>
              <w:t>c</w:t>
            </w:r>
            <w:r w:rsidRPr="00012226">
              <w:rPr>
                <w:rFonts w:cs="Arial"/>
                <w:color w:val="000000"/>
                <w:sz w:val="20"/>
                <w:lang w:val="fr-BE"/>
              </w:rPr>
              <w:t>t</w:t>
            </w:r>
            <w:r w:rsidR="00BA4BC6">
              <w:rPr>
                <w:rFonts w:cs="Arial"/>
                <w:color w:val="000000"/>
                <w:sz w:val="20"/>
                <w:lang w:val="fr-BE"/>
              </w:rPr>
              <w:t>en</w:t>
            </w:r>
          </w:p>
        </w:tc>
        <w:tc>
          <w:tcPr>
            <w:tcW w:w="567" w:type="dxa"/>
            <w:tcBorders>
              <w:top w:val="nil"/>
              <w:left w:val="nil"/>
              <w:bottom w:val="nil"/>
              <w:right w:val="nil"/>
            </w:tcBorders>
          </w:tcPr>
          <w:p w:rsidR="00012226" w:rsidRPr="00BA4BC6" w:rsidRDefault="00BA4BC6" w:rsidP="008234AE">
            <w:pPr>
              <w:autoSpaceDE w:val="0"/>
              <w:autoSpaceDN w:val="0"/>
              <w:adjustRightInd w:val="0"/>
              <w:rPr>
                <w:rFonts w:cs="Arial"/>
                <w:color w:val="000000"/>
                <w:sz w:val="20"/>
                <w:lang w:val="fr-BE"/>
              </w:rPr>
            </w:pPr>
            <w:r>
              <w:rPr>
                <w:rFonts w:cs="Arial"/>
                <w:color w:val="000000"/>
                <w:sz w:val="20"/>
                <w:lang w:val="fr-BE"/>
              </w:rPr>
              <w:t>jan</w:t>
            </w:r>
          </w:p>
        </w:tc>
        <w:tc>
          <w:tcPr>
            <w:tcW w:w="567" w:type="dxa"/>
            <w:tcBorders>
              <w:top w:val="nil"/>
              <w:left w:val="nil"/>
              <w:bottom w:val="nil"/>
              <w:right w:val="nil"/>
            </w:tcBorders>
          </w:tcPr>
          <w:p w:rsidR="00012226" w:rsidRPr="00BA4BC6" w:rsidRDefault="00BA4BC6" w:rsidP="008234AE">
            <w:pPr>
              <w:autoSpaceDE w:val="0"/>
              <w:autoSpaceDN w:val="0"/>
              <w:adjustRightInd w:val="0"/>
              <w:rPr>
                <w:rFonts w:cs="Arial"/>
                <w:color w:val="000000"/>
                <w:sz w:val="20"/>
                <w:lang w:val="fr-BE"/>
              </w:rPr>
            </w:pPr>
            <w:r>
              <w:rPr>
                <w:rFonts w:cs="Arial"/>
                <w:color w:val="000000"/>
                <w:sz w:val="20"/>
                <w:lang w:val="fr-BE"/>
              </w:rPr>
              <w:t>feb</w:t>
            </w:r>
            <w:r w:rsidR="00012226" w:rsidRPr="00BA4BC6">
              <w:rPr>
                <w:rFonts w:cs="Arial"/>
                <w:color w:val="000000"/>
                <w:sz w:val="20"/>
                <w:lang w:val="fr-BE"/>
              </w:rPr>
              <w:t>r</w:t>
            </w:r>
          </w:p>
        </w:tc>
        <w:tc>
          <w:tcPr>
            <w:tcW w:w="709" w:type="dxa"/>
            <w:tcBorders>
              <w:top w:val="nil"/>
              <w:left w:val="nil"/>
              <w:bottom w:val="nil"/>
              <w:right w:val="nil"/>
            </w:tcBorders>
          </w:tcPr>
          <w:p w:rsidR="00012226" w:rsidRPr="00BA4BC6" w:rsidRDefault="00012226" w:rsidP="008234AE">
            <w:pPr>
              <w:autoSpaceDE w:val="0"/>
              <w:autoSpaceDN w:val="0"/>
              <w:adjustRightInd w:val="0"/>
              <w:rPr>
                <w:rFonts w:cs="Arial"/>
                <w:color w:val="000000"/>
                <w:sz w:val="20"/>
                <w:lang w:val="fr-BE"/>
              </w:rPr>
            </w:pPr>
            <w:r w:rsidRPr="00BA4BC6">
              <w:rPr>
                <w:rFonts w:cs="Arial"/>
                <w:color w:val="000000"/>
                <w:sz w:val="20"/>
                <w:lang w:val="fr-BE"/>
              </w:rPr>
              <w:t>ma</w:t>
            </w:r>
            <w:r w:rsidR="00BA4BC6">
              <w:rPr>
                <w:rFonts w:cs="Arial"/>
                <w:color w:val="000000"/>
                <w:sz w:val="20"/>
                <w:lang w:val="fr-BE"/>
              </w:rPr>
              <w:t>a</w:t>
            </w:r>
            <w:r w:rsidR="00A26618">
              <w:rPr>
                <w:rFonts w:cs="Arial"/>
                <w:color w:val="000000"/>
                <w:sz w:val="20"/>
                <w:lang w:val="fr-BE"/>
              </w:rPr>
              <w:t>rt</w:t>
            </w:r>
          </w:p>
        </w:tc>
        <w:tc>
          <w:tcPr>
            <w:tcW w:w="567" w:type="dxa"/>
            <w:tcBorders>
              <w:top w:val="nil"/>
              <w:left w:val="nil"/>
              <w:bottom w:val="nil"/>
              <w:right w:val="nil"/>
            </w:tcBorders>
          </w:tcPr>
          <w:p w:rsidR="00012226" w:rsidRPr="00BA4BC6" w:rsidRDefault="00A26618" w:rsidP="008234AE">
            <w:pPr>
              <w:autoSpaceDE w:val="0"/>
              <w:autoSpaceDN w:val="0"/>
              <w:adjustRightInd w:val="0"/>
              <w:rPr>
                <w:rFonts w:cs="Arial"/>
                <w:color w:val="000000"/>
                <w:sz w:val="20"/>
                <w:lang w:val="fr-BE"/>
              </w:rPr>
            </w:pPr>
            <w:r>
              <w:rPr>
                <w:rFonts w:cs="Arial"/>
                <w:color w:val="000000"/>
                <w:sz w:val="20"/>
                <w:lang w:val="fr-BE"/>
              </w:rPr>
              <w:t>ap</w:t>
            </w:r>
            <w:r w:rsidR="00012226" w:rsidRPr="00BA4BC6">
              <w:rPr>
                <w:rFonts w:cs="Arial"/>
                <w:color w:val="000000"/>
                <w:sz w:val="20"/>
                <w:lang w:val="fr-BE"/>
              </w:rPr>
              <w:t>r</w:t>
            </w:r>
          </w:p>
        </w:tc>
        <w:tc>
          <w:tcPr>
            <w:tcW w:w="567" w:type="dxa"/>
            <w:tcBorders>
              <w:top w:val="nil"/>
              <w:left w:val="nil"/>
              <w:bottom w:val="nil"/>
              <w:right w:val="nil"/>
            </w:tcBorders>
          </w:tcPr>
          <w:p w:rsidR="00012226" w:rsidRPr="00BA4BC6" w:rsidRDefault="00A26618" w:rsidP="008234AE">
            <w:pPr>
              <w:autoSpaceDE w:val="0"/>
              <w:autoSpaceDN w:val="0"/>
              <w:adjustRightInd w:val="0"/>
              <w:rPr>
                <w:rFonts w:cs="Arial"/>
                <w:color w:val="000000"/>
                <w:sz w:val="20"/>
                <w:lang w:val="fr-BE"/>
              </w:rPr>
            </w:pPr>
            <w:r>
              <w:rPr>
                <w:rFonts w:cs="Arial"/>
                <w:color w:val="000000"/>
                <w:sz w:val="20"/>
                <w:lang w:val="fr-BE"/>
              </w:rPr>
              <w:t>me</w:t>
            </w:r>
            <w:r w:rsidR="00012226" w:rsidRPr="00BA4BC6">
              <w:rPr>
                <w:rFonts w:cs="Arial"/>
                <w:color w:val="000000"/>
                <w:sz w:val="20"/>
                <w:lang w:val="fr-BE"/>
              </w:rPr>
              <w:t>i</w:t>
            </w:r>
          </w:p>
        </w:tc>
        <w:tc>
          <w:tcPr>
            <w:tcW w:w="567" w:type="dxa"/>
            <w:tcBorders>
              <w:top w:val="nil"/>
              <w:left w:val="nil"/>
              <w:bottom w:val="nil"/>
              <w:right w:val="nil"/>
            </w:tcBorders>
          </w:tcPr>
          <w:p w:rsidR="00012226" w:rsidRPr="00BA4BC6" w:rsidRDefault="00A26618" w:rsidP="008234AE">
            <w:pPr>
              <w:autoSpaceDE w:val="0"/>
              <w:autoSpaceDN w:val="0"/>
              <w:adjustRightInd w:val="0"/>
              <w:rPr>
                <w:rFonts w:cs="Arial"/>
                <w:color w:val="000000"/>
                <w:sz w:val="20"/>
                <w:lang w:val="fr-BE"/>
              </w:rPr>
            </w:pPr>
            <w:r>
              <w:rPr>
                <w:rFonts w:cs="Arial"/>
                <w:color w:val="000000"/>
                <w:sz w:val="20"/>
                <w:lang w:val="fr-BE"/>
              </w:rPr>
              <w:t>ju</w:t>
            </w:r>
            <w:r w:rsidR="00012226" w:rsidRPr="00BA4BC6">
              <w:rPr>
                <w:rFonts w:cs="Arial"/>
                <w:color w:val="000000"/>
                <w:sz w:val="20"/>
                <w:lang w:val="fr-BE"/>
              </w:rPr>
              <w:t>n</w:t>
            </w:r>
            <w:r>
              <w:rPr>
                <w:rFonts w:cs="Arial"/>
                <w:color w:val="000000"/>
                <w:sz w:val="20"/>
                <w:lang w:val="fr-BE"/>
              </w:rPr>
              <w:t>i</w:t>
            </w:r>
          </w:p>
        </w:tc>
        <w:tc>
          <w:tcPr>
            <w:tcW w:w="498" w:type="dxa"/>
            <w:tcBorders>
              <w:top w:val="nil"/>
              <w:left w:val="nil"/>
              <w:bottom w:val="nil"/>
              <w:right w:val="nil"/>
            </w:tcBorders>
          </w:tcPr>
          <w:p w:rsidR="00012226" w:rsidRPr="00BA4BC6" w:rsidRDefault="00A26618" w:rsidP="008234AE">
            <w:pPr>
              <w:autoSpaceDE w:val="0"/>
              <w:autoSpaceDN w:val="0"/>
              <w:adjustRightInd w:val="0"/>
              <w:rPr>
                <w:rFonts w:cs="Arial"/>
                <w:color w:val="000000"/>
                <w:sz w:val="20"/>
                <w:lang w:val="fr-BE"/>
              </w:rPr>
            </w:pPr>
            <w:r>
              <w:rPr>
                <w:rFonts w:cs="Arial"/>
                <w:color w:val="000000"/>
                <w:sz w:val="20"/>
                <w:lang w:val="fr-BE"/>
              </w:rPr>
              <w:t>ju</w:t>
            </w:r>
            <w:r w:rsidR="00012226" w:rsidRPr="00BA4BC6">
              <w:rPr>
                <w:rFonts w:cs="Arial"/>
                <w:color w:val="000000"/>
                <w:sz w:val="20"/>
                <w:lang w:val="fr-BE"/>
              </w:rPr>
              <w:t>l</w:t>
            </w:r>
            <w:r>
              <w:rPr>
                <w:rFonts w:cs="Arial"/>
                <w:color w:val="000000"/>
                <w:sz w:val="20"/>
                <w:lang w:val="fr-BE"/>
              </w:rPr>
              <w:t>i</w:t>
            </w:r>
          </w:p>
        </w:tc>
        <w:tc>
          <w:tcPr>
            <w:tcW w:w="651" w:type="dxa"/>
            <w:tcBorders>
              <w:top w:val="nil"/>
              <w:left w:val="nil"/>
              <w:bottom w:val="nil"/>
              <w:right w:val="nil"/>
            </w:tcBorders>
          </w:tcPr>
          <w:p w:rsidR="00012226" w:rsidRPr="00BA4BC6" w:rsidRDefault="00A26618" w:rsidP="008234AE">
            <w:pPr>
              <w:autoSpaceDE w:val="0"/>
              <w:autoSpaceDN w:val="0"/>
              <w:adjustRightInd w:val="0"/>
              <w:rPr>
                <w:rFonts w:cs="Arial"/>
                <w:color w:val="000000"/>
                <w:sz w:val="20"/>
                <w:lang w:val="fr-BE"/>
              </w:rPr>
            </w:pPr>
            <w:r>
              <w:rPr>
                <w:rFonts w:cs="Arial"/>
                <w:color w:val="000000"/>
                <w:sz w:val="20"/>
                <w:lang w:val="fr-BE"/>
              </w:rPr>
              <w:t>augustus</w:t>
            </w:r>
          </w:p>
        </w:tc>
        <w:tc>
          <w:tcPr>
            <w:tcW w:w="552" w:type="dxa"/>
            <w:tcBorders>
              <w:top w:val="nil"/>
              <w:left w:val="nil"/>
              <w:bottom w:val="nil"/>
              <w:right w:val="nil"/>
            </w:tcBorders>
          </w:tcPr>
          <w:p w:rsidR="00012226" w:rsidRPr="00BA4BC6" w:rsidRDefault="00012226" w:rsidP="008234AE">
            <w:pPr>
              <w:autoSpaceDE w:val="0"/>
              <w:autoSpaceDN w:val="0"/>
              <w:adjustRightInd w:val="0"/>
              <w:rPr>
                <w:rFonts w:cs="Arial"/>
                <w:color w:val="000000"/>
                <w:sz w:val="20"/>
                <w:lang w:val="fr-BE"/>
              </w:rPr>
            </w:pPr>
            <w:r w:rsidRPr="00BA4BC6">
              <w:rPr>
                <w:rFonts w:cs="Arial"/>
                <w:color w:val="000000"/>
                <w:sz w:val="20"/>
                <w:lang w:val="fr-BE"/>
              </w:rPr>
              <w:t>sept</w:t>
            </w:r>
          </w:p>
        </w:tc>
        <w:tc>
          <w:tcPr>
            <w:tcW w:w="567" w:type="dxa"/>
            <w:tcBorders>
              <w:top w:val="nil"/>
              <w:left w:val="nil"/>
              <w:bottom w:val="nil"/>
              <w:right w:val="nil"/>
            </w:tcBorders>
          </w:tcPr>
          <w:p w:rsidR="00012226" w:rsidRPr="00BA4BC6" w:rsidRDefault="00A26618" w:rsidP="008234AE">
            <w:pPr>
              <w:autoSpaceDE w:val="0"/>
              <w:autoSpaceDN w:val="0"/>
              <w:adjustRightInd w:val="0"/>
              <w:rPr>
                <w:rFonts w:cs="Arial"/>
                <w:color w:val="000000"/>
                <w:sz w:val="20"/>
                <w:lang w:val="fr-BE"/>
              </w:rPr>
            </w:pPr>
            <w:r>
              <w:rPr>
                <w:rFonts w:cs="Arial"/>
                <w:color w:val="000000"/>
                <w:sz w:val="20"/>
                <w:lang w:val="fr-BE"/>
              </w:rPr>
              <w:t>ok</w:t>
            </w:r>
            <w:r w:rsidR="00012226" w:rsidRPr="00BA4BC6">
              <w:rPr>
                <w:rFonts w:cs="Arial"/>
                <w:color w:val="000000"/>
                <w:sz w:val="20"/>
                <w:lang w:val="fr-BE"/>
              </w:rPr>
              <w:t>t</w:t>
            </w:r>
          </w:p>
        </w:tc>
        <w:tc>
          <w:tcPr>
            <w:tcW w:w="567" w:type="dxa"/>
            <w:tcBorders>
              <w:top w:val="nil"/>
              <w:left w:val="nil"/>
              <w:bottom w:val="nil"/>
              <w:right w:val="nil"/>
            </w:tcBorders>
          </w:tcPr>
          <w:p w:rsidR="00012226" w:rsidRPr="00BA4BC6" w:rsidRDefault="00012226" w:rsidP="008234AE">
            <w:pPr>
              <w:autoSpaceDE w:val="0"/>
              <w:autoSpaceDN w:val="0"/>
              <w:adjustRightInd w:val="0"/>
              <w:rPr>
                <w:rFonts w:cs="Arial"/>
                <w:color w:val="000000"/>
                <w:sz w:val="20"/>
                <w:lang w:val="fr-BE"/>
              </w:rPr>
            </w:pPr>
            <w:r w:rsidRPr="00BA4BC6">
              <w:rPr>
                <w:rFonts w:cs="Arial"/>
                <w:color w:val="000000"/>
                <w:sz w:val="20"/>
                <w:lang w:val="fr-BE"/>
              </w:rPr>
              <w:t>nov</w:t>
            </w:r>
          </w:p>
        </w:tc>
        <w:tc>
          <w:tcPr>
            <w:tcW w:w="808" w:type="dxa"/>
            <w:tcBorders>
              <w:top w:val="nil"/>
              <w:left w:val="nil"/>
              <w:bottom w:val="nil"/>
              <w:right w:val="nil"/>
            </w:tcBorders>
          </w:tcPr>
          <w:p w:rsidR="00012226" w:rsidRPr="00BA4BC6" w:rsidRDefault="00A26618" w:rsidP="008234AE">
            <w:pPr>
              <w:autoSpaceDE w:val="0"/>
              <w:autoSpaceDN w:val="0"/>
              <w:adjustRightInd w:val="0"/>
              <w:rPr>
                <w:rFonts w:cs="Arial"/>
                <w:color w:val="000000"/>
                <w:sz w:val="20"/>
                <w:lang w:val="fr-BE"/>
              </w:rPr>
            </w:pPr>
            <w:r>
              <w:rPr>
                <w:rFonts w:cs="Arial"/>
                <w:color w:val="000000"/>
                <w:sz w:val="20"/>
                <w:lang w:val="fr-BE"/>
              </w:rPr>
              <w:t>de</w:t>
            </w:r>
            <w:r w:rsidR="00012226" w:rsidRPr="00BA4BC6">
              <w:rPr>
                <w:rFonts w:cs="Arial"/>
                <w:color w:val="000000"/>
                <w:sz w:val="20"/>
                <w:lang w:val="fr-BE"/>
              </w:rPr>
              <w:t>c</w:t>
            </w:r>
          </w:p>
        </w:tc>
      </w:tr>
      <w:tr w:rsidR="00012226" w:rsidTr="008234AE">
        <w:trPr>
          <w:trHeight w:val="324"/>
        </w:trPr>
        <w:tc>
          <w:tcPr>
            <w:tcW w:w="1023" w:type="dxa"/>
            <w:tcBorders>
              <w:top w:val="single" w:sz="6" w:space="0" w:color="C0C0C0"/>
              <w:left w:val="single" w:sz="6" w:space="0" w:color="C0C0C0"/>
              <w:bottom w:val="single" w:sz="6" w:space="0" w:color="C0C0C0"/>
              <w:right w:val="single" w:sz="6" w:space="0" w:color="C0C0C0"/>
            </w:tcBorders>
          </w:tcPr>
          <w:p w:rsidR="00012226" w:rsidRPr="00BA4BC6" w:rsidRDefault="00BA4BC6" w:rsidP="008234AE">
            <w:pPr>
              <w:autoSpaceDE w:val="0"/>
              <w:autoSpaceDN w:val="0"/>
              <w:adjustRightInd w:val="0"/>
              <w:rPr>
                <w:rFonts w:ascii="Calibri" w:hAnsi="Calibri" w:cs="Calibri"/>
                <w:color w:val="000000"/>
                <w:sz w:val="20"/>
                <w:lang w:val="fr-BE"/>
              </w:rPr>
            </w:pPr>
            <w:r>
              <w:rPr>
                <w:rFonts w:ascii="Calibri" w:hAnsi="Calibri" w:cs="Calibri"/>
                <w:color w:val="000000"/>
                <w:sz w:val="20"/>
                <w:lang w:val="fr-BE"/>
              </w:rPr>
              <w:t>Brussel</w:t>
            </w:r>
          </w:p>
        </w:tc>
        <w:tc>
          <w:tcPr>
            <w:tcW w:w="992" w:type="dxa"/>
            <w:tcBorders>
              <w:top w:val="single" w:sz="6" w:space="0" w:color="C0C0C0"/>
              <w:left w:val="single" w:sz="6" w:space="0" w:color="C0C0C0"/>
              <w:bottom w:val="single" w:sz="6" w:space="0" w:color="C0C0C0"/>
              <w:right w:val="single" w:sz="6" w:space="0" w:color="C0C0C0"/>
            </w:tcBorders>
          </w:tcPr>
          <w:p w:rsidR="00012226" w:rsidRPr="00BA4BC6" w:rsidRDefault="00012226" w:rsidP="008234AE">
            <w:pPr>
              <w:autoSpaceDE w:val="0"/>
              <w:autoSpaceDN w:val="0"/>
              <w:adjustRightInd w:val="0"/>
              <w:jc w:val="right"/>
              <w:rPr>
                <w:rFonts w:ascii="Calibri" w:hAnsi="Calibri" w:cs="Calibri"/>
                <w:color w:val="000000"/>
                <w:sz w:val="20"/>
                <w:lang w:val="fr-BE"/>
              </w:rPr>
            </w:pPr>
            <w:r w:rsidRPr="00BA4BC6">
              <w:rPr>
                <w:rFonts w:ascii="Calibri" w:hAnsi="Calibri" w:cs="Calibri"/>
                <w:color w:val="000000"/>
                <w:sz w:val="20"/>
                <w:lang w:val="fr-BE"/>
              </w:rPr>
              <w:t>270</w:t>
            </w:r>
          </w:p>
        </w:tc>
        <w:tc>
          <w:tcPr>
            <w:tcW w:w="567" w:type="dxa"/>
            <w:tcBorders>
              <w:top w:val="single" w:sz="6" w:space="0" w:color="C0C0C0"/>
              <w:left w:val="single" w:sz="6" w:space="0" w:color="C0C0C0"/>
              <w:bottom w:val="single" w:sz="6" w:space="0" w:color="C0C0C0"/>
              <w:right w:val="single" w:sz="6" w:space="0" w:color="C0C0C0"/>
            </w:tcBorders>
          </w:tcPr>
          <w:p w:rsidR="00012226" w:rsidRPr="00BA4BC6" w:rsidRDefault="00012226" w:rsidP="008234AE">
            <w:pPr>
              <w:autoSpaceDE w:val="0"/>
              <w:autoSpaceDN w:val="0"/>
              <w:adjustRightInd w:val="0"/>
              <w:jc w:val="right"/>
              <w:rPr>
                <w:rFonts w:ascii="Calibri" w:hAnsi="Calibri" w:cs="Calibri"/>
                <w:color w:val="000000"/>
                <w:sz w:val="20"/>
                <w:lang w:val="fr-BE"/>
              </w:rPr>
            </w:pPr>
            <w:r w:rsidRPr="00BA4BC6">
              <w:rPr>
                <w:rFonts w:ascii="Calibri" w:hAnsi="Calibri" w:cs="Calibri"/>
                <w:color w:val="000000"/>
                <w:sz w:val="20"/>
                <w:lang w:val="fr-BE"/>
              </w:rPr>
              <w:t>17</w:t>
            </w:r>
          </w:p>
        </w:tc>
        <w:tc>
          <w:tcPr>
            <w:tcW w:w="567" w:type="dxa"/>
            <w:tcBorders>
              <w:top w:val="single" w:sz="6" w:space="0" w:color="C0C0C0"/>
              <w:left w:val="single" w:sz="6" w:space="0" w:color="C0C0C0"/>
              <w:bottom w:val="single" w:sz="6" w:space="0" w:color="C0C0C0"/>
              <w:right w:val="single" w:sz="6" w:space="0" w:color="C0C0C0"/>
            </w:tcBorders>
          </w:tcPr>
          <w:p w:rsidR="00012226" w:rsidRPr="00BA4BC6" w:rsidRDefault="00012226" w:rsidP="008234AE">
            <w:pPr>
              <w:autoSpaceDE w:val="0"/>
              <w:autoSpaceDN w:val="0"/>
              <w:adjustRightInd w:val="0"/>
              <w:jc w:val="right"/>
              <w:rPr>
                <w:rFonts w:ascii="Calibri" w:hAnsi="Calibri" w:cs="Calibri"/>
                <w:color w:val="000000"/>
                <w:sz w:val="20"/>
                <w:lang w:val="fr-BE"/>
              </w:rPr>
            </w:pPr>
            <w:r w:rsidRPr="00BA4BC6">
              <w:rPr>
                <w:rFonts w:ascii="Calibri" w:hAnsi="Calibri" w:cs="Calibri"/>
                <w:color w:val="000000"/>
                <w:sz w:val="20"/>
                <w:lang w:val="fr-BE"/>
              </w:rPr>
              <w:t>15</w:t>
            </w:r>
          </w:p>
        </w:tc>
        <w:tc>
          <w:tcPr>
            <w:tcW w:w="709" w:type="dxa"/>
            <w:tcBorders>
              <w:top w:val="single" w:sz="6" w:space="0" w:color="C0C0C0"/>
              <w:left w:val="single" w:sz="6" w:space="0" w:color="C0C0C0"/>
              <w:bottom w:val="single" w:sz="6" w:space="0" w:color="C0C0C0"/>
              <w:right w:val="single" w:sz="6" w:space="0" w:color="C0C0C0"/>
            </w:tcBorders>
          </w:tcPr>
          <w:p w:rsidR="00012226" w:rsidRPr="00BA4BC6" w:rsidRDefault="00012226" w:rsidP="008234AE">
            <w:pPr>
              <w:autoSpaceDE w:val="0"/>
              <w:autoSpaceDN w:val="0"/>
              <w:adjustRightInd w:val="0"/>
              <w:jc w:val="right"/>
              <w:rPr>
                <w:rFonts w:ascii="Calibri" w:hAnsi="Calibri" w:cs="Calibri"/>
                <w:color w:val="000000"/>
                <w:sz w:val="20"/>
                <w:lang w:val="fr-BE"/>
              </w:rPr>
            </w:pPr>
            <w:r w:rsidRPr="00BA4BC6">
              <w:rPr>
                <w:rFonts w:ascii="Calibri" w:hAnsi="Calibri" w:cs="Calibri"/>
                <w:color w:val="000000"/>
                <w:sz w:val="20"/>
                <w:lang w:val="fr-BE"/>
              </w:rPr>
              <w:t>19</w:t>
            </w:r>
          </w:p>
        </w:tc>
        <w:tc>
          <w:tcPr>
            <w:tcW w:w="567" w:type="dxa"/>
            <w:tcBorders>
              <w:top w:val="single" w:sz="6" w:space="0" w:color="C0C0C0"/>
              <w:left w:val="single" w:sz="6" w:space="0" w:color="C0C0C0"/>
              <w:bottom w:val="single" w:sz="6" w:space="0" w:color="C0C0C0"/>
              <w:right w:val="single" w:sz="6" w:space="0" w:color="C0C0C0"/>
            </w:tcBorders>
          </w:tcPr>
          <w:p w:rsidR="00012226" w:rsidRPr="00BA4BC6" w:rsidRDefault="00012226" w:rsidP="008234AE">
            <w:pPr>
              <w:autoSpaceDE w:val="0"/>
              <w:autoSpaceDN w:val="0"/>
              <w:adjustRightInd w:val="0"/>
              <w:jc w:val="right"/>
              <w:rPr>
                <w:rFonts w:ascii="Calibri" w:hAnsi="Calibri" w:cs="Calibri"/>
                <w:color w:val="000000"/>
                <w:sz w:val="20"/>
                <w:lang w:val="fr-BE"/>
              </w:rPr>
            </w:pPr>
            <w:r w:rsidRPr="00BA4BC6">
              <w:rPr>
                <w:rFonts w:ascii="Calibri" w:hAnsi="Calibri" w:cs="Calibri"/>
                <w:color w:val="000000"/>
                <w:sz w:val="20"/>
                <w:lang w:val="fr-BE"/>
              </w:rPr>
              <w:t>28</w:t>
            </w:r>
          </w:p>
        </w:tc>
        <w:tc>
          <w:tcPr>
            <w:tcW w:w="567" w:type="dxa"/>
            <w:tcBorders>
              <w:top w:val="single" w:sz="6" w:space="0" w:color="C0C0C0"/>
              <w:left w:val="single" w:sz="6" w:space="0" w:color="C0C0C0"/>
              <w:bottom w:val="single" w:sz="6" w:space="0" w:color="C0C0C0"/>
              <w:right w:val="single" w:sz="6" w:space="0" w:color="C0C0C0"/>
            </w:tcBorders>
          </w:tcPr>
          <w:p w:rsidR="00012226" w:rsidRPr="00BA4BC6" w:rsidRDefault="00012226" w:rsidP="008234AE">
            <w:pPr>
              <w:autoSpaceDE w:val="0"/>
              <w:autoSpaceDN w:val="0"/>
              <w:adjustRightInd w:val="0"/>
              <w:jc w:val="right"/>
              <w:rPr>
                <w:rFonts w:ascii="Calibri" w:hAnsi="Calibri" w:cs="Calibri"/>
                <w:color w:val="000000"/>
                <w:sz w:val="20"/>
                <w:lang w:val="fr-BE"/>
              </w:rPr>
            </w:pPr>
            <w:r w:rsidRPr="00BA4BC6">
              <w:rPr>
                <w:rFonts w:ascii="Calibri" w:hAnsi="Calibri" w:cs="Calibri"/>
                <w:color w:val="000000"/>
                <w:sz w:val="20"/>
                <w:lang w:val="fr-BE"/>
              </w:rPr>
              <w:t>28</w:t>
            </w:r>
          </w:p>
        </w:tc>
        <w:tc>
          <w:tcPr>
            <w:tcW w:w="567" w:type="dxa"/>
            <w:tcBorders>
              <w:top w:val="single" w:sz="6" w:space="0" w:color="C0C0C0"/>
              <w:left w:val="single" w:sz="6" w:space="0" w:color="C0C0C0"/>
              <w:bottom w:val="single" w:sz="6" w:space="0" w:color="C0C0C0"/>
              <w:right w:val="single" w:sz="6" w:space="0" w:color="C0C0C0"/>
            </w:tcBorders>
          </w:tcPr>
          <w:p w:rsidR="00012226" w:rsidRPr="00BA4BC6" w:rsidRDefault="00012226" w:rsidP="008234AE">
            <w:pPr>
              <w:autoSpaceDE w:val="0"/>
              <w:autoSpaceDN w:val="0"/>
              <w:adjustRightInd w:val="0"/>
              <w:jc w:val="right"/>
              <w:rPr>
                <w:rFonts w:ascii="Calibri" w:hAnsi="Calibri" w:cs="Calibri"/>
                <w:color w:val="000000"/>
                <w:sz w:val="20"/>
                <w:lang w:val="fr-BE"/>
              </w:rPr>
            </w:pPr>
            <w:r w:rsidRPr="00BA4BC6">
              <w:rPr>
                <w:rFonts w:ascii="Calibri" w:hAnsi="Calibri" w:cs="Calibri"/>
                <w:color w:val="000000"/>
                <w:sz w:val="20"/>
                <w:lang w:val="fr-BE"/>
              </w:rPr>
              <w:t>33</w:t>
            </w:r>
          </w:p>
        </w:tc>
        <w:tc>
          <w:tcPr>
            <w:tcW w:w="498"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20</w:t>
            </w:r>
          </w:p>
        </w:tc>
        <w:tc>
          <w:tcPr>
            <w:tcW w:w="651"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15</w:t>
            </w:r>
          </w:p>
        </w:tc>
        <w:tc>
          <w:tcPr>
            <w:tcW w:w="552"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23</w:t>
            </w:r>
          </w:p>
        </w:tc>
        <w:tc>
          <w:tcPr>
            <w:tcW w:w="567"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22</w:t>
            </w:r>
          </w:p>
        </w:tc>
        <w:tc>
          <w:tcPr>
            <w:tcW w:w="567"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21</w:t>
            </w:r>
          </w:p>
        </w:tc>
        <w:tc>
          <w:tcPr>
            <w:tcW w:w="808"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29</w:t>
            </w:r>
          </w:p>
        </w:tc>
      </w:tr>
      <w:tr w:rsidR="00012226" w:rsidTr="008234AE">
        <w:trPr>
          <w:trHeight w:val="324"/>
        </w:trPr>
        <w:tc>
          <w:tcPr>
            <w:tcW w:w="1023" w:type="dxa"/>
            <w:tcBorders>
              <w:top w:val="single" w:sz="6" w:space="0" w:color="C0C0C0"/>
              <w:left w:val="single" w:sz="6" w:space="0" w:color="C0C0C0"/>
              <w:bottom w:val="single" w:sz="6" w:space="0" w:color="C0C0C0"/>
              <w:right w:val="single" w:sz="6" w:space="0" w:color="C0C0C0"/>
            </w:tcBorders>
          </w:tcPr>
          <w:p w:rsidR="00012226" w:rsidRDefault="00A26618" w:rsidP="008234AE">
            <w:pPr>
              <w:autoSpaceDE w:val="0"/>
              <w:autoSpaceDN w:val="0"/>
              <w:adjustRightInd w:val="0"/>
              <w:rPr>
                <w:rFonts w:ascii="Calibri" w:hAnsi="Calibri" w:cs="Calibri"/>
                <w:color w:val="000000"/>
                <w:sz w:val="20"/>
              </w:rPr>
            </w:pPr>
            <w:r>
              <w:rPr>
                <w:rFonts w:ascii="Calibri" w:hAnsi="Calibri" w:cs="Calibri"/>
                <w:color w:val="000000"/>
                <w:sz w:val="20"/>
              </w:rPr>
              <w:t>V</w:t>
            </w:r>
            <w:r w:rsidR="00BA4BC6">
              <w:rPr>
                <w:rFonts w:ascii="Calibri" w:hAnsi="Calibri" w:cs="Calibri"/>
                <w:color w:val="000000"/>
                <w:sz w:val="20"/>
              </w:rPr>
              <w:t>laanderen</w:t>
            </w:r>
          </w:p>
        </w:tc>
        <w:tc>
          <w:tcPr>
            <w:tcW w:w="992"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139</w:t>
            </w:r>
          </w:p>
        </w:tc>
        <w:tc>
          <w:tcPr>
            <w:tcW w:w="567"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10</w:t>
            </w:r>
          </w:p>
        </w:tc>
        <w:tc>
          <w:tcPr>
            <w:tcW w:w="567"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11</w:t>
            </w:r>
          </w:p>
        </w:tc>
        <w:tc>
          <w:tcPr>
            <w:tcW w:w="709"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8</w:t>
            </w:r>
          </w:p>
        </w:tc>
        <w:tc>
          <w:tcPr>
            <w:tcW w:w="567"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10</w:t>
            </w:r>
          </w:p>
        </w:tc>
        <w:tc>
          <w:tcPr>
            <w:tcW w:w="567"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10</w:t>
            </w:r>
          </w:p>
        </w:tc>
        <w:tc>
          <w:tcPr>
            <w:tcW w:w="567"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15</w:t>
            </w:r>
          </w:p>
        </w:tc>
        <w:tc>
          <w:tcPr>
            <w:tcW w:w="498"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10</w:t>
            </w:r>
          </w:p>
        </w:tc>
        <w:tc>
          <w:tcPr>
            <w:tcW w:w="651"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16</w:t>
            </w:r>
          </w:p>
        </w:tc>
        <w:tc>
          <w:tcPr>
            <w:tcW w:w="552"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13</w:t>
            </w:r>
          </w:p>
        </w:tc>
        <w:tc>
          <w:tcPr>
            <w:tcW w:w="567"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17</w:t>
            </w:r>
          </w:p>
        </w:tc>
        <w:tc>
          <w:tcPr>
            <w:tcW w:w="567"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11</w:t>
            </w:r>
          </w:p>
        </w:tc>
        <w:tc>
          <w:tcPr>
            <w:tcW w:w="808"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8</w:t>
            </w:r>
          </w:p>
        </w:tc>
      </w:tr>
      <w:tr w:rsidR="00012226" w:rsidTr="008234AE">
        <w:trPr>
          <w:trHeight w:val="324"/>
        </w:trPr>
        <w:tc>
          <w:tcPr>
            <w:tcW w:w="1023" w:type="dxa"/>
            <w:tcBorders>
              <w:top w:val="single" w:sz="6" w:space="0" w:color="C0C0C0"/>
              <w:left w:val="single" w:sz="6" w:space="0" w:color="C0C0C0"/>
              <w:bottom w:val="single" w:sz="6" w:space="0" w:color="C0C0C0"/>
              <w:right w:val="single" w:sz="6" w:space="0" w:color="C0C0C0"/>
            </w:tcBorders>
          </w:tcPr>
          <w:p w:rsidR="00012226" w:rsidRDefault="00BA4BC6" w:rsidP="008234AE">
            <w:pPr>
              <w:autoSpaceDE w:val="0"/>
              <w:autoSpaceDN w:val="0"/>
              <w:adjustRightInd w:val="0"/>
              <w:rPr>
                <w:rFonts w:ascii="Calibri" w:hAnsi="Calibri" w:cs="Calibri"/>
                <w:color w:val="000000"/>
                <w:sz w:val="20"/>
              </w:rPr>
            </w:pPr>
            <w:r>
              <w:rPr>
                <w:rFonts w:ascii="Calibri" w:hAnsi="Calibri" w:cs="Calibri"/>
                <w:color w:val="000000"/>
                <w:sz w:val="20"/>
              </w:rPr>
              <w:t>Wallon</w:t>
            </w:r>
            <w:r w:rsidR="00A26618">
              <w:rPr>
                <w:rFonts w:ascii="Calibri" w:hAnsi="Calibri" w:cs="Calibri"/>
                <w:color w:val="000000"/>
                <w:sz w:val="20"/>
              </w:rPr>
              <w:t>i</w:t>
            </w:r>
            <w:r>
              <w:rPr>
                <w:rFonts w:ascii="Calibri" w:hAnsi="Calibri" w:cs="Calibri"/>
                <w:color w:val="000000"/>
                <w:sz w:val="20"/>
              </w:rPr>
              <w:t>e</w:t>
            </w:r>
          </w:p>
        </w:tc>
        <w:tc>
          <w:tcPr>
            <w:tcW w:w="992"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231</w:t>
            </w:r>
          </w:p>
        </w:tc>
        <w:tc>
          <w:tcPr>
            <w:tcW w:w="567"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20</w:t>
            </w:r>
          </w:p>
        </w:tc>
        <w:tc>
          <w:tcPr>
            <w:tcW w:w="567"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10</w:t>
            </w:r>
          </w:p>
        </w:tc>
        <w:tc>
          <w:tcPr>
            <w:tcW w:w="709"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17</w:t>
            </w:r>
          </w:p>
        </w:tc>
        <w:tc>
          <w:tcPr>
            <w:tcW w:w="567"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18</w:t>
            </w:r>
          </w:p>
        </w:tc>
        <w:tc>
          <w:tcPr>
            <w:tcW w:w="567"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25</w:t>
            </w:r>
          </w:p>
        </w:tc>
        <w:tc>
          <w:tcPr>
            <w:tcW w:w="567"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17</w:t>
            </w:r>
          </w:p>
        </w:tc>
        <w:tc>
          <w:tcPr>
            <w:tcW w:w="498"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18</w:t>
            </w:r>
          </w:p>
        </w:tc>
        <w:tc>
          <w:tcPr>
            <w:tcW w:w="651"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17</w:t>
            </w:r>
          </w:p>
        </w:tc>
        <w:tc>
          <w:tcPr>
            <w:tcW w:w="552"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18</w:t>
            </w:r>
          </w:p>
        </w:tc>
        <w:tc>
          <w:tcPr>
            <w:tcW w:w="567"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32</w:t>
            </w:r>
          </w:p>
        </w:tc>
        <w:tc>
          <w:tcPr>
            <w:tcW w:w="567"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26</w:t>
            </w:r>
          </w:p>
        </w:tc>
        <w:tc>
          <w:tcPr>
            <w:tcW w:w="808" w:type="dxa"/>
            <w:tcBorders>
              <w:top w:val="single" w:sz="6" w:space="0" w:color="C0C0C0"/>
              <w:left w:val="single" w:sz="6" w:space="0" w:color="C0C0C0"/>
              <w:bottom w:val="single" w:sz="6" w:space="0" w:color="C0C0C0"/>
              <w:right w:val="single" w:sz="6" w:space="0" w:color="C0C0C0"/>
            </w:tcBorders>
          </w:tcPr>
          <w:p w:rsidR="00012226" w:rsidRDefault="00012226" w:rsidP="008234AE">
            <w:pPr>
              <w:autoSpaceDE w:val="0"/>
              <w:autoSpaceDN w:val="0"/>
              <w:adjustRightInd w:val="0"/>
              <w:jc w:val="right"/>
              <w:rPr>
                <w:rFonts w:ascii="Calibri" w:hAnsi="Calibri" w:cs="Calibri"/>
                <w:color w:val="000000"/>
                <w:sz w:val="20"/>
              </w:rPr>
            </w:pPr>
            <w:r>
              <w:rPr>
                <w:rFonts w:ascii="Calibri" w:hAnsi="Calibri" w:cs="Calibri"/>
                <w:color w:val="000000"/>
                <w:sz w:val="20"/>
              </w:rPr>
              <w:t>13</w:t>
            </w:r>
          </w:p>
        </w:tc>
      </w:tr>
      <w:tr w:rsidR="00012226" w:rsidTr="008234AE">
        <w:trPr>
          <w:trHeight w:val="247"/>
        </w:trPr>
        <w:tc>
          <w:tcPr>
            <w:tcW w:w="1023" w:type="dxa"/>
            <w:tcBorders>
              <w:top w:val="nil"/>
              <w:left w:val="nil"/>
              <w:bottom w:val="nil"/>
              <w:right w:val="nil"/>
            </w:tcBorders>
          </w:tcPr>
          <w:p w:rsidR="00012226" w:rsidRDefault="00012226" w:rsidP="008234AE">
            <w:pPr>
              <w:autoSpaceDE w:val="0"/>
              <w:autoSpaceDN w:val="0"/>
              <w:adjustRightInd w:val="0"/>
              <w:jc w:val="right"/>
              <w:rPr>
                <w:rFonts w:cs="Arial"/>
                <w:color w:val="000000"/>
                <w:sz w:val="20"/>
              </w:rPr>
            </w:pPr>
          </w:p>
        </w:tc>
        <w:tc>
          <w:tcPr>
            <w:tcW w:w="992" w:type="dxa"/>
            <w:tcBorders>
              <w:top w:val="nil"/>
              <w:left w:val="nil"/>
              <w:bottom w:val="nil"/>
              <w:right w:val="nil"/>
            </w:tcBorders>
          </w:tcPr>
          <w:p w:rsidR="00012226" w:rsidRDefault="00012226" w:rsidP="008234AE">
            <w:pPr>
              <w:autoSpaceDE w:val="0"/>
              <w:autoSpaceDN w:val="0"/>
              <w:adjustRightInd w:val="0"/>
              <w:jc w:val="right"/>
              <w:rPr>
                <w:rFonts w:cs="Arial"/>
                <w:color w:val="000000"/>
                <w:sz w:val="20"/>
              </w:rPr>
            </w:pPr>
          </w:p>
        </w:tc>
        <w:tc>
          <w:tcPr>
            <w:tcW w:w="567" w:type="dxa"/>
            <w:tcBorders>
              <w:top w:val="nil"/>
              <w:left w:val="nil"/>
              <w:bottom w:val="nil"/>
              <w:right w:val="nil"/>
            </w:tcBorders>
          </w:tcPr>
          <w:p w:rsidR="00012226" w:rsidRDefault="00012226" w:rsidP="008234AE">
            <w:pPr>
              <w:autoSpaceDE w:val="0"/>
              <w:autoSpaceDN w:val="0"/>
              <w:adjustRightInd w:val="0"/>
              <w:jc w:val="right"/>
              <w:rPr>
                <w:rFonts w:cs="Arial"/>
                <w:color w:val="000000"/>
                <w:sz w:val="20"/>
              </w:rPr>
            </w:pPr>
          </w:p>
        </w:tc>
        <w:tc>
          <w:tcPr>
            <w:tcW w:w="567" w:type="dxa"/>
            <w:tcBorders>
              <w:top w:val="nil"/>
              <w:left w:val="nil"/>
              <w:bottom w:val="nil"/>
              <w:right w:val="nil"/>
            </w:tcBorders>
          </w:tcPr>
          <w:p w:rsidR="00012226" w:rsidRDefault="00012226" w:rsidP="008234AE">
            <w:pPr>
              <w:autoSpaceDE w:val="0"/>
              <w:autoSpaceDN w:val="0"/>
              <w:adjustRightInd w:val="0"/>
              <w:jc w:val="right"/>
              <w:rPr>
                <w:rFonts w:cs="Arial"/>
                <w:color w:val="000000"/>
                <w:sz w:val="20"/>
              </w:rPr>
            </w:pPr>
          </w:p>
        </w:tc>
        <w:tc>
          <w:tcPr>
            <w:tcW w:w="709" w:type="dxa"/>
            <w:tcBorders>
              <w:top w:val="nil"/>
              <w:left w:val="nil"/>
              <w:bottom w:val="nil"/>
              <w:right w:val="nil"/>
            </w:tcBorders>
          </w:tcPr>
          <w:p w:rsidR="00012226" w:rsidRDefault="00012226" w:rsidP="008234AE">
            <w:pPr>
              <w:autoSpaceDE w:val="0"/>
              <w:autoSpaceDN w:val="0"/>
              <w:adjustRightInd w:val="0"/>
              <w:jc w:val="right"/>
              <w:rPr>
                <w:rFonts w:cs="Arial"/>
                <w:color w:val="000000"/>
                <w:sz w:val="20"/>
              </w:rPr>
            </w:pPr>
          </w:p>
        </w:tc>
        <w:tc>
          <w:tcPr>
            <w:tcW w:w="567" w:type="dxa"/>
            <w:tcBorders>
              <w:top w:val="nil"/>
              <w:left w:val="nil"/>
              <w:bottom w:val="nil"/>
              <w:right w:val="nil"/>
            </w:tcBorders>
          </w:tcPr>
          <w:p w:rsidR="00012226" w:rsidRDefault="00012226" w:rsidP="008234AE">
            <w:pPr>
              <w:autoSpaceDE w:val="0"/>
              <w:autoSpaceDN w:val="0"/>
              <w:adjustRightInd w:val="0"/>
              <w:jc w:val="right"/>
              <w:rPr>
                <w:rFonts w:cs="Arial"/>
                <w:color w:val="000000"/>
                <w:sz w:val="20"/>
              </w:rPr>
            </w:pPr>
          </w:p>
        </w:tc>
        <w:tc>
          <w:tcPr>
            <w:tcW w:w="567" w:type="dxa"/>
            <w:tcBorders>
              <w:top w:val="nil"/>
              <w:left w:val="nil"/>
              <w:bottom w:val="nil"/>
              <w:right w:val="nil"/>
            </w:tcBorders>
          </w:tcPr>
          <w:p w:rsidR="00012226" w:rsidRDefault="00012226" w:rsidP="008234AE">
            <w:pPr>
              <w:autoSpaceDE w:val="0"/>
              <w:autoSpaceDN w:val="0"/>
              <w:adjustRightInd w:val="0"/>
              <w:jc w:val="right"/>
              <w:rPr>
                <w:rFonts w:cs="Arial"/>
                <w:color w:val="000000"/>
                <w:sz w:val="20"/>
              </w:rPr>
            </w:pPr>
          </w:p>
        </w:tc>
        <w:tc>
          <w:tcPr>
            <w:tcW w:w="567" w:type="dxa"/>
            <w:tcBorders>
              <w:top w:val="nil"/>
              <w:left w:val="nil"/>
              <w:bottom w:val="nil"/>
              <w:right w:val="nil"/>
            </w:tcBorders>
          </w:tcPr>
          <w:p w:rsidR="00012226" w:rsidRDefault="00012226" w:rsidP="008234AE">
            <w:pPr>
              <w:autoSpaceDE w:val="0"/>
              <w:autoSpaceDN w:val="0"/>
              <w:adjustRightInd w:val="0"/>
              <w:jc w:val="right"/>
              <w:rPr>
                <w:rFonts w:cs="Arial"/>
                <w:color w:val="000000"/>
                <w:sz w:val="20"/>
              </w:rPr>
            </w:pPr>
          </w:p>
        </w:tc>
        <w:tc>
          <w:tcPr>
            <w:tcW w:w="498" w:type="dxa"/>
            <w:tcBorders>
              <w:top w:val="nil"/>
              <w:left w:val="nil"/>
              <w:bottom w:val="nil"/>
              <w:right w:val="nil"/>
            </w:tcBorders>
          </w:tcPr>
          <w:p w:rsidR="00012226" w:rsidRDefault="00012226" w:rsidP="008234AE">
            <w:pPr>
              <w:autoSpaceDE w:val="0"/>
              <w:autoSpaceDN w:val="0"/>
              <w:adjustRightInd w:val="0"/>
              <w:jc w:val="right"/>
              <w:rPr>
                <w:rFonts w:cs="Arial"/>
                <w:color w:val="000000"/>
                <w:sz w:val="20"/>
              </w:rPr>
            </w:pPr>
          </w:p>
        </w:tc>
        <w:tc>
          <w:tcPr>
            <w:tcW w:w="651" w:type="dxa"/>
            <w:tcBorders>
              <w:top w:val="nil"/>
              <w:left w:val="nil"/>
              <w:bottom w:val="nil"/>
              <w:right w:val="nil"/>
            </w:tcBorders>
          </w:tcPr>
          <w:p w:rsidR="00012226" w:rsidRDefault="00012226" w:rsidP="008234AE">
            <w:pPr>
              <w:autoSpaceDE w:val="0"/>
              <w:autoSpaceDN w:val="0"/>
              <w:adjustRightInd w:val="0"/>
              <w:jc w:val="right"/>
              <w:rPr>
                <w:rFonts w:cs="Arial"/>
                <w:color w:val="000000"/>
                <w:sz w:val="20"/>
              </w:rPr>
            </w:pPr>
          </w:p>
        </w:tc>
        <w:tc>
          <w:tcPr>
            <w:tcW w:w="552" w:type="dxa"/>
            <w:tcBorders>
              <w:top w:val="nil"/>
              <w:left w:val="nil"/>
              <w:bottom w:val="nil"/>
              <w:right w:val="nil"/>
            </w:tcBorders>
          </w:tcPr>
          <w:p w:rsidR="00012226" w:rsidRDefault="00012226" w:rsidP="008234AE">
            <w:pPr>
              <w:autoSpaceDE w:val="0"/>
              <w:autoSpaceDN w:val="0"/>
              <w:adjustRightInd w:val="0"/>
              <w:jc w:val="right"/>
              <w:rPr>
                <w:rFonts w:cs="Arial"/>
                <w:color w:val="000000"/>
                <w:sz w:val="20"/>
              </w:rPr>
            </w:pPr>
          </w:p>
        </w:tc>
        <w:tc>
          <w:tcPr>
            <w:tcW w:w="567" w:type="dxa"/>
            <w:tcBorders>
              <w:top w:val="nil"/>
              <w:left w:val="nil"/>
              <w:bottom w:val="nil"/>
              <w:right w:val="nil"/>
            </w:tcBorders>
          </w:tcPr>
          <w:p w:rsidR="00012226" w:rsidRDefault="00012226" w:rsidP="008234AE">
            <w:pPr>
              <w:autoSpaceDE w:val="0"/>
              <w:autoSpaceDN w:val="0"/>
              <w:adjustRightInd w:val="0"/>
              <w:jc w:val="right"/>
              <w:rPr>
                <w:rFonts w:cs="Arial"/>
                <w:color w:val="000000"/>
                <w:sz w:val="20"/>
              </w:rPr>
            </w:pPr>
          </w:p>
        </w:tc>
        <w:tc>
          <w:tcPr>
            <w:tcW w:w="567" w:type="dxa"/>
            <w:tcBorders>
              <w:top w:val="nil"/>
              <w:left w:val="nil"/>
              <w:bottom w:val="nil"/>
              <w:right w:val="nil"/>
            </w:tcBorders>
          </w:tcPr>
          <w:p w:rsidR="00012226" w:rsidRDefault="00012226" w:rsidP="008234AE">
            <w:pPr>
              <w:autoSpaceDE w:val="0"/>
              <w:autoSpaceDN w:val="0"/>
              <w:adjustRightInd w:val="0"/>
              <w:jc w:val="right"/>
              <w:rPr>
                <w:rFonts w:cs="Arial"/>
                <w:color w:val="000000"/>
                <w:sz w:val="20"/>
              </w:rPr>
            </w:pPr>
          </w:p>
        </w:tc>
        <w:tc>
          <w:tcPr>
            <w:tcW w:w="808" w:type="dxa"/>
            <w:tcBorders>
              <w:top w:val="nil"/>
              <w:left w:val="nil"/>
              <w:bottom w:val="nil"/>
              <w:right w:val="nil"/>
            </w:tcBorders>
          </w:tcPr>
          <w:p w:rsidR="00012226" w:rsidRDefault="00012226" w:rsidP="008234AE">
            <w:pPr>
              <w:autoSpaceDE w:val="0"/>
              <w:autoSpaceDN w:val="0"/>
              <w:adjustRightInd w:val="0"/>
              <w:jc w:val="right"/>
              <w:rPr>
                <w:rFonts w:cs="Arial"/>
                <w:color w:val="000000"/>
                <w:sz w:val="20"/>
              </w:rPr>
            </w:pPr>
          </w:p>
        </w:tc>
      </w:tr>
    </w:tbl>
    <w:p w:rsidR="00012226" w:rsidRDefault="00012226" w:rsidP="00012226">
      <w:pPr>
        <w:rPr>
          <w:lang w:eastAsia="nl-NL"/>
        </w:rPr>
      </w:pPr>
    </w:p>
    <w:p w:rsidR="00012226" w:rsidRDefault="00012226" w:rsidP="00012226">
      <w:pPr>
        <w:rPr>
          <w:lang w:eastAsia="nl-NL"/>
        </w:rPr>
      </w:pPr>
    </w:p>
    <w:tbl>
      <w:tblPr>
        <w:tblW w:w="9359" w:type="dxa"/>
        <w:tblInd w:w="70" w:type="dxa"/>
        <w:tblCellMar>
          <w:left w:w="70" w:type="dxa"/>
          <w:right w:w="70" w:type="dxa"/>
        </w:tblCellMar>
        <w:tblLook w:val="04A0" w:firstRow="1" w:lastRow="0" w:firstColumn="1" w:lastColumn="0" w:noHBand="0" w:noVBand="1"/>
      </w:tblPr>
      <w:tblGrid>
        <w:gridCol w:w="1075"/>
        <w:gridCol w:w="945"/>
        <w:gridCol w:w="557"/>
        <w:gridCol w:w="500"/>
        <w:gridCol w:w="600"/>
        <w:gridCol w:w="560"/>
        <w:gridCol w:w="618"/>
        <w:gridCol w:w="567"/>
        <w:gridCol w:w="567"/>
        <w:gridCol w:w="840"/>
        <w:gridCol w:w="709"/>
        <w:gridCol w:w="708"/>
        <w:gridCol w:w="709"/>
        <w:gridCol w:w="570"/>
      </w:tblGrid>
      <w:tr w:rsidR="00012226" w:rsidRPr="00D2100B" w:rsidTr="008234AE">
        <w:trPr>
          <w:trHeight w:val="480"/>
        </w:trPr>
        <w:tc>
          <w:tcPr>
            <w:tcW w:w="1040" w:type="dxa"/>
            <w:tcBorders>
              <w:top w:val="nil"/>
              <w:left w:val="nil"/>
              <w:bottom w:val="nil"/>
              <w:right w:val="nil"/>
            </w:tcBorders>
            <w:shd w:val="clear" w:color="auto" w:fill="auto"/>
            <w:vAlign w:val="bottom"/>
            <w:hideMark/>
          </w:tcPr>
          <w:p w:rsidR="00012226" w:rsidRDefault="00A26618" w:rsidP="008234AE">
            <w:pPr>
              <w:rPr>
                <w:rFonts w:cs="Arial"/>
                <w:sz w:val="20"/>
                <w:lang w:eastAsia="fr-BE"/>
              </w:rPr>
            </w:pPr>
            <w:r>
              <w:rPr>
                <w:rFonts w:cs="Arial"/>
                <w:sz w:val="20"/>
                <w:lang w:eastAsia="fr-BE"/>
              </w:rPr>
              <w:t>Regio</w:t>
            </w:r>
          </w:p>
          <w:p w:rsidR="00012226" w:rsidRDefault="00012226" w:rsidP="008234AE">
            <w:pPr>
              <w:rPr>
                <w:rFonts w:cs="Arial"/>
                <w:sz w:val="20"/>
                <w:lang w:eastAsia="fr-BE"/>
              </w:rPr>
            </w:pPr>
            <w:r>
              <w:rPr>
                <w:rFonts w:cs="Arial"/>
                <w:sz w:val="20"/>
                <w:lang w:eastAsia="fr-BE"/>
              </w:rPr>
              <w:t>2016</w:t>
            </w:r>
          </w:p>
          <w:p w:rsidR="00012226" w:rsidRPr="00D2100B" w:rsidRDefault="00012226" w:rsidP="008234AE">
            <w:pPr>
              <w:rPr>
                <w:rFonts w:cs="Arial"/>
                <w:sz w:val="20"/>
                <w:lang w:eastAsia="fr-BE"/>
              </w:rPr>
            </w:pPr>
          </w:p>
        </w:tc>
        <w:tc>
          <w:tcPr>
            <w:tcW w:w="945" w:type="dxa"/>
            <w:tcBorders>
              <w:top w:val="nil"/>
              <w:left w:val="nil"/>
              <w:bottom w:val="nil"/>
              <w:right w:val="nil"/>
            </w:tcBorders>
            <w:shd w:val="clear" w:color="auto" w:fill="auto"/>
            <w:vAlign w:val="bottom"/>
            <w:hideMark/>
          </w:tcPr>
          <w:p w:rsidR="00012226" w:rsidRPr="00012226" w:rsidRDefault="00012226" w:rsidP="008234AE">
            <w:pPr>
              <w:rPr>
                <w:rFonts w:cs="Arial"/>
                <w:sz w:val="20"/>
                <w:lang w:val="fr-BE" w:eastAsia="fr-BE"/>
              </w:rPr>
            </w:pPr>
            <w:r w:rsidRPr="00012226">
              <w:rPr>
                <w:rFonts w:cs="Arial"/>
                <w:sz w:val="20"/>
                <w:lang w:val="fr-BE" w:eastAsia="fr-BE"/>
              </w:rPr>
              <w:t>Tota</w:t>
            </w:r>
            <w:r w:rsidR="00A26618">
              <w:rPr>
                <w:rFonts w:cs="Arial"/>
                <w:sz w:val="20"/>
                <w:lang w:val="fr-BE" w:eastAsia="fr-BE"/>
              </w:rPr>
              <w:t>al aantal</w:t>
            </w:r>
            <w:r w:rsidRPr="00012226">
              <w:rPr>
                <w:rFonts w:cs="Arial"/>
                <w:sz w:val="20"/>
                <w:lang w:val="fr-BE" w:eastAsia="fr-BE"/>
              </w:rPr>
              <w:t xml:space="preserve"> confli</w:t>
            </w:r>
            <w:r w:rsidR="00A26618">
              <w:rPr>
                <w:rFonts w:cs="Arial"/>
                <w:sz w:val="20"/>
                <w:lang w:val="fr-BE" w:eastAsia="fr-BE"/>
              </w:rPr>
              <w:t>c</w:t>
            </w:r>
            <w:r w:rsidRPr="00012226">
              <w:rPr>
                <w:rFonts w:cs="Arial"/>
                <w:sz w:val="20"/>
                <w:lang w:val="fr-BE" w:eastAsia="fr-BE"/>
              </w:rPr>
              <w:t>t</w:t>
            </w:r>
            <w:r w:rsidR="00A26618">
              <w:rPr>
                <w:rFonts w:cs="Arial"/>
                <w:sz w:val="20"/>
                <w:lang w:val="fr-BE" w:eastAsia="fr-BE"/>
              </w:rPr>
              <w:t>en</w:t>
            </w:r>
          </w:p>
        </w:tc>
        <w:tc>
          <w:tcPr>
            <w:tcW w:w="557" w:type="dxa"/>
            <w:tcBorders>
              <w:top w:val="nil"/>
              <w:left w:val="nil"/>
              <w:bottom w:val="nil"/>
              <w:right w:val="nil"/>
            </w:tcBorders>
            <w:shd w:val="clear" w:color="auto" w:fill="auto"/>
            <w:vAlign w:val="bottom"/>
            <w:hideMark/>
          </w:tcPr>
          <w:p w:rsidR="00012226" w:rsidRPr="00D2100B" w:rsidRDefault="00A26618" w:rsidP="008234AE">
            <w:pPr>
              <w:rPr>
                <w:rFonts w:cs="Arial"/>
                <w:sz w:val="20"/>
                <w:lang w:eastAsia="fr-BE"/>
              </w:rPr>
            </w:pPr>
            <w:r>
              <w:rPr>
                <w:rFonts w:cs="Arial"/>
                <w:sz w:val="20"/>
                <w:lang w:eastAsia="fr-BE"/>
              </w:rPr>
              <w:t>jan</w:t>
            </w:r>
          </w:p>
        </w:tc>
        <w:tc>
          <w:tcPr>
            <w:tcW w:w="500" w:type="dxa"/>
            <w:tcBorders>
              <w:top w:val="nil"/>
              <w:left w:val="nil"/>
              <w:bottom w:val="nil"/>
              <w:right w:val="nil"/>
            </w:tcBorders>
            <w:shd w:val="clear" w:color="auto" w:fill="auto"/>
            <w:vAlign w:val="bottom"/>
            <w:hideMark/>
          </w:tcPr>
          <w:p w:rsidR="00012226" w:rsidRPr="00D2100B" w:rsidRDefault="00A26618" w:rsidP="008234AE">
            <w:pPr>
              <w:rPr>
                <w:rFonts w:cs="Arial"/>
                <w:sz w:val="20"/>
                <w:lang w:eastAsia="fr-BE"/>
              </w:rPr>
            </w:pPr>
            <w:r>
              <w:rPr>
                <w:rFonts w:cs="Arial"/>
                <w:sz w:val="20"/>
                <w:lang w:eastAsia="fr-BE"/>
              </w:rPr>
              <w:t>feb</w:t>
            </w:r>
            <w:r w:rsidR="00012226" w:rsidRPr="00D2100B">
              <w:rPr>
                <w:rFonts w:cs="Arial"/>
                <w:sz w:val="20"/>
                <w:lang w:eastAsia="fr-BE"/>
              </w:rPr>
              <w:t>r</w:t>
            </w:r>
          </w:p>
        </w:tc>
        <w:tc>
          <w:tcPr>
            <w:tcW w:w="600" w:type="dxa"/>
            <w:tcBorders>
              <w:top w:val="nil"/>
              <w:left w:val="nil"/>
              <w:bottom w:val="nil"/>
              <w:right w:val="nil"/>
            </w:tcBorders>
            <w:shd w:val="clear" w:color="auto" w:fill="auto"/>
            <w:vAlign w:val="bottom"/>
            <w:hideMark/>
          </w:tcPr>
          <w:p w:rsidR="00012226" w:rsidRPr="00D2100B" w:rsidRDefault="00012226" w:rsidP="008234AE">
            <w:pPr>
              <w:rPr>
                <w:rFonts w:cs="Arial"/>
                <w:sz w:val="20"/>
                <w:lang w:eastAsia="fr-BE"/>
              </w:rPr>
            </w:pPr>
            <w:r w:rsidRPr="00D2100B">
              <w:rPr>
                <w:rFonts w:cs="Arial"/>
                <w:sz w:val="20"/>
                <w:lang w:eastAsia="fr-BE"/>
              </w:rPr>
              <w:t>m</w:t>
            </w:r>
            <w:r w:rsidR="00A26618">
              <w:rPr>
                <w:rFonts w:cs="Arial"/>
                <w:sz w:val="20"/>
                <w:lang w:eastAsia="fr-BE"/>
              </w:rPr>
              <w:t>aart</w:t>
            </w:r>
          </w:p>
        </w:tc>
        <w:tc>
          <w:tcPr>
            <w:tcW w:w="560" w:type="dxa"/>
            <w:tcBorders>
              <w:top w:val="nil"/>
              <w:left w:val="nil"/>
              <w:bottom w:val="nil"/>
              <w:right w:val="nil"/>
            </w:tcBorders>
            <w:shd w:val="clear" w:color="auto" w:fill="auto"/>
            <w:vAlign w:val="bottom"/>
            <w:hideMark/>
          </w:tcPr>
          <w:p w:rsidR="00012226" w:rsidRPr="00D2100B" w:rsidRDefault="00A26618" w:rsidP="008234AE">
            <w:pPr>
              <w:rPr>
                <w:rFonts w:cs="Arial"/>
                <w:sz w:val="20"/>
                <w:lang w:eastAsia="fr-BE"/>
              </w:rPr>
            </w:pPr>
            <w:r>
              <w:rPr>
                <w:rFonts w:cs="Arial"/>
                <w:sz w:val="20"/>
                <w:lang w:eastAsia="fr-BE"/>
              </w:rPr>
              <w:t>ap</w:t>
            </w:r>
            <w:r w:rsidR="00012226" w:rsidRPr="00D2100B">
              <w:rPr>
                <w:rFonts w:cs="Arial"/>
                <w:sz w:val="20"/>
                <w:lang w:eastAsia="fr-BE"/>
              </w:rPr>
              <w:t>r</w:t>
            </w:r>
          </w:p>
        </w:tc>
        <w:tc>
          <w:tcPr>
            <w:tcW w:w="618" w:type="dxa"/>
            <w:tcBorders>
              <w:top w:val="nil"/>
              <w:left w:val="nil"/>
              <w:bottom w:val="nil"/>
              <w:right w:val="nil"/>
            </w:tcBorders>
            <w:shd w:val="clear" w:color="auto" w:fill="auto"/>
            <w:vAlign w:val="bottom"/>
            <w:hideMark/>
          </w:tcPr>
          <w:p w:rsidR="00012226" w:rsidRPr="00D2100B" w:rsidRDefault="00A26618" w:rsidP="008234AE">
            <w:pPr>
              <w:rPr>
                <w:rFonts w:cs="Arial"/>
                <w:sz w:val="20"/>
                <w:lang w:eastAsia="fr-BE"/>
              </w:rPr>
            </w:pPr>
            <w:r>
              <w:rPr>
                <w:rFonts w:cs="Arial"/>
                <w:sz w:val="20"/>
                <w:lang w:eastAsia="fr-BE"/>
              </w:rPr>
              <w:t>me</w:t>
            </w:r>
            <w:r w:rsidR="00012226" w:rsidRPr="00D2100B">
              <w:rPr>
                <w:rFonts w:cs="Arial"/>
                <w:sz w:val="20"/>
                <w:lang w:eastAsia="fr-BE"/>
              </w:rPr>
              <w:t>i</w:t>
            </w:r>
          </w:p>
        </w:tc>
        <w:tc>
          <w:tcPr>
            <w:tcW w:w="567" w:type="dxa"/>
            <w:tcBorders>
              <w:top w:val="nil"/>
              <w:left w:val="nil"/>
              <w:bottom w:val="nil"/>
              <w:right w:val="nil"/>
            </w:tcBorders>
            <w:shd w:val="clear" w:color="auto" w:fill="auto"/>
            <w:vAlign w:val="bottom"/>
            <w:hideMark/>
          </w:tcPr>
          <w:p w:rsidR="00012226" w:rsidRPr="00D2100B" w:rsidRDefault="00A26618" w:rsidP="008234AE">
            <w:pPr>
              <w:rPr>
                <w:rFonts w:cs="Arial"/>
                <w:sz w:val="20"/>
                <w:lang w:eastAsia="fr-BE"/>
              </w:rPr>
            </w:pPr>
            <w:r>
              <w:rPr>
                <w:rFonts w:cs="Arial"/>
                <w:sz w:val="20"/>
                <w:lang w:eastAsia="fr-BE"/>
              </w:rPr>
              <w:t>ju</w:t>
            </w:r>
            <w:r w:rsidR="00012226" w:rsidRPr="00D2100B">
              <w:rPr>
                <w:rFonts w:cs="Arial"/>
                <w:sz w:val="20"/>
                <w:lang w:eastAsia="fr-BE"/>
              </w:rPr>
              <w:t>n</w:t>
            </w:r>
            <w:r>
              <w:rPr>
                <w:rFonts w:cs="Arial"/>
                <w:sz w:val="20"/>
                <w:lang w:eastAsia="fr-BE"/>
              </w:rPr>
              <w:t>i</w:t>
            </w:r>
          </w:p>
        </w:tc>
        <w:tc>
          <w:tcPr>
            <w:tcW w:w="567" w:type="dxa"/>
            <w:tcBorders>
              <w:top w:val="nil"/>
              <w:left w:val="nil"/>
              <w:bottom w:val="nil"/>
              <w:right w:val="nil"/>
            </w:tcBorders>
            <w:shd w:val="clear" w:color="auto" w:fill="auto"/>
            <w:vAlign w:val="bottom"/>
            <w:hideMark/>
          </w:tcPr>
          <w:p w:rsidR="00012226" w:rsidRPr="00D2100B" w:rsidRDefault="00A26618" w:rsidP="008234AE">
            <w:pPr>
              <w:rPr>
                <w:rFonts w:cs="Arial"/>
                <w:sz w:val="20"/>
                <w:lang w:eastAsia="fr-BE"/>
              </w:rPr>
            </w:pPr>
            <w:r>
              <w:rPr>
                <w:rFonts w:cs="Arial"/>
                <w:sz w:val="20"/>
                <w:lang w:eastAsia="fr-BE"/>
              </w:rPr>
              <w:t>ju</w:t>
            </w:r>
            <w:r w:rsidR="00012226" w:rsidRPr="00D2100B">
              <w:rPr>
                <w:rFonts w:cs="Arial"/>
                <w:sz w:val="20"/>
                <w:lang w:eastAsia="fr-BE"/>
              </w:rPr>
              <w:t>l</w:t>
            </w:r>
            <w:r>
              <w:rPr>
                <w:rFonts w:cs="Arial"/>
                <w:sz w:val="20"/>
                <w:lang w:eastAsia="fr-BE"/>
              </w:rPr>
              <w:t>i</w:t>
            </w:r>
          </w:p>
        </w:tc>
        <w:tc>
          <w:tcPr>
            <w:tcW w:w="709" w:type="dxa"/>
            <w:tcBorders>
              <w:top w:val="nil"/>
              <w:left w:val="nil"/>
              <w:bottom w:val="nil"/>
              <w:right w:val="nil"/>
            </w:tcBorders>
            <w:shd w:val="clear" w:color="auto" w:fill="auto"/>
            <w:vAlign w:val="bottom"/>
            <w:hideMark/>
          </w:tcPr>
          <w:p w:rsidR="00012226" w:rsidRPr="00D2100B" w:rsidRDefault="00A26618" w:rsidP="008234AE">
            <w:pPr>
              <w:rPr>
                <w:rFonts w:cs="Arial"/>
                <w:sz w:val="20"/>
                <w:lang w:eastAsia="fr-BE"/>
              </w:rPr>
            </w:pPr>
            <w:r>
              <w:rPr>
                <w:rFonts w:cs="Arial"/>
                <w:sz w:val="20"/>
                <w:lang w:eastAsia="fr-BE"/>
              </w:rPr>
              <w:t>augus</w:t>
            </w:r>
            <w:r w:rsidR="00012226" w:rsidRPr="00D2100B">
              <w:rPr>
                <w:rFonts w:cs="Arial"/>
                <w:sz w:val="20"/>
                <w:lang w:eastAsia="fr-BE"/>
              </w:rPr>
              <w:t>t</w:t>
            </w:r>
            <w:r>
              <w:rPr>
                <w:rFonts w:cs="Arial"/>
                <w:sz w:val="20"/>
                <w:lang w:eastAsia="fr-BE"/>
              </w:rPr>
              <w:t>us</w:t>
            </w:r>
          </w:p>
        </w:tc>
        <w:tc>
          <w:tcPr>
            <w:tcW w:w="709" w:type="dxa"/>
            <w:tcBorders>
              <w:top w:val="nil"/>
              <w:left w:val="nil"/>
              <w:bottom w:val="nil"/>
              <w:right w:val="nil"/>
            </w:tcBorders>
            <w:shd w:val="clear" w:color="auto" w:fill="auto"/>
            <w:vAlign w:val="bottom"/>
            <w:hideMark/>
          </w:tcPr>
          <w:p w:rsidR="00012226" w:rsidRPr="00D2100B" w:rsidRDefault="00012226" w:rsidP="008234AE">
            <w:pPr>
              <w:rPr>
                <w:rFonts w:cs="Arial"/>
                <w:sz w:val="20"/>
                <w:lang w:eastAsia="fr-BE"/>
              </w:rPr>
            </w:pPr>
            <w:r w:rsidRPr="00D2100B">
              <w:rPr>
                <w:rFonts w:cs="Arial"/>
                <w:sz w:val="20"/>
                <w:lang w:eastAsia="fr-BE"/>
              </w:rPr>
              <w:t>sept</w:t>
            </w:r>
          </w:p>
        </w:tc>
        <w:tc>
          <w:tcPr>
            <w:tcW w:w="708" w:type="dxa"/>
            <w:tcBorders>
              <w:top w:val="nil"/>
              <w:left w:val="nil"/>
              <w:bottom w:val="nil"/>
              <w:right w:val="nil"/>
            </w:tcBorders>
            <w:shd w:val="clear" w:color="auto" w:fill="auto"/>
            <w:vAlign w:val="bottom"/>
            <w:hideMark/>
          </w:tcPr>
          <w:p w:rsidR="00012226" w:rsidRPr="00D2100B" w:rsidRDefault="00A26618" w:rsidP="008234AE">
            <w:pPr>
              <w:rPr>
                <w:rFonts w:cs="Arial"/>
                <w:sz w:val="20"/>
                <w:lang w:eastAsia="fr-BE"/>
              </w:rPr>
            </w:pPr>
            <w:r>
              <w:rPr>
                <w:rFonts w:cs="Arial"/>
                <w:sz w:val="20"/>
                <w:lang w:eastAsia="fr-BE"/>
              </w:rPr>
              <w:t>ok</w:t>
            </w:r>
            <w:r w:rsidR="00012226" w:rsidRPr="00D2100B">
              <w:rPr>
                <w:rFonts w:cs="Arial"/>
                <w:sz w:val="20"/>
                <w:lang w:eastAsia="fr-BE"/>
              </w:rPr>
              <w:t>t</w:t>
            </w:r>
          </w:p>
        </w:tc>
        <w:tc>
          <w:tcPr>
            <w:tcW w:w="709" w:type="dxa"/>
            <w:tcBorders>
              <w:top w:val="nil"/>
              <w:left w:val="nil"/>
              <w:bottom w:val="nil"/>
              <w:right w:val="nil"/>
            </w:tcBorders>
            <w:shd w:val="clear" w:color="auto" w:fill="auto"/>
            <w:vAlign w:val="bottom"/>
            <w:hideMark/>
          </w:tcPr>
          <w:p w:rsidR="00012226" w:rsidRPr="00D2100B" w:rsidRDefault="00012226" w:rsidP="008234AE">
            <w:pPr>
              <w:rPr>
                <w:rFonts w:cs="Arial"/>
                <w:sz w:val="20"/>
                <w:lang w:eastAsia="fr-BE"/>
              </w:rPr>
            </w:pPr>
            <w:r w:rsidRPr="00D2100B">
              <w:rPr>
                <w:rFonts w:cs="Arial"/>
                <w:sz w:val="20"/>
                <w:lang w:eastAsia="fr-BE"/>
              </w:rPr>
              <w:t>nov</w:t>
            </w:r>
          </w:p>
        </w:tc>
        <w:tc>
          <w:tcPr>
            <w:tcW w:w="570" w:type="dxa"/>
            <w:tcBorders>
              <w:top w:val="nil"/>
              <w:left w:val="nil"/>
              <w:bottom w:val="nil"/>
              <w:right w:val="nil"/>
            </w:tcBorders>
            <w:shd w:val="clear" w:color="auto" w:fill="auto"/>
            <w:vAlign w:val="bottom"/>
            <w:hideMark/>
          </w:tcPr>
          <w:p w:rsidR="00012226" w:rsidRPr="00D2100B" w:rsidRDefault="00A26618" w:rsidP="008234AE">
            <w:pPr>
              <w:rPr>
                <w:rFonts w:cs="Arial"/>
                <w:sz w:val="20"/>
                <w:lang w:eastAsia="fr-BE"/>
              </w:rPr>
            </w:pPr>
            <w:r>
              <w:rPr>
                <w:rFonts w:cs="Arial"/>
                <w:sz w:val="20"/>
                <w:lang w:eastAsia="fr-BE"/>
              </w:rPr>
              <w:t>de</w:t>
            </w:r>
            <w:r w:rsidR="00012226" w:rsidRPr="00D2100B">
              <w:rPr>
                <w:rFonts w:cs="Arial"/>
                <w:sz w:val="20"/>
                <w:lang w:eastAsia="fr-BE"/>
              </w:rPr>
              <w:t>c</w:t>
            </w:r>
          </w:p>
        </w:tc>
      </w:tr>
      <w:tr w:rsidR="00012226" w:rsidRPr="00D2100B" w:rsidTr="008234AE">
        <w:trPr>
          <w:trHeight w:val="348"/>
        </w:trPr>
        <w:tc>
          <w:tcPr>
            <w:tcW w:w="1040" w:type="dxa"/>
            <w:tcBorders>
              <w:top w:val="single" w:sz="4" w:space="0" w:color="C0C0C0"/>
              <w:left w:val="single" w:sz="4" w:space="0" w:color="C0C0C0"/>
              <w:bottom w:val="single" w:sz="4" w:space="0" w:color="C0C0C0"/>
              <w:right w:val="single" w:sz="4" w:space="0" w:color="C0C0C0"/>
            </w:tcBorders>
            <w:shd w:val="clear" w:color="auto" w:fill="auto"/>
            <w:noWrap/>
            <w:vAlign w:val="bottom"/>
            <w:hideMark/>
          </w:tcPr>
          <w:p w:rsidR="00012226" w:rsidRPr="00D2100B" w:rsidRDefault="00A26618" w:rsidP="008234AE">
            <w:pPr>
              <w:rPr>
                <w:rFonts w:ascii="Calibri" w:hAnsi="Calibri" w:cs="Arial"/>
                <w:sz w:val="20"/>
                <w:lang w:eastAsia="fr-BE"/>
              </w:rPr>
            </w:pPr>
            <w:r>
              <w:rPr>
                <w:rFonts w:ascii="Calibri" w:hAnsi="Calibri" w:cs="Arial"/>
                <w:sz w:val="20"/>
                <w:lang w:eastAsia="fr-BE"/>
              </w:rPr>
              <w:t>Brussel</w:t>
            </w:r>
          </w:p>
        </w:tc>
        <w:tc>
          <w:tcPr>
            <w:tcW w:w="945" w:type="dxa"/>
            <w:tcBorders>
              <w:top w:val="single" w:sz="4" w:space="0" w:color="C0C0C0"/>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258</w:t>
            </w:r>
          </w:p>
        </w:tc>
        <w:tc>
          <w:tcPr>
            <w:tcW w:w="557" w:type="dxa"/>
            <w:tcBorders>
              <w:top w:val="single" w:sz="4" w:space="0" w:color="C0C0C0"/>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19</w:t>
            </w:r>
          </w:p>
        </w:tc>
        <w:tc>
          <w:tcPr>
            <w:tcW w:w="500" w:type="dxa"/>
            <w:tcBorders>
              <w:top w:val="single" w:sz="4" w:space="0" w:color="C0C0C0"/>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10</w:t>
            </w:r>
          </w:p>
        </w:tc>
        <w:tc>
          <w:tcPr>
            <w:tcW w:w="600" w:type="dxa"/>
            <w:tcBorders>
              <w:top w:val="single" w:sz="4" w:space="0" w:color="C0C0C0"/>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23</w:t>
            </w:r>
          </w:p>
        </w:tc>
        <w:tc>
          <w:tcPr>
            <w:tcW w:w="560" w:type="dxa"/>
            <w:tcBorders>
              <w:top w:val="single" w:sz="4" w:space="0" w:color="C0C0C0"/>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15</w:t>
            </w:r>
          </w:p>
        </w:tc>
        <w:tc>
          <w:tcPr>
            <w:tcW w:w="618" w:type="dxa"/>
            <w:tcBorders>
              <w:top w:val="single" w:sz="4" w:space="0" w:color="C0C0C0"/>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15</w:t>
            </w:r>
          </w:p>
        </w:tc>
        <w:tc>
          <w:tcPr>
            <w:tcW w:w="567" w:type="dxa"/>
            <w:tcBorders>
              <w:top w:val="single" w:sz="4" w:space="0" w:color="C0C0C0"/>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12</w:t>
            </w:r>
          </w:p>
        </w:tc>
        <w:tc>
          <w:tcPr>
            <w:tcW w:w="567" w:type="dxa"/>
            <w:tcBorders>
              <w:top w:val="single" w:sz="4" w:space="0" w:color="C0C0C0"/>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19</w:t>
            </w:r>
          </w:p>
        </w:tc>
        <w:tc>
          <w:tcPr>
            <w:tcW w:w="709" w:type="dxa"/>
            <w:tcBorders>
              <w:top w:val="single" w:sz="4" w:space="0" w:color="C0C0C0"/>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44</w:t>
            </w:r>
          </w:p>
        </w:tc>
        <w:tc>
          <w:tcPr>
            <w:tcW w:w="709" w:type="dxa"/>
            <w:tcBorders>
              <w:top w:val="single" w:sz="4" w:space="0" w:color="C0C0C0"/>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43</w:t>
            </w:r>
          </w:p>
        </w:tc>
        <w:tc>
          <w:tcPr>
            <w:tcW w:w="708" w:type="dxa"/>
            <w:tcBorders>
              <w:top w:val="single" w:sz="4" w:space="0" w:color="C0C0C0"/>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20</w:t>
            </w:r>
          </w:p>
        </w:tc>
        <w:tc>
          <w:tcPr>
            <w:tcW w:w="709" w:type="dxa"/>
            <w:tcBorders>
              <w:top w:val="single" w:sz="4" w:space="0" w:color="C0C0C0"/>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19</w:t>
            </w:r>
          </w:p>
        </w:tc>
        <w:tc>
          <w:tcPr>
            <w:tcW w:w="570" w:type="dxa"/>
            <w:tcBorders>
              <w:top w:val="single" w:sz="4" w:space="0" w:color="C0C0C0"/>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19</w:t>
            </w:r>
          </w:p>
        </w:tc>
      </w:tr>
      <w:tr w:rsidR="00012226" w:rsidRPr="00D2100B" w:rsidTr="008234AE">
        <w:trPr>
          <w:trHeight w:val="348"/>
        </w:trPr>
        <w:tc>
          <w:tcPr>
            <w:tcW w:w="1040" w:type="dxa"/>
            <w:tcBorders>
              <w:top w:val="nil"/>
              <w:left w:val="single" w:sz="4" w:space="0" w:color="C0C0C0"/>
              <w:bottom w:val="single" w:sz="4" w:space="0" w:color="C0C0C0"/>
              <w:right w:val="single" w:sz="4" w:space="0" w:color="C0C0C0"/>
            </w:tcBorders>
            <w:shd w:val="clear" w:color="auto" w:fill="auto"/>
            <w:noWrap/>
            <w:vAlign w:val="bottom"/>
            <w:hideMark/>
          </w:tcPr>
          <w:p w:rsidR="00012226" w:rsidRPr="00D2100B" w:rsidRDefault="00A26618" w:rsidP="008234AE">
            <w:pPr>
              <w:rPr>
                <w:rFonts w:ascii="Calibri" w:hAnsi="Calibri" w:cs="Arial"/>
                <w:sz w:val="20"/>
                <w:lang w:eastAsia="fr-BE"/>
              </w:rPr>
            </w:pPr>
            <w:r>
              <w:rPr>
                <w:rFonts w:ascii="Calibri" w:hAnsi="Calibri" w:cs="Arial"/>
                <w:sz w:val="20"/>
                <w:lang w:eastAsia="fr-BE"/>
              </w:rPr>
              <w:t>V</w:t>
            </w:r>
            <w:r w:rsidR="00012226" w:rsidRPr="00D2100B">
              <w:rPr>
                <w:rFonts w:ascii="Calibri" w:hAnsi="Calibri" w:cs="Arial"/>
                <w:sz w:val="20"/>
                <w:lang w:eastAsia="fr-BE"/>
              </w:rPr>
              <w:t>l</w:t>
            </w:r>
            <w:r>
              <w:rPr>
                <w:rFonts w:ascii="Calibri" w:hAnsi="Calibri" w:cs="Arial"/>
                <w:sz w:val="20"/>
                <w:lang w:eastAsia="fr-BE"/>
              </w:rPr>
              <w:t>aanderen</w:t>
            </w:r>
          </w:p>
        </w:tc>
        <w:tc>
          <w:tcPr>
            <w:tcW w:w="945"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162</w:t>
            </w:r>
          </w:p>
        </w:tc>
        <w:tc>
          <w:tcPr>
            <w:tcW w:w="557"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16</w:t>
            </w:r>
          </w:p>
        </w:tc>
        <w:tc>
          <w:tcPr>
            <w:tcW w:w="500"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18</w:t>
            </w:r>
          </w:p>
        </w:tc>
        <w:tc>
          <w:tcPr>
            <w:tcW w:w="600"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10</w:t>
            </w:r>
          </w:p>
        </w:tc>
        <w:tc>
          <w:tcPr>
            <w:tcW w:w="560"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10</w:t>
            </w:r>
          </w:p>
        </w:tc>
        <w:tc>
          <w:tcPr>
            <w:tcW w:w="618"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14</w:t>
            </w:r>
          </w:p>
        </w:tc>
        <w:tc>
          <w:tcPr>
            <w:tcW w:w="567"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15</w:t>
            </w:r>
          </w:p>
        </w:tc>
        <w:tc>
          <w:tcPr>
            <w:tcW w:w="567"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11</w:t>
            </w:r>
          </w:p>
        </w:tc>
        <w:tc>
          <w:tcPr>
            <w:tcW w:w="709"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19</w:t>
            </w:r>
          </w:p>
        </w:tc>
        <w:tc>
          <w:tcPr>
            <w:tcW w:w="709"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20</w:t>
            </w:r>
          </w:p>
        </w:tc>
        <w:tc>
          <w:tcPr>
            <w:tcW w:w="708"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12</w:t>
            </w:r>
          </w:p>
        </w:tc>
        <w:tc>
          <w:tcPr>
            <w:tcW w:w="709"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7</w:t>
            </w:r>
          </w:p>
        </w:tc>
        <w:tc>
          <w:tcPr>
            <w:tcW w:w="570"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10</w:t>
            </w:r>
          </w:p>
        </w:tc>
      </w:tr>
      <w:tr w:rsidR="00012226" w:rsidRPr="00D2100B" w:rsidTr="008234AE">
        <w:trPr>
          <w:trHeight w:val="348"/>
        </w:trPr>
        <w:tc>
          <w:tcPr>
            <w:tcW w:w="1040" w:type="dxa"/>
            <w:tcBorders>
              <w:top w:val="nil"/>
              <w:left w:val="single" w:sz="4" w:space="0" w:color="C0C0C0"/>
              <w:bottom w:val="single" w:sz="4" w:space="0" w:color="C0C0C0"/>
              <w:right w:val="single" w:sz="4" w:space="0" w:color="C0C0C0"/>
            </w:tcBorders>
            <w:shd w:val="clear" w:color="auto" w:fill="auto"/>
            <w:noWrap/>
            <w:vAlign w:val="bottom"/>
            <w:hideMark/>
          </w:tcPr>
          <w:p w:rsidR="00012226" w:rsidRPr="00D2100B" w:rsidRDefault="00012226" w:rsidP="008234AE">
            <w:pPr>
              <w:rPr>
                <w:rFonts w:ascii="Calibri" w:hAnsi="Calibri" w:cs="Arial"/>
                <w:sz w:val="20"/>
                <w:lang w:eastAsia="fr-BE"/>
              </w:rPr>
            </w:pPr>
            <w:r w:rsidRPr="00D2100B">
              <w:rPr>
                <w:rFonts w:ascii="Calibri" w:hAnsi="Calibri" w:cs="Arial"/>
                <w:sz w:val="20"/>
                <w:lang w:eastAsia="fr-BE"/>
              </w:rPr>
              <w:t>Wallonie</w:t>
            </w:r>
          </w:p>
        </w:tc>
        <w:tc>
          <w:tcPr>
            <w:tcW w:w="945"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196</w:t>
            </w:r>
          </w:p>
        </w:tc>
        <w:tc>
          <w:tcPr>
            <w:tcW w:w="557"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18</w:t>
            </w:r>
          </w:p>
        </w:tc>
        <w:tc>
          <w:tcPr>
            <w:tcW w:w="500"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19</w:t>
            </w:r>
          </w:p>
        </w:tc>
        <w:tc>
          <w:tcPr>
            <w:tcW w:w="600"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17</w:t>
            </w:r>
          </w:p>
        </w:tc>
        <w:tc>
          <w:tcPr>
            <w:tcW w:w="560"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21</w:t>
            </w:r>
          </w:p>
        </w:tc>
        <w:tc>
          <w:tcPr>
            <w:tcW w:w="618"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18</w:t>
            </w:r>
          </w:p>
        </w:tc>
        <w:tc>
          <w:tcPr>
            <w:tcW w:w="567"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22</w:t>
            </w:r>
          </w:p>
        </w:tc>
        <w:tc>
          <w:tcPr>
            <w:tcW w:w="567"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11</w:t>
            </w:r>
          </w:p>
        </w:tc>
        <w:tc>
          <w:tcPr>
            <w:tcW w:w="709"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16</w:t>
            </w:r>
          </w:p>
        </w:tc>
        <w:tc>
          <w:tcPr>
            <w:tcW w:w="709"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15</w:t>
            </w:r>
          </w:p>
        </w:tc>
        <w:tc>
          <w:tcPr>
            <w:tcW w:w="708"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14</w:t>
            </w:r>
          </w:p>
        </w:tc>
        <w:tc>
          <w:tcPr>
            <w:tcW w:w="709"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14</w:t>
            </w:r>
          </w:p>
        </w:tc>
        <w:tc>
          <w:tcPr>
            <w:tcW w:w="570" w:type="dxa"/>
            <w:tcBorders>
              <w:top w:val="nil"/>
              <w:left w:val="nil"/>
              <w:bottom w:val="single" w:sz="4" w:space="0" w:color="C0C0C0"/>
              <w:right w:val="single" w:sz="4" w:space="0" w:color="C0C0C0"/>
            </w:tcBorders>
            <w:shd w:val="clear" w:color="auto" w:fill="auto"/>
            <w:noWrap/>
            <w:vAlign w:val="bottom"/>
            <w:hideMark/>
          </w:tcPr>
          <w:p w:rsidR="00012226" w:rsidRPr="00D2100B" w:rsidRDefault="00012226" w:rsidP="008234AE">
            <w:pPr>
              <w:jc w:val="right"/>
              <w:rPr>
                <w:rFonts w:ascii="Calibri" w:hAnsi="Calibri" w:cs="Arial"/>
                <w:sz w:val="20"/>
                <w:lang w:eastAsia="fr-BE"/>
              </w:rPr>
            </w:pPr>
            <w:r w:rsidRPr="00D2100B">
              <w:rPr>
                <w:rFonts w:ascii="Calibri" w:hAnsi="Calibri" w:cs="Arial"/>
                <w:sz w:val="20"/>
                <w:lang w:eastAsia="fr-BE"/>
              </w:rPr>
              <w:t>11</w:t>
            </w:r>
          </w:p>
        </w:tc>
      </w:tr>
    </w:tbl>
    <w:p w:rsidR="00012226" w:rsidRPr="00572466" w:rsidRDefault="00012226" w:rsidP="00012226">
      <w:pPr>
        <w:rPr>
          <w:lang w:eastAsia="nl-NL"/>
        </w:rPr>
      </w:pPr>
    </w:p>
    <w:p w:rsidR="00EB0F0F" w:rsidRDefault="00EB0F0F" w:rsidP="00F93E52">
      <w:pPr>
        <w:pStyle w:val="Heading2"/>
        <w:rPr>
          <w:lang w:val="nl-NL"/>
        </w:rPr>
      </w:pPr>
    </w:p>
    <w:p w:rsidR="00F269F4" w:rsidRDefault="00F269F4">
      <w:pPr>
        <w:rPr>
          <w:highlight w:val="yellow"/>
          <w:lang w:val="nl-NL"/>
        </w:rPr>
      </w:pPr>
      <w:r>
        <w:rPr>
          <w:highlight w:val="yellow"/>
          <w:lang w:val="nl-NL"/>
        </w:rPr>
        <w:br w:type="page"/>
      </w:r>
    </w:p>
    <w:p w:rsidR="008009E9" w:rsidRDefault="008009E9" w:rsidP="008009E9">
      <w:pPr>
        <w:rPr>
          <w:lang w:val="nl-NL"/>
        </w:rPr>
      </w:pPr>
    </w:p>
    <w:p w:rsidR="00EB0F0F" w:rsidRPr="00EB0F0F" w:rsidRDefault="00361074" w:rsidP="0045504A">
      <w:pPr>
        <w:tabs>
          <w:tab w:val="left" w:pos="2130"/>
        </w:tabs>
        <w:rPr>
          <w:lang w:val="nl-NL"/>
        </w:rPr>
      </w:pPr>
      <w:r>
        <w:rPr>
          <w:lang w:val="nl-NL"/>
        </w:rPr>
        <w:tab/>
      </w:r>
    </w:p>
    <w:p w:rsidR="000743A9" w:rsidRPr="001A3A9B" w:rsidRDefault="008E706C" w:rsidP="00F269F4">
      <w:pPr>
        <w:pStyle w:val="Heading1"/>
        <w:pBdr>
          <w:top w:val="single" w:sz="4" w:space="1" w:color="auto"/>
          <w:left w:val="single" w:sz="4" w:space="4" w:color="auto"/>
          <w:bottom w:val="single" w:sz="4" w:space="1" w:color="auto"/>
          <w:right w:val="single" w:sz="4" w:space="4" w:color="auto"/>
        </w:pBdr>
        <w:rPr>
          <w:sz w:val="28"/>
          <w:szCs w:val="28"/>
          <w:lang w:val="nl-NL"/>
        </w:rPr>
      </w:pPr>
      <w:bookmarkStart w:id="14" w:name="_Toc510775723"/>
      <w:r w:rsidRPr="001A3A9B">
        <w:rPr>
          <w:sz w:val="28"/>
          <w:szCs w:val="28"/>
          <w:lang w:val="nl-NL"/>
        </w:rPr>
        <w:t>II. Procedure van aanvraag tot regeling van een bevoegdheidsconflict</w:t>
      </w:r>
      <w:bookmarkEnd w:id="14"/>
    </w:p>
    <w:p w:rsidR="000743A9" w:rsidRPr="006D0278" w:rsidRDefault="000743A9" w:rsidP="00F93E52">
      <w:pPr>
        <w:pStyle w:val="Heading2"/>
        <w:ind w:left="0" w:firstLine="0"/>
        <w:rPr>
          <w:lang w:val="nl-NL"/>
        </w:rPr>
      </w:pPr>
    </w:p>
    <w:p w:rsidR="000743A9" w:rsidRPr="006D0278" w:rsidRDefault="000743A9" w:rsidP="000743A9">
      <w:pPr>
        <w:ind w:left="1080"/>
        <w:jc w:val="both"/>
        <w:rPr>
          <w:lang w:val="nl-NL"/>
        </w:rPr>
      </w:pPr>
    </w:p>
    <w:p w:rsidR="000743A9" w:rsidRPr="006D0278" w:rsidRDefault="008E706C" w:rsidP="00CC370F">
      <w:pPr>
        <w:pStyle w:val="Heading2"/>
        <w:rPr>
          <w:sz w:val="28"/>
          <w:szCs w:val="28"/>
          <w:lang w:val="nl-NL"/>
        </w:rPr>
      </w:pPr>
      <w:bookmarkStart w:id="15" w:name="_Toc510775724"/>
      <w:r w:rsidRPr="006D0278">
        <w:rPr>
          <w:sz w:val="28"/>
          <w:szCs w:val="28"/>
          <w:lang w:val="nl-NL"/>
        </w:rPr>
        <w:t>1. De aanvragen tot regeling van conflicten ingediend door de OCMW's</w:t>
      </w:r>
      <w:bookmarkEnd w:id="15"/>
    </w:p>
    <w:p w:rsidR="000743A9" w:rsidRPr="006D0278" w:rsidRDefault="000743A9" w:rsidP="000743A9">
      <w:pPr>
        <w:rPr>
          <w:lang w:val="nl-NL"/>
        </w:rPr>
      </w:pPr>
    </w:p>
    <w:p w:rsidR="000743A9" w:rsidRPr="006D0278" w:rsidRDefault="000743A9" w:rsidP="000743A9">
      <w:pPr>
        <w:rPr>
          <w:lang w:val="nl-NL"/>
        </w:rPr>
      </w:pPr>
    </w:p>
    <w:p w:rsidR="000743A9" w:rsidRPr="006D0278" w:rsidRDefault="008E706C" w:rsidP="00CC370F">
      <w:pPr>
        <w:pStyle w:val="Heading3"/>
        <w:spacing w:before="0" w:after="0"/>
        <w:rPr>
          <w:b/>
          <w:sz w:val="24"/>
          <w:u w:val="single"/>
          <w:lang w:val="nl-NL"/>
        </w:rPr>
      </w:pPr>
      <w:bookmarkStart w:id="16" w:name="_Toc510775725"/>
      <w:r w:rsidRPr="006D0278">
        <w:rPr>
          <w:b/>
          <w:sz w:val="24"/>
          <w:u w:val="single"/>
          <w:lang w:val="nl-NL"/>
        </w:rPr>
        <w:t>1. Ontvankelijke en onontvankelijke aanvragen</w:t>
      </w:r>
      <w:bookmarkEnd w:id="16"/>
    </w:p>
    <w:p w:rsidR="000743A9" w:rsidRPr="006D0278" w:rsidRDefault="000743A9" w:rsidP="000743A9">
      <w:pPr>
        <w:rPr>
          <w:lang w:val="nl-NL"/>
        </w:rPr>
      </w:pPr>
    </w:p>
    <w:p w:rsidR="000743A9" w:rsidRPr="006D0278" w:rsidRDefault="008E706C" w:rsidP="000743A9">
      <w:pPr>
        <w:pStyle w:val="Letter"/>
        <w:ind w:left="900"/>
        <w:jc w:val="both"/>
        <w:rPr>
          <w:rFonts w:ascii="Times New Roman" w:hAnsi="Times New Roman"/>
          <w:sz w:val="24"/>
          <w:szCs w:val="24"/>
          <w:lang w:val="nl-NL"/>
        </w:rPr>
      </w:pPr>
      <w:r w:rsidRPr="006D0278">
        <w:rPr>
          <w:rFonts w:ascii="Times New Roman" w:hAnsi="Times New Roman"/>
          <w:sz w:val="24"/>
          <w:szCs w:val="24"/>
          <w:lang w:val="nl-NL"/>
        </w:rPr>
        <w:t xml:space="preserve">De vraag tot regeling van bevoegdheidsconflicten is </w:t>
      </w:r>
      <w:r w:rsidRPr="006D0278">
        <w:rPr>
          <w:rFonts w:ascii="Times New Roman" w:hAnsi="Times New Roman"/>
          <w:b/>
          <w:sz w:val="24"/>
          <w:szCs w:val="24"/>
          <w:lang w:val="nl-NL"/>
        </w:rPr>
        <w:t>ontvankelijk</w:t>
      </w:r>
      <w:r w:rsidRPr="006D0278">
        <w:rPr>
          <w:rFonts w:ascii="Times New Roman" w:hAnsi="Times New Roman"/>
          <w:sz w:val="24"/>
          <w:szCs w:val="24"/>
          <w:lang w:val="nl-NL"/>
        </w:rPr>
        <w:t xml:space="preserve"> indien ze voldoet aan de voorwaarden van </w:t>
      </w:r>
      <w:r w:rsidRPr="006D0278">
        <w:rPr>
          <w:rFonts w:ascii="Times New Roman" w:hAnsi="Times New Roman"/>
          <w:sz w:val="24"/>
          <w:szCs w:val="24"/>
          <w:u w:val="single"/>
          <w:lang w:val="nl-NL"/>
        </w:rPr>
        <w:t>artikel 15, vierde lid, van de wet van 2 april 1965</w:t>
      </w:r>
      <w:r w:rsidRPr="006D0278">
        <w:rPr>
          <w:rFonts w:ascii="Times New Roman" w:hAnsi="Times New Roman"/>
          <w:sz w:val="24"/>
          <w:szCs w:val="24"/>
          <w:lang w:val="nl-NL"/>
        </w:rPr>
        <w:t xml:space="preserve"> betreffende het ten laste nemen van de steun verleend door de openbare centra voor maatschappelijk welzijn, dat </w:t>
      </w:r>
      <w:r w:rsidR="00F9388F" w:rsidRPr="006D0278">
        <w:rPr>
          <w:rFonts w:ascii="Times New Roman" w:hAnsi="Times New Roman"/>
          <w:sz w:val="24"/>
          <w:szCs w:val="24"/>
          <w:lang w:val="nl-NL"/>
        </w:rPr>
        <w:t xml:space="preserve">stelt: </w:t>
      </w:r>
    </w:p>
    <w:p w:rsidR="000743A9" w:rsidRPr="006D0278" w:rsidRDefault="000743A9" w:rsidP="000743A9">
      <w:pPr>
        <w:pStyle w:val="Letter"/>
        <w:ind w:left="900"/>
        <w:jc w:val="both"/>
        <w:rPr>
          <w:rFonts w:ascii="Times New Roman" w:hAnsi="Times New Roman"/>
          <w:sz w:val="24"/>
          <w:szCs w:val="24"/>
          <w:lang w:val="nl-NL"/>
        </w:rPr>
      </w:pPr>
    </w:p>
    <w:p w:rsidR="000743A9" w:rsidRPr="006D0278" w:rsidRDefault="008E706C" w:rsidP="000743A9">
      <w:pPr>
        <w:pStyle w:val="Letter"/>
        <w:pBdr>
          <w:top w:val="dotDash" w:sz="4" w:space="1" w:color="auto"/>
          <w:left w:val="dotDash" w:sz="4" w:space="4" w:color="auto"/>
          <w:bottom w:val="dotDash" w:sz="4" w:space="1" w:color="auto"/>
          <w:right w:val="dotDash" w:sz="4" w:space="4" w:color="auto"/>
        </w:pBdr>
        <w:shd w:val="clear" w:color="auto" w:fill="CCFFFF"/>
        <w:ind w:left="900"/>
        <w:jc w:val="both"/>
        <w:rPr>
          <w:rFonts w:ascii="Times New Roman" w:hAnsi="Times New Roman"/>
          <w:sz w:val="24"/>
          <w:szCs w:val="24"/>
          <w:lang w:val="nl-NL"/>
        </w:rPr>
      </w:pPr>
      <w:r w:rsidRPr="006D0278">
        <w:rPr>
          <w:rFonts w:ascii="Times New Roman" w:hAnsi="Times New Roman"/>
          <w:sz w:val="24"/>
          <w:szCs w:val="24"/>
          <w:lang w:val="nl-NL"/>
        </w:rPr>
        <w:t>"</w:t>
      </w:r>
      <w:r w:rsidRPr="006D0278">
        <w:rPr>
          <w:rFonts w:ascii="Times New Roman" w:hAnsi="Times New Roman"/>
          <w:bCs/>
          <w:i/>
          <w:sz w:val="24"/>
          <w:szCs w:val="24"/>
          <w:lang w:val="nl-NL"/>
        </w:rPr>
        <w:t xml:space="preserve">Onverminderd de definitieve tenlasteneming van de kosten van de dienstverlening, </w:t>
      </w:r>
      <w:r w:rsidRPr="006D0278">
        <w:rPr>
          <w:rFonts w:ascii="Times New Roman" w:hAnsi="Times New Roman"/>
          <w:bCs/>
          <w:i/>
          <w:sz w:val="24"/>
          <w:szCs w:val="24"/>
          <w:u w:val="single"/>
          <w:lang w:val="nl-NL"/>
        </w:rPr>
        <w:t xml:space="preserve"> bepaalt de minister tot wiens bevoegdheid de maatschappelijke integratie behoort, binnen vijf werkdagen, het centrum dat voorlopig moet tussenkomen wanneer twee of meerdere OCMW's achten niet territoriaal bevoegd te zijn om een </w:t>
      </w:r>
      <w:r w:rsidRPr="006D0278">
        <w:rPr>
          <w:rFonts w:ascii="Times New Roman" w:hAnsi="Times New Roman"/>
          <w:bCs/>
          <w:i/>
          <w:sz w:val="24"/>
          <w:szCs w:val="24"/>
          <w:lang w:val="nl-NL"/>
        </w:rPr>
        <w:t>vraag te onderzoeken .</w:t>
      </w:r>
      <w:r w:rsidRPr="006D0278">
        <w:rPr>
          <w:rFonts w:ascii="Times New Roman" w:hAnsi="Times New Roman"/>
          <w:sz w:val="24"/>
          <w:szCs w:val="24"/>
          <w:lang w:val="nl-NL"/>
        </w:rPr>
        <w:t xml:space="preserve">" </w:t>
      </w:r>
    </w:p>
    <w:p w:rsidR="000743A9" w:rsidRPr="006D0278" w:rsidRDefault="000743A9" w:rsidP="000743A9">
      <w:pPr>
        <w:jc w:val="both"/>
        <w:rPr>
          <w:lang w:val="nl-NL"/>
        </w:rPr>
      </w:pPr>
    </w:p>
    <w:p w:rsidR="000743A9" w:rsidRPr="006D0278" w:rsidRDefault="000743A9" w:rsidP="000743A9">
      <w:pPr>
        <w:jc w:val="both"/>
        <w:rPr>
          <w:lang w:val="nl-NL"/>
        </w:rPr>
      </w:pPr>
    </w:p>
    <w:p w:rsidR="000743A9" w:rsidRPr="006D0278" w:rsidRDefault="008E706C" w:rsidP="000743A9">
      <w:pPr>
        <w:ind w:left="900"/>
        <w:jc w:val="both"/>
        <w:rPr>
          <w:lang w:val="nl-NL"/>
        </w:rPr>
      </w:pPr>
      <w:r w:rsidRPr="006D0278">
        <w:rPr>
          <w:lang w:val="nl-NL"/>
        </w:rPr>
        <w:t>De procedure voor de aanvraag van een voorlopige regeling van een bevoegdheidsconflict tussen OCMW’s op basis van artikel 15, vierde lid, van de wet van 2 april 1965, is niet van toepassing indien er geen bevoegdheidsconflict is tussen twee of meer OCMW’s. In dit geval is de aanvraag</w:t>
      </w:r>
      <w:r w:rsidRPr="0020394A">
        <w:rPr>
          <w:b/>
          <w:lang w:val="nl-NL"/>
        </w:rPr>
        <w:t xml:space="preserve"> </w:t>
      </w:r>
      <w:r w:rsidRPr="006D0278">
        <w:rPr>
          <w:b/>
          <w:u w:val="single"/>
          <w:lang w:val="nl-NL"/>
        </w:rPr>
        <w:t>onontvankelijk</w:t>
      </w:r>
      <w:r w:rsidRPr="0020394A">
        <w:rPr>
          <w:lang w:val="nl-NL"/>
        </w:rPr>
        <w:t>.</w:t>
      </w:r>
    </w:p>
    <w:p w:rsidR="000743A9" w:rsidRPr="006D0278" w:rsidRDefault="000743A9" w:rsidP="000743A9">
      <w:pPr>
        <w:jc w:val="both"/>
        <w:rPr>
          <w:lang w:val="nl-NL"/>
        </w:rPr>
      </w:pPr>
    </w:p>
    <w:p w:rsidR="000743A9" w:rsidRPr="006D0278" w:rsidRDefault="000743A9" w:rsidP="000743A9">
      <w:pPr>
        <w:jc w:val="both"/>
        <w:rPr>
          <w:lang w:val="nl-NL"/>
        </w:rPr>
      </w:pPr>
    </w:p>
    <w:p w:rsidR="000743A9" w:rsidRPr="006D0278" w:rsidRDefault="000743A9" w:rsidP="000743A9">
      <w:pPr>
        <w:jc w:val="both"/>
        <w:rPr>
          <w:lang w:val="nl-NL"/>
        </w:rPr>
      </w:pPr>
    </w:p>
    <w:p w:rsidR="000743A9" w:rsidRPr="0045504A" w:rsidRDefault="0038667E" w:rsidP="009F2CCA">
      <w:pPr>
        <w:pStyle w:val="Heading4"/>
        <w:ind w:firstLine="360"/>
        <w:rPr>
          <w:b w:val="0"/>
          <w:bCs w:val="0"/>
          <w:u w:val="single"/>
          <w:lang w:val="nl-NL"/>
        </w:rPr>
      </w:pPr>
      <w:bookmarkStart w:id="17" w:name="_Toc510775726"/>
      <w:r>
        <w:rPr>
          <w:b w:val="0"/>
          <w:bCs w:val="0"/>
          <w:u w:val="single"/>
          <w:lang w:val="nl-BE"/>
        </w:rPr>
        <w:t>1.1</w:t>
      </w:r>
      <w:r w:rsidR="008E706C" w:rsidRPr="00B96867">
        <w:rPr>
          <w:b w:val="0"/>
          <w:bCs w:val="0"/>
          <w:u w:val="single"/>
          <w:lang w:val="nl-BE"/>
        </w:rPr>
        <w:t xml:space="preserve">. Soorten onontvankelijke </w:t>
      </w:r>
      <w:r w:rsidR="008E706C" w:rsidRPr="0045504A">
        <w:rPr>
          <w:b w:val="0"/>
          <w:bCs w:val="0"/>
          <w:u w:val="single"/>
          <w:lang w:val="nl-NL"/>
        </w:rPr>
        <w:t>aanvragen</w:t>
      </w:r>
      <w:bookmarkEnd w:id="17"/>
    </w:p>
    <w:p w:rsidR="000743A9" w:rsidRPr="0045504A" w:rsidRDefault="000743A9" w:rsidP="000743A9">
      <w:pPr>
        <w:rPr>
          <w:lang w:val="nl-NL"/>
        </w:rPr>
      </w:pPr>
    </w:p>
    <w:p w:rsidR="000743A9" w:rsidRPr="006D0278" w:rsidRDefault="008E706C" w:rsidP="000743A9">
      <w:pPr>
        <w:pStyle w:val="Opmaakprofiel1"/>
        <w:numPr>
          <w:ilvl w:val="0"/>
          <w:numId w:val="1"/>
        </w:numPr>
        <w:tabs>
          <w:tab w:val="clear" w:pos="2160"/>
          <w:tab w:val="num" w:pos="1080"/>
        </w:tabs>
        <w:ind w:left="1080" w:firstLine="0"/>
        <w:rPr>
          <w:u w:val="none"/>
        </w:rPr>
      </w:pPr>
      <w:r w:rsidRPr="006D0278">
        <w:rPr>
          <w:u w:val="none"/>
        </w:rPr>
        <w:t>Een gewone adviesaanvraag van het OCMW dat zich niet uitspreekt over zijn bevoegdheid en dat een aanvraag indient om de Dienst Bevoegdheidsconflicten het bevoegde OCMW te laten aanduiden.</w:t>
      </w:r>
    </w:p>
    <w:p w:rsidR="000743A9" w:rsidRPr="006D0278" w:rsidRDefault="000743A9" w:rsidP="000743A9">
      <w:pPr>
        <w:pStyle w:val="Opmaakprofiel1"/>
        <w:ind w:left="1800"/>
        <w:rPr>
          <w:u w:val="none"/>
        </w:rPr>
      </w:pPr>
    </w:p>
    <w:p w:rsidR="000743A9" w:rsidRPr="006D0278" w:rsidRDefault="008E706C" w:rsidP="000743A9">
      <w:pPr>
        <w:pStyle w:val="Opmaakprofiel1"/>
        <w:numPr>
          <w:ilvl w:val="0"/>
          <w:numId w:val="1"/>
        </w:numPr>
        <w:tabs>
          <w:tab w:val="clear" w:pos="2160"/>
          <w:tab w:val="num" w:pos="1080"/>
        </w:tabs>
        <w:ind w:left="1080" w:firstLine="0"/>
        <w:rPr>
          <w:u w:val="none"/>
        </w:rPr>
      </w:pPr>
      <w:r w:rsidRPr="006D0278">
        <w:rPr>
          <w:u w:val="none"/>
        </w:rPr>
        <w:t xml:space="preserve">Een vraag die betrekking heeft op de tenlasteneming van de hospitalisatiekosten door het OCMW van de onderstandsdomicilie. </w:t>
      </w:r>
    </w:p>
    <w:p w:rsidR="000743A9" w:rsidRPr="006D0278" w:rsidRDefault="000743A9" w:rsidP="000743A9">
      <w:pPr>
        <w:pStyle w:val="Opmaakprofiel1"/>
        <w:rPr>
          <w:u w:val="none"/>
        </w:rPr>
      </w:pPr>
    </w:p>
    <w:p w:rsidR="000743A9" w:rsidRPr="006D0278" w:rsidRDefault="008E706C" w:rsidP="000743A9">
      <w:pPr>
        <w:pStyle w:val="Opmaakprofiel1"/>
        <w:numPr>
          <w:ilvl w:val="0"/>
          <w:numId w:val="1"/>
        </w:numPr>
        <w:tabs>
          <w:tab w:val="clear" w:pos="2160"/>
          <w:tab w:val="num" w:pos="1440"/>
        </w:tabs>
        <w:ind w:left="1080" w:firstLine="0"/>
        <w:rPr>
          <w:u w:val="none"/>
        </w:rPr>
      </w:pPr>
      <w:r w:rsidRPr="006D0278">
        <w:rPr>
          <w:u w:val="none"/>
        </w:rPr>
        <w:t>Een aanvraag tot regeling van een bevoegdheidsconflict ingediend door een ziekenhuis, een opvangtehuis of een andere instelling.</w:t>
      </w:r>
    </w:p>
    <w:p w:rsidR="000743A9" w:rsidRPr="006D0278" w:rsidRDefault="008E706C" w:rsidP="000743A9">
      <w:pPr>
        <w:pStyle w:val="Opmaakprofiel1"/>
        <w:ind w:left="1080"/>
        <w:rPr>
          <w:u w:val="none"/>
        </w:rPr>
      </w:pPr>
      <w:r w:rsidRPr="006D0278">
        <w:rPr>
          <w:u w:val="none"/>
        </w:rPr>
        <w:t>Een dergelijke aanvraag is niet ontvankelijk omdat ze ingediend moet worden door een OCMW.</w:t>
      </w:r>
    </w:p>
    <w:p w:rsidR="000743A9" w:rsidRPr="006D0278" w:rsidRDefault="000743A9" w:rsidP="000743A9">
      <w:pPr>
        <w:pStyle w:val="Opmaakprofiel1"/>
        <w:rPr>
          <w:u w:val="none"/>
        </w:rPr>
      </w:pPr>
    </w:p>
    <w:p w:rsidR="000743A9" w:rsidRDefault="008E706C" w:rsidP="000743A9">
      <w:pPr>
        <w:pStyle w:val="Opmaakprofiel1"/>
        <w:numPr>
          <w:ilvl w:val="0"/>
          <w:numId w:val="1"/>
        </w:numPr>
        <w:tabs>
          <w:tab w:val="clear" w:pos="2160"/>
          <w:tab w:val="num" w:pos="1080"/>
        </w:tabs>
        <w:ind w:left="1080" w:firstLine="0"/>
        <w:rPr>
          <w:u w:val="none"/>
        </w:rPr>
      </w:pPr>
      <w:r w:rsidRPr="006D0278">
        <w:rPr>
          <w:u w:val="none"/>
        </w:rPr>
        <w:t>Een aanvraag tot regeling van een bevoegdheidsconflict ingediend door een OCMW zonder gemotiveerde beslissing inzake onbevoegdheid vanwege het OCMW waarmee het indienende OCMW een bevoegdheidsconflict heeft.</w:t>
      </w:r>
    </w:p>
    <w:p w:rsidR="000743A9" w:rsidRDefault="008E706C" w:rsidP="000743A9">
      <w:pPr>
        <w:pStyle w:val="Opmaakprofiel1"/>
        <w:ind w:left="1080"/>
        <w:rPr>
          <w:u w:val="none"/>
        </w:rPr>
      </w:pPr>
      <w:r w:rsidRPr="006D0278">
        <w:rPr>
          <w:u w:val="none"/>
        </w:rPr>
        <w:t xml:space="preserve">Dit is zo in het geval wanneer een eerste OCMW dat denkt onbevoegd te zijn, de steunaanvrager mondeling doorstuurt naar een tweede OCMW zonder een gemotiveerde beslissing inzake onbevoegdheid te nemen. In dit geval moet het </w:t>
      </w:r>
      <w:r w:rsidRPr="006D0278">
        <w:rPr>
          <w:u w:val="none"/>
        </w:rPr>
        <w:lastRenderedPageBreak/>
        <w:t xml:space="preserve">tweede OCMW, dat ook denkt onbevoegd te zijn, die vraag doorsturen naar het volgens hem bevoegde OCMW en dit overeenkomstig de procedure beschreven in artikel 18, §4, van de wet van 26 mei 2002 betreffende het recht op maatschappelijke integratie of artikel 58, §3, van de organieke OCMW-wet van 8 juli 1976. Het moet dus geen aanvraag tot regeling van een bevoegdheidsconflict bij de Dienst Bevoegdheidsconflicten indienen als er geen gemotiveerde beslissing tot onbevoegdheid genomen werd door het eerste OCMW. </w:t>
      </w:r>
    </w:p>
    <w:p w:rsidR="00BA316D" w:rsidRDefault="00BA316D" w:rsidP="000743A9">
      <w:pPr>
        <w:pStyle w:val="Opmaakprofiel1"/>
        <w:ind w:left="1080"/>
        <w:rPr>
          <w:u w:val="none"/>
        </w:rPr>
      </w:pPr>
    </w:p>
    <w:p w:rsidR="00FA670A" w:rsidRPr="00655650" w:rsidRDefault="00FA670A" w:rsidP="00BA316D">
      <w:pPr>
        <w:ind w:left="1080"/>
        <w:jc w:val="both"/>
        <w:rPr>
          <w:lang w:val="nl-NL"/>
        </w:rPr>
      </w:pPr>
      <w:r w:rsidRPr="00655650">
        <w:rPr>
          <w:lang w:val="nl-NL"/>
        </w:rPr>
        <w:t xml:space="preserve">Het gebeurt </w:t>
      </w:r>
      <w:r w:rsidR="000072BE" w:rsidRPr="00655650">
        <w:rPr>
          <w:lang w:val="nl-NL"/>
        </w:rPr>
        <w:t xml:space="preserve">vrij </w:t>
      </w:r>
      <w:r w:rsidRPr="00655650">
        <w:rPr>
          <w:lang w:val="nl-NL"/>
        </w:rPr>
        <w:t xml:space="preserve">regelmatig </w:t>
      </w:r>
      <w:r w:rsidR="000072BE" w:rsidRPr="00655650">
        <w:rPr>
          <w:lang w:val="nl-NL"/>
        </w:rPr>
        <w:t>dat een OCMW door een sociale dienst van een ziekenhuis benaderd wordt en dat het OCMW enkel rechtstreeks aan het ziekenhuis antwoordt zich territoriaal niet bevoegd te achten zonder een kennisgeving van onbevoegdheid over te maken aan het bevoegd geacht OCMW.</w:t>
      </w:r>
    </w:p>
    <w:p w:rsidR="000072BE" w:rsidRPr="00655650" w:rsidRDefault="000072BE" w:rsidP="00BA316D">
      <w:pPr>
        <w:ind w:left="1080"/>
        <w:jc w:val="both"/>
        <w:rPr>
          <w:lang w:val="nl-NL"/>
        </w:rPr>
      </w:pPr>
      <w:r w:rsidRPr="00655650">
        <w:rPr>
          <w:lang w:val="nl-NL"/>
        </w:rPr>
        <w:t>Ook in onderhavig geval dient het OCMW dat de initiële vraag via de sociale dienst van het ziekenhuis ontvangt, verplichtend een kennisgeving van onbevoegdheid over maken conform de procedure van artikel 18, §4, van de wet van 26 mei 2002 betreffende het Recht op Maatschappelijke Integratie of van art</w:t>
      </w:r>
      <w:r w:rsidR="00421DE5">
        <w:rPr>
          <w:lang w:val="nl-NL"/>
        </w:rPr>
        <w:t>ikel</w:t>
      </w:r>
      <w:r w:rsidRPr="00655650">
        <w:rPr>
          <w:lang w:val="nl-NL"/>
        </w:rPr>
        <w:t xml:space="preserve"> 58, §3, van de organieke wet van 8 juli 1976.</w:t>
      </w:r>
    </w:p>
    <w:p w:rsidR="00BA316D" w:rsidRPr="00655650" w:rsidRDefault="00BA316D" w:rsidP="000743A9">
      <w:pPr>
        <w:pStyle w:val="Opmaakprofiel1"/>
        <w:ind w:left="1080"/>
        <w:rPr>
          <w:u w:val="none"/>
        </w:rPr>
      </w:pPr>
    </w:p>
    <w:p w:rsidR="00BA316D" w:rsidRPr="00655650" w:rsidRDefault="00BA316D" w:rsidP="000743A9">
      <w:pPr>
        <w:pStyle w:val="Opmaakprofiel1"/>
        <w:ind w:left="1080"/>
        <w:rPr>
          <w:u w:val="none"/>
        </w:rPr>
      </w:pPr>
    </w:p>
    <w:p w:rsidR="000743A9" w:rsidRPr="006D0278" w:rsidRDefault="0038667E" w:rsidP="00CC370F">
      <w:pPr>
        <w:pStyle w:val="Heading4"/>
        <w:ind w:firstLine="360"/>
        <w:rPr>
          <w:b w:val="0"/>
          <w:bCs w:val="0"/>
          <w:u w:val="single"/>
          <w:lang w:val="nl-NL"/>
        </w:rPr>
      </w:pPr>
      <w:bookmarkStart w:id="18" w:name="_Toc510775727"/>
      <w:r>
        <w:rPr>
          <w:b w:val="0"/>
          <w:bCs w:val="0"/>
          <w:u w:val="single"/>
          <w:lang w:val="nl-NL"/>
        </w:rPr>
        <w:t>1.2</w:t>
      </w:r>
      <w:r w:rsidR="008E706C" w:rsidRPr="006D0278">
        <w:rPr>
          <w:b w:val="0"/>
          <w:bCs w:val="0"/>
          <w:u w:val="single"/>
          <w:lang w:val="nl-NL"/>
        </w:rPr>
        <w:t>. Adviezen van de Dienst OCMW-Wetgeving - Bevoegdheidsconflicten</w:t>
      </w:r>
      <w:bookmarkEnd w:id="18"/>
    </w:p>
    <w:p w:rsidR="000743A9" w:rsidRPr="006D0278" w:rsidRDefault="000743A9" w:rsidP="000743A9">
      <w:pPr>
        <w:pStyle w:val="Opmaakprofiel1"/>
        <w:rPr>
          <w:u w:val="none"/>
        </w:rPr>
      </w:pPr>
    </w:p>
    <w:p w:rsidR="000743A9" w:rsidRPr="006D0278" w:rsidRDefault="008E706C" w:rsidP="000743A9">
      <w:pPr>
        <w:pStyle w:val="Opmaakprofiel1"/>
        <w:ind w:left="720"/>
        <w:rPr>
          <w:u w:val="none"/>
        </w:rPr>
      </w:pPr>
      <w:r w:rsidRPr="006D0278">
        <w:rPr>
          <w:u w:val="none"/>
        </w:rPr>
        <w:t xml:space="preserve">Bij de onontvankelijke aanvragen wordt er geen tijdelijk bevoegd centrum aangeduid in het kader van de procedure tot oplossing van bevoegdheidsconflicten. </w:t>
      </w:r>
    </w:p>
    <w:p w:rsidR="000743A9" w:rsidRPr="006D0278" w:rsidRDefault="000743A9" w:rsidP="000743A9">
      <w:pPr>
        <w:pStyle w:val="Opmaakprofiel1"/>
        <w:ind w:left="900"/>
        <w:rPr>
          <w:u w:val="none"/>
        </w:rPr>
      </w:pPr>
    </w:p>
    <w:p w:rsidR="000743A9" w:rsidRPr="006D0278" w:rsidRDefault="008E706C" w:rsidP="000743A9">
      <w:pPr>
        <w:pStyle w:val="Opmaakprofiel1"/>
        <w:ind w:left="720"/>
        <w:rPr>
          <w:u w:val="none"/>
        </w:rPr>
      </w:pPr>
      <w:r w:rsidRPr="006D0278">
        <w:rPr>
          <w:u w:val="none"/>
        </w:rPr>
        <w:t xml:space="preserve">In het belang van de steunaanvrager die ondertussen geen hulp krijgt, wordt door de </w:t>
      </w:r>
      <w:r w:rsidR="003C74AF">
        <w:rPr>
          <w:u w:val="none"/>
        </w:rPr>
        <w:t xml:space="preserve">Juridische </w:t>
      </w:r>
      <w:r w:rsidRPr="006D0278">
        <w:rPr>
          <w:u w:val="none"/>
        </w:rPr>
        <w:t xml:space="preserve">Dienst toch zo snel mogelijk een advies inzake de bevoegdheid meegedeeld aan het OCMW dat de aanvraag heeft ingediend. Dit advies kan in geen geval worden beschouwd als een beslissing van de Dienst Bevoegdheidsconflicten tot aanduiding van het bevoegde OCMW. </w:t>
      </w:r>
    </w:p>
    <w:p w:rsidR="00CC370F" w:rsidRDefault="00CC370F" w:rsidP="000743A9">
      <w:pPr>
        <w:jc w:val="both"/>
        <w:rPr>
          <w:lang w:val="nl-NL"/>
        </w:rPr>
      </w:pPr>
    </w:p>
    <w:p w:rsidR="00BA316D" w:rsidRDefault="00BA316D" w:rsidP="000743A9">
      <w:pPr>
        <w:jc w:val="both"/>
        <w:rPr>
          <w:lang w:val="nl-NL"/>
        </w:rPr>
      </w:pPr>
    </w:p>
    <w:p w:rsidR="00F269F4" w:rsidRPr="006D0278" w:rsidRDefault="00F269F4" w:rsidP="000743A9">
      <w:pPr>
        <w:jc w:val="both"/>
        <w:rPr>
          <w:lang w:val="nl-NL"/>
        </w:rPr>
      </w:pPr>
    </w:p>
    <w:p w:rsidR="000743A9" w:rsidRPr="006D0278" w:rsidRDefault="008E706C" w:rsidP="00CC370F">
      <w:pPr>
        <w:pStyle w:val="Heading3"/>
        <w:spacing w:before="0" w:after="0"/>
        <w:rPr>
          <w:b/>
          <w:bCs/>
          <w:sz w:val="24"/>
          <w:u w:val="single"/>
          <w:lang w:val="nl-NL"/>
        </w:rPr>
      </w:pPr>
      <w:bookmarkStart w:id="19" w:name="_Toc510775728"/>
      <w:r w:rsidRPr="006D0278">
        <w:rPr>
          <w:b/>
          <w:bCs/>
          <w:sz w:val="24"/>
          <w:u w:val="single"/>
          <w:lang w:val="nl-NL"/>
        </w:rPr>
        <w:t>2. De aanvragen zonder voorwerp</w:t>
      </w:r>
      <w:bookmarkEnd w:id="19"/>
      <w:r w:rsidRPr="006D0278">
        <w:rPr>
          <w:b/>
          <w:bCs/>
          <w:sz w:val="24"/>
          <w:u w:val="single"/>
          <w:lang w:val="nl-NL"/>
        </w:rPr>
        <w:t xml:space="preserve"> </w:t>
      </w:r>
    </w:p>
    <w:p w:rsidR="000743A9" w:rsidRPr="006D0278" w:rsidRDefault="000743A9" w:rsidP="000743A9">
      <w:pPr>
        <w:pStyle w:val="BodyText"/>
        <w:tabs>
          <w:tab w:val="left" w:pos="720"/>
        </w:tabs>
        <w:rPr>
          <w:i/>
          <w:lang w:val="nl-NL"/>
        </w:rPr>
      </w:pPr>
    </w:p>
    <w:p w:rsidR="000743A9" w:rsidRPr="006D0278" w:rsidRDefault="008E706C" w:rsidP="000743A9">
      <w:pPr>
        <w:pStyle w:val="BodyText"/>
        <w:tabs>
          <w:tab w:val="left" w:pos="720"/>
        </w:tabs>
        <w:ind w:left="360"/>
        <w:rPr>
          <w:lang w:val="nl-NL"/>
        </w:rPr>
      </w:pPr>
      <w:r w:rsidRPr="006D0278">
        <w:rPr>
          <w:lang w:val="nl-NL"/>
        </w:rPr>
        <w:t>Dit zijn de dossiers waarin na een vraag om aanvullende informatie bij de betrokken OCMW's één van de betrokken OCMW’s erkent toch bevoegd te zijn om de steunaanvraag te behandelen. De aanvraag tot regeling van een bevoegdheidsconflict is onontvankelijk, aangezien zij zonder voorwerp is.</w:t>
      </w:r>
    </w:p>
    <w:p w:rsidR="000743A9" w:rsidRPr="006D0278" w:rsidRDefault="000743A9" w:rsidP="000743A9">
      <w:pPr>
        <w:rPr>
          <w:lang w:val="nl-NL"/>
        </w:rPr>
      </w:pPr>
      <w:r w:rsidRPr="006D0278">
        <w:rPr>
          <w:lang w:val="nl-NL"/>
        </w:rPr>
        <w:tab/>
      </w:r>
      <w:r w:rsidRPr="006D0278">
        <w:rPr>
          <w:lang w:val="nl-NL"/>
        </w:rPr>
        <w:tab/>
      </w:r>
    </w:p>
    <w:p w:rsidR="000743A9" w:rsidRPr="006D0278" w:rsidRDefault="008E706C" w:rsidP="000743A9">
      <w:pPr>
        <w:ind w:left="360"/>
        <w:jc w:val="both"/>
        <w:rPr>
          <w:lang w:val="nl-NL"/>
        </w:rPr>
      </w:pPr>
      <w:r w:rsidRPr="006D0278">
        <w:rPr>
          <w:lang w:val="nl-NL"/>
        </w:rPr>
        <w:t xml:space="preserve">Er wordt vastgesteld dat in het merendeel van de gevallen het eerste OCMW, dat de steunaanvraag doorstuurde, het OCMW is dat zich toch bevoegd acht na een vraag om aanvullende informatie door de Dienst </w:t>
      </w:r>
      <w:r w:rsidR="00F9388F" w:rsidRPr="006D0278">
        <w:rPr>
          <w:lang w:val="nl-NL"/>
        </w:rPr>
        <w:t xml:space="preserve">Bevoegdheidsconflicten. </w:t>
      </w:r>
    </w:p>
    <w:p w:rsidR="000743A9" w:rsidRPr="006D0278" w:rsidRDefault="000743A9" w:rsidP="000743A9">
      <w:pPr>
        <w:jc w:val="both"/>
        <w:rPr>
          <w:lang w:val="nl-NL"/>
        </w:rPr>
      </w:pPr>
    </w:p>
    <w:p w:rsidR="000743A9" w:rsidRPr="006D0278" w:rsidRDefault="008E706C" w:rsidP="000743A9">
      <w:pPr>
        <w:ind w:left="360"/>
        <w:jc w:val="both"/>
        <w:rPr>
          <w:lang w:val="nl-NL"/>
        </w:rPr>
      </w:pPr>
      <w:r w:rsidRPr="006D0278">
        <w:rPr>
          <w:lang w:val="nl-NL"/>
        </w:rPr>
        <w:t xml:space="preserve">Dit kan onder andere betekenen dat het </w:t>
      </w:r>
      <w:r w:rsidR="007A0619">
        <w:rPr>
          <w:lang w:val="nl-NL"/>
        </w:rPr>
        <w:t>eerste</w:t>
      </w:r>
      <w:r w:rsidRPr="006D0278">
        <w:rPr>
          <w:vertAlign w:val="superscript"/>
          <w:lang w:val="nl-NL"/>
        </w:rPr>
        <w:t xml:space="preserve"> </w:t>
      </w:r>
      <w:r w:rsidRPr="006D0278">
        <w:rPr>
          <w:lang w:val="nl-NL"/>
        </w:rPr>
        <w:t>OCMW de steunaanvraag niet grondig heeft onderzocht alvorens zich onbevoegd te verklaren. De OCMW’s analyseren niet altijd grondig alle feitelijke en wettelijke gegevens voordat ze beslissen dat ze onbevoegd zijn. Dit onderzoek gebeurt vaak slechts naar aanleiding van de vraag om aanvullende informatie vanwege de Dienst Bevoegdheidsconflicten.</w:t>
      </w:r>
    </w:p>
    <w:p w:rsidR="000743A9" w:rsidRPr="006D0278" w:rsidRDefault="000743A9" w:rsidP="000743A9">
      <w:pPr>
        <w:pStyle w:val="BodyText"/>
        <w:tabs>
          <w:tab w:val="left" w:pos="720"/>
        </w:tabs>
        <w:rPr>
          <w:i/>
          <w:lang w:val="nl-NL"/>
        </w:rPr>
      </w:pPr>
    </w:p>
    <w:p w:rsidR="005E6B51" w:rsidRPr="00904D90" w:rsidRDefault="008B4EA3" w:rsidP="00902151">
      <w:pPr>
        <w:pStyle w:val="BodyText"/>
        <w:tabs>
          <w:tab w:val="left" w:pos="720"/>
        </w:tabs>
        <w:rPr>
          <w:lang w:val="nl-BE"/>
        </w:rPr>
      </w:pPr>
      <w:r w:rsidRPr="006D0278">
        <w:rPr>
          <w:i/>
          <w:lang w:val="nl-NL"/>
        </w:rPr>
        <w:tab/>
      </w:r>
    </w:p>
    <w:p w:rsidR="00BA316D" w:rsidRPr="00F269F4" w:rsidRDefault="00BA316D" w:rsidP="00BA316D">
      <w:pPr>
        <w:pStyle w:val="BodyText"/>
        <w:tabs>
          <w:tab w:val="left" w:pos="720"/>
        </w:tabs>
        <w:rPr>
          <w:lang w:val="nl-NL"/>
        </w:rPr>
      </w:pPr>
    </w:p>
    <w:p w:rsidR="00452184" w:rsidRPr="00655650" w:rsidRDefault="00452184" w:rsidP="00CD54CE">
      <w:pPr>
        <w:pStyle w:val="BodyText"/>
        <w:tabs>
          <w:tab w:val="left" w:pos="720"/>
        </w:tabs>
        <w:rPr>
          <w:highlight w:val="yellow"/>
          <w:lang w:val="nl-NL"/>
        </w:rPr>
      </w:pPr>
    </w:p>
    <w:p w:rsidR="001D07A6" w:rsidRPr="006D0278" w:rsidRDefault="00452184" w:rsidP="00CC370F">
      <w:pPr>
        <w:pStyle w:val="Heading3"/>
        <w:spacing w:before="0" w:after="0"/>
        <w:rPr>
          <w:b/>
          <w:bCs/>
          <w:sz w:val="24"/>
          <w:u w:val="single"/>
          <w:lang w:val="nl-NL"/>
        </w:rPr>
      </w:pPr>
      <w:bookmarkStart w:id="20" w:name="_Toc510775729"/>
      <w:r>
        <w:rPr>
          <w:b/>
          <w:bCs/>
          <w:sz w:val="24"/>
          <w:u w:val="single"/>
          <w:lang w:val="nl-NL"/>
        </w:rPr>
        <w:t xml:space="preserve">3. </w:t>
      </w:r>
      <w:r w:rsidR="008E706C" w:rsidRPr="006D0278">
        <w:rPr>
          <w:b/>
          <w:bCs/>
          <w:sz w:val="24"/>
          <w:u w:val="single"/>
          <w:lang w:val="nl-NL"/>
        </w:rPr>
        <w:t xml:space="preserve">Welk OCMW wordt als bevoegd </w:t>
      </w:r>
      <w:r w:rsidR="00B20820" w:rsidRPr="006D0278">
        <w:rPr>
          <w:b/>
          <w:bCs/>
          <w:sz w:val="24"/>
          <w:u w:val="single"/>
          <w:lang w:val="nl-NL"/>
        </w:rPr>
        <w:t>aangeduid?</w:t>
      </w:r>
      <w:bookmarkEnd w:id="20"/>
    </w:p>
    <w:p w:rsidR="001D07A6" w:rsidRPr="006D0278" w:rsidRDefault="001D07A6" w:rsidP="001D07A6">
      <w:pPr>
        <w:tabs>
          <w:tab w:val="left" w:pos="4860"/>
        </w:tabs>
        <w:jc w:val="both"/>
        <w:rPr>
          <w:b/>
          <w:bCs/>
          <w:lang w:val="nl-NL"/>
        </w:rPr>
      </w:pPr>
    </w:p>
    <w:p w:rsidR="001D07A6" w:rsidRPr="00CF5BF0" w:rsidRDefault="008E706C" w:rsidP="001D07A6">
      <w:pPr>
        <w:ind w:left="720"/>
        <w:jc w:val="both"/>
        <w:rPr>
          <w:lang w:val="nl-BE"/>
        </w:rPr>
      </w:pPr>
      <w:r w:rsidRPr="006D0278">
        <w:rPr>
          <w:lang w:val="nl-NL"/>
        </w:rPr>
        <w:t xml:space="preserve">Voor de ontvankelijke aanvragen, wordt het OCMW dat voorlopig moet tussenkomen aangeduid. </w:t>
      </w:r>
      <w:r w:rsidRPr="00CF5BF0">
        <w:rPr>
          <w:lang w:val="nl-BE"/>
        </w:rPr>
        <w:t>Dit geeft het volgende resultaat voor het jaar 201</w:t>
      </w:r>
      <w:r w:rsidR="00DA0C6C" w:rsidRPr="00CF5BF0">
        <w:rPr>
          <w:lang w:val="nl-BE"/>
        </w:rPr>
        <w:t>7</w:t>
      </w:r>
      <w:r w:rsidRPr="00CF5BF0">
        <w:rPr>
          <w:lang w:val="nl-BE"/>
        </w:rPr>
        <w:t>:</w:t>
      </w:r>
    </w:p>
    <w:p w:rsidR="001D07A6" w:rsidRPr="00CF5BF0" w:rsidRDefault="001D07A6" w:rsidP="001D07A6">
      <w:pPr>
        <w:ind w:left="720"/>
        <w:jc w:val="both"/>
        <w:rPr>
          <w:lang w:val="nl-BE"/>
        </w:rPr>
      </w:pPr>
    </w:p>
    <w:p w:rsidR="001D07A6" w:rsidRPr="006D0278" w:rsidRDefault="008E706C" w:rsidP="00CD54CE">
      <w:pPr>
        <w:pStyle w:val="BodyTextIndent"/>
        <w:numPr>
          <w:ilvl w:val="0"/>
          <w:numId w:val="14"/>
        </w:numPr>
        <w:rPr>
          <w:lang w:val="nl-NL"/>
        </w:rPr>
      </w:pPr>
      <w:r w:rsidRPr="006D0278">
        <w:rPr>
          <w:lang w:val="nl-NL"/>
        </w:rPr>
        <w:t>Het</w:t>
      </w:r>
      <w:r w:rsidR="00B20820">
        <w:rPr>
          <w:lang w:val="nl-NL"/>
        </w:rPr>
        <w:t xml:space="preserve"> </w:t>
      </w:r>
      <w:r w:rsidRPr="006D0278">
        <w:rPr>
          <w:u w:val="single"/>
          <w:lang w:val="nl-NL"/>
        </w:rPr>
        <w:t>eerste OCMW</w:t>
      </w:r>
      <w:r w:rsidRPr="006D0278">
        <w:rPr>
          <w:lang w:val="nl-NL"/>
        </w:rPr>
        <w:t xml:space="preserve"> dat de steunaanvraag wegens onbevoegdheid heeft doorgestuurd naar het tweede OCMW wordt aangeduid als bevoegd OCMW:</w:t>
      </w:r>
    </w:p>
    <w:p w:rsidR="004C674D" w:rsidRDefault="007B5277" w:rsidP="00F269F4">
      <w:pPr>
        <w:pStyle w:val="BodyTextIndent"/>
        <w:numPr>
          <w:ilvl w:val="0"/>
          <w:numId w:val="32"/>
        </w:numPr>
        <w:rPr>
          <w:lang w:val="nl-NL"/>
        </w:rPr>
      </w:pPr>
      <w:r>
        <w:rPr>
          <w:lang w:val="nl-NL"/>
        </w:rPr>
        <w:t xml:space="preserve">133 </w:t>
      </w:r>
      <w:r w:rsidR="008E706C" w:rsidRPr="006D0278">
        <w:rPr>
          <w:lang w:val="nl-NL"/>
        </w:rPr>
        <w:t>o</w:t>
      </w:r>
      <w:r>
        <w:rPr>
          <w:lang w:val="nl-NL"/>
        </w:rPr>
        <w:t>ntvankelijke dossiers</w:t>
      </w:r>
      <w:r w:rsidR="00363E9D">
        <w:rPr>
          <w:lang w:val="nl-NL"/>
        </w:rPr>
        <w:t xml:space="preserve">; 97 Franstalige en </w:t>
      </w:r>
      <w:r w:rsidR="00CF5BF0">
        <w:rPr>
          <w:lang w:val="nl-NL"/>
        </w:rPr>
        <w:t>36</w:t>
      </w:r>
      <w:r w:rsidR="00363E9D">
        <w:rPr>
          <w:lang w:val="nl-NL"/>
        </w:rPr>
        <w:t xml:space="preserve"> Nederlandstalige</w:t>
      </w:r>
    </w:p>
    <w:p w:rsidR="001D07A6" w:rsidRPr="006D0278" w:rsidRDefault="001D07A6" w:rsidP="001D07A6">
      <w:pPr>
        <w:pStyle w:val="BodyTextIndent"/>
        <w:rPr>
          <w:lang w:val="nl-NL"/>
        </w:rPr>
      </w:pPr>
    </w:p>
    <w:p w:rsidR="001D07A6" w:rsidRPr="006D0278" w:rsidRDefault="008E706C" w:rsidP="001D07A6">
      <w:pPr>
        <w:pStyle w:val="BodyTextIndent"/>
        <w:numPr>
          <w:ilvl w:val="0"/>
          <w:numId w:val="4"/>
        </w:numPr>
        <w:rPr>
          <w:lang w:val="nl-NL"/>
        </w:rPr>
      </w:pPr>
      <w:r w:rsidRPr="006D0278">
        <w:rPr>
          <w:lang w:val="nl-NL"/>
        </w:rPr>
        <w:t>Het OCMW dat de aanvraag tot regeling van een bevoegdheidsconflict bij de POD heeft ingediend (“</w:t>
      </w:r>
      <w:r w:rsidRPr="006D0278">
        <w:rPr>
          <w:u w:val="single"/>
          <w:lang w:val="nl-NL"/>
        </w:rPr>
        <w:t>het tweede OCMW</w:t>
      </w:r>
      <w:r w:rsidRPr="006D0278">
        <w:rPr>
          <w:lang w:val="nl-NL"/>
        </w:rPr>
        <w:t xml:space="preserve">”), wordt aangeduid als bevoegd OCMW in: </w:t>
      </w:r>
    </w:p>
    <w:p w:rsidR="001D07A6" w:rsidRDefault="00905C5D" w:rsidP="00F269F4">
      <w:pPr>
        <w:pStyle w:val="BodyTextIndent"/>
        <w:numPr>
          <w:ilvl w:val="0"/>
          <w:numId w:val="32"/>
        </w:numPr>
        <w:rPr>
          <w:lang w:val="nl-NL"/>
        </w:rPr>
      </w:pPr>
      <w:r>
        <w:rPr>
          <w:lang w:val="nl-NL"/>
        </w:rPr>
        <w:t xml:space="preserve">453 </w:t>
      </w:r>
      <w:r w:rsidR="007B5277">
        <w:rPr>
          <w:lang w:val="nl-NL"/>
        </w:rPr>
        <w:t>ontvankelijke dossiers</w:t>
      </w:r>
      <w:r w:rsidR="00363E9D">
        <w:rPr>
          <w:lang w:val="nl-NL"/>
        </w:rPr>
        <w:t xml:space="preserve">; </w:t>
      </w:r>
      <w:r w:rsidR="00CF5BF0">
        <w:rPr>
          <w:lang w:val="nl-NL"/>
        </w:rPr>
        <w:t xml:space="preserve">345 </w:t>
      </w:r>
      <w:r w:rsidR="00363E9D">
        <w:rPr>
          <w:lang w:val="nl-NL"/>
        </w:rPr>
        <w:t xml:space="preserve">Franstalige en </w:t>
      </w:r>
      <w:r w:rsidR="00CF5BF0">
        <w:rPr>
          <w:lang w:val="nl-NL"/>
        </w:rPr>
        <w:t>108</w:t>
      </w:r>
      <w:r w:rsidR="00363E9D">
        <w:rPr>
          <w:lang w:val="nl-NL"/>
        </w:rPr>
        <w:t xml:space="preserve"> Nederlan</w:t>
      </w:r>
      <w:r w:rsidR="00C34FA0">
        <w:rPr>
          <w:lang w:val="nl-NL"/>
        </w:rPr>
        <w:t>d</w:t>
      </w:r>
      <w:r w:rsidR="00363E9D">
        <w:rPr>
          <w:lang w:val="nl-NL"/>
        </w:rPr>
        <w:t>stalig</w:t>
      </w:r>
    </w:p>
    <w:p w:rsidR="004C674D" w:rsidRPr="006D0278" w:rsidRDefault="004C674D" w:rsidP="001D07A6">
      <w:pPr>
        <w:pStyle w:val="BodyTextIndent"/>
        <w:rPr>
          <w:lang w:val="nl-NL"/>
        </w:rPr>
      </w:pPr>
    </w:p>
    <w:p w:rsidR="001D07A6" w:rsidRPr="006D0278" w:rsidRDefault="008E706C" w:rsidP="001D07A6">
      <w:pPr>
        <w:pStyle w:val="BodyTextIndent"/>
        <w:numPr>
          <w:ilvl w:val="0"/>
          <w:numId w:val="4"/>
        </w:numPr>
        <w:tabs>
          <w:tab w:val="num" w:pos="1440"/>
        </w:tabs>
        <w:rPr>
          <w:lang w:val="nl-NL"/>
        </w:rPr>
      </w:pPr>
      <w:r w:rsidRPr="006D0278">
        <w:rPr>
          <w:lang w:val="nl-NL"/>
        </w:rPr>
        <w:t xml:space="preserve">Een </w:t>
      </w:r>
      <w:r w:rsidRPr="006D0278">
        <w:rPr>
          <w:u w:val="single"/>
          <w:lang w:val="nl-NL"/>
        </w:rPr>
        <w:t>derde OCMW</w:t>
      </w:r>
      <w:r w:rsidRPr="006D0278">
        <w:rPr>
          <w:lang w:val="nl-NL"/>
        </w:rPr>
        <w:t xml:space="preserve"> wordt aangeduid als bevoegd OCMW in: </w:t>
      </w:r>
    </w:p>
    <w:p w:rsidR="001D07A6" w:rsidRDefault="007B5277" w:rsidP="00F269F4">
      <w:pPr>
        <w:pStyle w:val="BodyTextIndent"/>
        <w:numPr>
          <w:ilvl w:val="0"/>
          <w:numId w:val="32"/>
        </w:numPr>
        <w:rPr>
          <w:lang w:val="nl-NL"/>
        </w:rPr>
      </w:pPr>
      <w:r>
        <w:rPr>
          <w:lang w:val="nl-NL"/>
        </w:rPr>
        <w:t>54 ontvankelijke dossiers</w:t>
      </w:r>
      <w:r w:rsidR="00363E9D">
        <w:rPr>
          <w:lang w:val="nl-NL"/>
        </w:rPr>
        <w:t>; 48 Franstalig en 6 Nederlan</w:t>
      </w:r>
      <w:r w:rsidR="00C34FA0">
        <w:rPr>
          <w:lang w:val="nl-NL"/>
        </w:rPr>
        <w:t>d</w:t>
      </w:r>
      <w:r w:rsidR="00363E9D">
        <w:rPr>
          <w:lang w:val="nl-NL"/>
        </w:rPr>
        <w:t>stalig</w:t>
      </w:r>
      <w:r w:rsidR="008E706C" w:rsidRPr="006D0278">
        <w:rPr>
          <w:lang w:val="nl-NL"/>
        </w:rPr>
        <w:t xml:space="preserve"> </w:t>
      </w:r>
    </w:p>
    <w:p w:rsidR="008E67A4" w:rsidRDefault="008E67A4" w:rsidP="008E67A4">
      <w:pPr>
        <w:pStyle w:val="BodyTextIndent"/>
        <w:rPr>
          <w:lang w:val="nl-NL"/>
        </w:rPr>
      </w:pPr>
    </w:p>
    <w:p w:rsidR="008E67A4" w:rsidRPr="006D0278" w:rsidRDefault="008E67A4" w:rsidP="008E67A4">
      <w:pPr>
        <w:pStyle w:val="BodyTextIndent"/>
        <w:rPr>
          <w:lang w:val="nl-NL"/>
        </w:rPr>
      </w:pPr>
    </w:p>
    <w:p w:rsidR="000743A9" w:rsidRPr="006D0278" w:rsidRDefault="000743A9" w:rsidP="00F93E52">
      <w:pPr>
        <w:pStyle w:val="Heading2"/>
        <w:ind w:left="0" w:firstLine="0"/>
        <w:rPr>
          <w:lang w:val="nl-NL"/>
        </w:rPr>
      </w:pPr>
    </w:p>
    <w:p w:rsidR="000743A9" w:rsidRPr="006D0278" w:rsidRDefault="000743A9" w:rsidP="00F93E52">
      <w:pPr>
        <w:pStyle w:val="Heading2"/>
        <w:ind w:left="0" w:firstLine="0"/>
        <w:rPr>
          <w:lang w:val="nl-NL"/>
        </w:rPr>
      </w:pPr>
      <w:r w:rsidRPr="006D0278">
        <w:rPr>
          <w:lang w:val="nl-NL"/>
        </w:rPr>
        <w:br w:type="page"/>
      </w:r>
    </w:p>
    <w:p w:rsidR="00F93E52" w:rsidRPr="006D0278" w:rsidRDefault="008E706C" w:rsidP="00470771">
      <w:pPr>
        <w:pStyle w:val="Heading2"/>
        <w:rPr>
          <w:sz w:val="28"/>
          <w:szCs w:val="28"/>
          <w:lang w:val="nl-NL"/>
        </w:rPr>
      </w:pPr>
      <w:bookmarkStart w:id="21" w:name="_Toc510775730"/>
      <w:r w:rsidRPr="006D0278">
        <w:rPr>
          <w:sz w:val="28"/>
          <w:szCs w:val="28"/>
          <w:lang w:val="nl-NL"/>
        </w:rPr>
        <w:lastRenderedPageBreak/>
        <w:t>2. Opmerkingen</w:t>
      </w:r>
      <w:bookmarkEnd w:id="21"/>
    </w:p>
    <w:p w:rsidR="00F90AB7" w:rsidRPr="006D0278" w:rsidRDefault="00F90AB7" w:rsidP="00F90AB7">
      <w:pPr>
        <w:ind w:left="1080"/>
        <w:jc w:val="both"/>
        <w:rPr>
          <w:lang w:val="nl-NL"/>
        </w:rPr>
      </w:pPr>
    </w:p>
    <w:p w:rsidR="00F90AB7" w:rsidRPr="006D0278" w:rsidRDefault="00F90AB7" w:rsidP="00F90AB7">
      <w:pPr>
        <w:ind w:left="1080"/>
        <w:jc w:val="both"/>
        <w:rPr>
          <w:lang w:val="nl-NL"/>
        </w:rPr>
      </w:pPr>
    </w:p>
    <w:p w:rsidR="00E911E4" w:rsidRPr="006D0278" w:rsidRDefault="008E706C" w:rsidP="00470771">
      <w:pPr>
        <w:pStyle w:val="Heading3"/>
        <w:spacing w:before="0" w:after="0"/>
        <w:rPr>
          <w:b/>
          <w:bCs/>
          <w:sz w:val="24"/>
          <w:u w:val="single"/>
          <w:lang w:val="nl-NL"/>
        </w:rPr>
      </w:pPr>
      <w:bookmarkStart w:id="22" w:name="_Toc510775731"/>
      <w:r w:rsidRPr="006D0278">
        <w:rPr>
          <w:b/>
          <w:bCs/>
          <w:sz w:val="24"/>
          <w:u w:val="single"/>
          <w:lang w:val="nl-NL"/>
        </w:rPr>
        <w:t xml:space="preserve">1. </w:t>
      </w:r>
      <w:r w:rsidR="00347405">
        <w:rPr>
          <w:b/>
          <w:bCs/>
          <w:sz w:val="24"/>
          <w:u w:val="single"/>
          <w:lang w:val="nl-NL"/>
        </w:rPr>
        <w:t>Interactief elektronisch aanvraagformulier tot oplossing van de bevoegdheidsconflicten</w:t>
      </w:r>
      <w:bookmarkEnd w:id="22"/>
      <w:r w:rsidR="00347405">
        <w:rPr>
          <w:b/>
          <w:bCs/>
          <w:sz w:val="24"/>
          <w:u w:val="single"/>
          <w:lang w:val="nl-NL"/>
        </w:rPr>
        <w:t xml:space="preserve"> </w:t>
      </w:r>
    </w:p>
    <w:p w:rsidR="00E911E4" w:rsidRPr="006D0278" w:rsidRDefault="00E911E4" w:rsidP="00F93E52">
      <w:pPr>
        <w:ind w:left="720"/>
        <w:jc w:val="both"/>
        <w:rPr>
          <w:lang w:val="nl-NL"/>
        </w:rPr>
      </w:pPr>
    </w:p>
    <w:p w:rsidR="00E911E4" w:rsidRDefault="00C55303" w:rsidP="008B4EA3">
      <w:pPr>
        <w:jc w:val="both"/>
        <w:rPr>
          <w:lang w:val="nl-NL"/>
        </w:rPr>
      </w:pPr>
      <w:r>
        <w:rPr>
          <w:lang w:val="nl-NL"/>
        </w:rPr>
        <w:t>Het beslechten van bevoegdheidsconflicten blijft een omvangrijk werk voor de j</w:t>
      </w:r>
      <w:r w:rsidR="005A58F8">
        <w:rPr>
          <w:lang w:val="nl-NL"/>
        </w:rPr>
        <w:t xml:space="preserve">uridische dienst. </w:t>
      </w:r>
      <w:r>
        <w:rPr>
          <w:lang w:val="nl-NL"/>
        </w:rPr>
        <w:t xml:space="preserve">Om het de OCMW’s en de </w:t>
      </w:r>
      <w:r w:rsidR="00B83F8E">
        <w:rPr>
          <w:lang w:val="nl-NL"/>
        </w:rPr>
        <w:t>D</w:t>
      </w:r>
      <w:r>
        <w:rPr>
          <w:lang w:val="nl-NL"/>
        </w:rPr>
        <w:t>ienst Bevoegdheidsconflicten makkelijker te maken, is de interactieve versie van het aanvraagformulier ontwikkeld. D</w:t>
      </w:r>
      <w:r w:rsidR="008A1C00">
        <w:rPr>
          <w:lang w:val="nl-NL"/>
        </w:rPr>
        <w:t>it</w:t>
      </w:r>
      <w:r>
        <w:rPr>
          <w:lang w:val="nl-NL"/>
        </w:rPr>
        <w:t xml:space="preserve"> </w:t>
      </w:r>
      <w:r w:rsidR="008A1C00">
        <w:rPr>
          <w:lang w:val="nl-NL"/>
        </w:rPr>
        <w:t>instrument</w:t>
      </w:r>
      <w:r>
        <w:rPr>
          <w:lang w:val="nl-NL"/>
        </w:rPr>
        <w:t xml:space="preserve"> bleek op vele vlakken de toets van de klantvriendelijk</w:t>
      </w:r>
      <w:r w:rsidR="00AB6AD7">
        <w:rPr>
          <w:lang w:val="nl-NL"/>
        </w:rPr>
        <w:t>heid te doorstaan m</w:t>
      </w:r>
      <w:r>
        <w:rPr>
          <w:lang w:val="nl-NL"/>
        </w:rPr>
        <w:t>aar het bezorgen van de nodige en correcte informatie blijft vaak een pijnpunt.</w:t>
      </w:r>
    </w:p>
    <w:p w:rsidR="00AB6AD7" w:rsidRDefault="00AB6AD7" w:rsidP="008B4EA3">
      <w:pPr>
        <w:jc w:val="both"/>
        <w:rPr>
          <w:lang w:val="nl-NL"/>
        </w:rPr>
      </w:pPr>
    </w:p>
    <w:p w:rsidR="00AB6AD7" w:rsidRPr="001D2CD4" w:rsidRDefault="00697BC9" w:rsidP="008B4EA3">
      <w:pPr>
        <w:jc w:val="both"/>
        <w:rPr>
          <w:lang w:val="nl-NL"/>
        </w:rPr>
      </w:pPr>
      <w:r w:rsidRPr="001D2CD4">
        <w:rPr>
          <w:lang w:val="nl-NL"/>
        </w:rPr>
        <w:t>Bij het interactieve aanvraagformulier moet het OCMW onmiddellijk kiezen welke bevoegdheidsregel van toepassing wordt geacht. Vervolgens verschijnen enkel de rubrieken die relevant zijn voor die specifieke bevoegdheidsregel</w:t>
      </w:r>
      <w:r w:rsidR="00FC6A26" w:rsidRPr="001D2CD4">
        <w:rPr>
          <w:lang w:val="nl-NL"/>
        </w:rPr>
        <w:t xml:space="preserve">. Voor het </w:t>
      </w:r>
      <w:r w:rsidRPr="001D2CD4">
        <w:rPr>
          <w:lang w:val="nl-NL"/>
        </w:rPr>
        <w:t xml:space="preserve">bepalen van de toepasselijke bevoegdheidsregel </w:t>
      </w:r>
      <w:r w:rsidR="00FC6A26" w:rsidRPr="001D2CD4">
        <w:rPr>
          <w:lang w:val="nl-NL"/>
        </w:rPr>
        <w:t>kan het OCMW beroep doen op de praktische gebruikersgids “De territoriale Bevoegdheidsregels van de OCMW’s”. Deze gebruikersgids behandelt de bijzondere bevoegdheidsregels op een praktische manier aan de hand van schema’s</w:t>
      </w:r>
      <w:r w:rsidR="00CE5267" w:rsidRPr="001D2CD4">
        <w:rPr>
          <w:lang w:val="nl-NL"/>
        </w:rPr>
        <w:t>. Met behulp van boomdiagrammen kan het territoriaal bevoegd OCMW bepaald worden.</w:t>
      </w:r>
    </w:p>
    <w:p w:rsidR="00CE5267" w:rsidRPr="001D2CD4" w:rsidRDefault="00CE5267" w:rsidP="008B4EA3">
      <w:pPr>
        <w:jc w:val="both"/>
        <w:rPr>
          <w:lang w:val="nl-NL"/>
        </w:rPr>
      </w:pPr>
    </w:p>
    <w:p w:rsidR="009521B0" w:rsidRPr="001D2CD4" w:rsidRDefault="009521B0" w:rsidP="008B4EA3">
      <w:pPr>
        <w:jc w:val="both"/>
        <w:rPr>
          <w:lang w:val="nl-NL"/>
        </w:rPr>
      </w:pPr>
      <w:r w:rsidRPr="001D2CD4">
        <w:rPr>
          <w:lang w:val="nl-NL"/>
        </w:rPr>
        <w:t xml:space="preserve">Door de omzendbrief van 13 augustus 2015 omtrent het regelen van bevoegdheidsconflicten tussen OCMW’s,  zijn de </w:t>
      </w:r>
      <w:r w:rsidR="00CE5267" w:rsidRPr="001D2CD4">
        <w:rPr>
          <w:lang w:val="nl-NL"/>
        </w:rPr>
        <w:t xml:space="preserve">OCMW’s </w:t>
      </w:r>
      <w:r w:rsidRPr="001D2CD4">
        <w:rPr>
          <w:lang w:val="nl-NL"/>
        </w:rPr>
        <w:t xml:space="preserve"> </w:t>
      </w:r>
      <w:r w:rsidR="00CE5267" w:rsidRPr="001D2CD4">
        <w:rPr>
          <w:lang w:val="nl-NL"/>
        </w:rPr>
        <w:t>verplicht dit elektronisch aanvraagformulier te gebruiken</w:t>
      </w:r>
      <w:r w:rsidRPr="001D2CD4">
        <w:rPr>
          <w:lang w:val="nl-NL"/>
        </w:rPr>
        <w:t xml:space="preserve"> vanaf 1 augustus 2015</w:t>
      </w:r>
      <w:r w:rsidR="00CE5267" w:rsidRPr="001D2CD4">
        <w:rPr>
          <w:lang w:val="nl-NL"/>
        </w:rPr>
        <w:t>.</w:t>
      </w:r>
    </w:p>
    <w:p w:rsidR="009E5AA0" w:rsidRPr="001D2CD4" w:rsidRDefault="009E5AA0" w:rsidP="008B4EA3">
      <w:pPr>
        <w:jc w:val="both"/>
        <w:rPr>
          <w:lang w:val="nl-NL"/>
        </w:rPr>
      </w:pPr>
      <w:r w:rsidRPr="001D2CD4">
        <w:rPr>
          <w:lang w:val="nl-NL"/>
        </w:rPr>
        <w:t>Alle verplichte velden dienen correct ingevuld te worden want het interactief aanvraagformulier zal foutmeldingen tonen als de rubrieken niet correct ingevuld worden.</w:t>
      </w:r>
      <w:r w:rsidR="007846B9" w:rsidRPr="001D2CD4">
        <w:rPr>
          <w:lang w:val="nl-NL"/>
        </w:rPr>
        <w:t xml:space="preserve"> De kennisgeving van onbevoegdheid van het eerste OCMW moet als bijlage toegevoegd worden, desgevallend met andere vereiste documenten.</w:t>
      </w:r>
    </w:p>
    <w:p w:rsidR="007846B9" w:rsidRPr="001D2CD4" w:rsidRDefault="00492853" w:rsidP="008B4EA3">
      <w:pPr>
        <w:jc w:val="both"/>
        <w:rPr>
          <w:lang w:val="nl-NL"/>
        </w:rPr>
      </w:pPr>
      <w:r w:rsidRPr="001D2CD4">
        <w:rPr>
          <w:lang w:val="nl-NL"/>
        </w:rPr>
        <w:t>De dienst Bevoegdheidsconflicten zal dan ook strenger optreden bij onvolledige aanvraagformulieren waarbij niet alle verplichte gegevens zijn ingevuld.</w:t>
      </w:r>
    </w:p>
    <w:p w:rsidR="00CE5267" w:rsidRPr="006D0278" w:rsidRDefault="007846B9" w:rsidP="008B4EA3">
      <w:pPr>
        <w:jc w:val="both"/>
        <w:rPr>
          <w:b/>
          <w:lang w:val="nl-NL"/>
        </w:rPr>
      </w:pPr>
      <w:r w:rsidRPr="001D2CD4">
        <w:rPr>
          <w:lang w:val="nl-NL"/>
        </w:rPr>
        <w:t xml:space="preserve">Het ingevulde formulier wordt verstuurd naar alle andere OCMW’s die betrokken zijn bij het bevoegdheidsconflict. Zodoende worden zij geïnformeerd over de lopende procedure en de gegevens van het conflict, zodat zij hun standpunt kunnen formuleren en, wanneer nodig, de ontbrekende aanvullende gegevens kunnen bezorgen. </w:t>
      </w:r>
      <w:r w:rsidR="00A244B8" w:rsidRPr="001D2CD4">
        <w:rPr>
          <w:lang w:val="nl-NL"/>
        </w:rPr>
        <w:t>Het ander OCMW dient dan ook zo vlug mogelijk laten weten of het akkoord gaat.</w:t>
      </w:r>
      <w:r w:rsidR="00A244B8">
        <w:rPr>
          <w:lang w:val="nl-NL"/>
        </w:rPr>
        <w:t xml:space="preserve"> </w:t>
      </w:r>
      <w:r w:rsidR="00CE5267">
        <w:rPr>
          <w:lang w:val="nl-NL"/>
        </w:rPr>
        <w:t xml:space="preserve"> </w:t>
      </w:r>
    </w:p>
    <w:p w:rsidR="00E911E4" w:rsidRPr="006D0278" w:rsidRDefault="00E911E4" w:rsidP="00F93E52">
      <w:pPr>
        <w:ind w:left="720"/>
        <w:jc w:val="both"/>
        <w:rPr>
          <w:b/>
          <w:lang w:val="nl-NL"/>
        </w:rPr>
      </w:pPr>
    </w:p>
    <w:p w:rsidR="00E911E4" w:rsidRPr="006D0278" w:rsidRDefault="00C55303" w:rsidP="008B4EA3">
      <w:pPr>
        <w:jc w:val="both"/>
        <w:rPr>
          <w:lang w:val="nl-NL"/>
        </w:rPr>
      </w:pPr>
      <w:r>
        <w:rPr>
          <w:lang w:val="nl-NL"/>
        </w:rPr>
        <w:t>B</w:t>
      </w:r>
      <w:r w:rsidR="008E706C" w:rsidRPr="006D0278">
        <w:rPr>
          <w:lang w:val="nl-NL"/>
        </w:rPr>
        <w:t xml:space="preserve">evoegdheidsconflicten tussen OCMW’s zijn </w:t>
      </w:r>
      <w:r w:rsidR="00743E74">
        <w:rPr>
          <w:lang w:val="nl-NL"/>
        </w:rPr>
        <w:t>regelmatig</w:t>
      </w:r>
      <w:r w:rsidR="00743E74" w:rsidRPr="006D0278">
        <w:rPr>
          <w:lang w:val="nl-NL"/>
        </w:rPr>
        <w:t xml:space="preserve"> </w:t>
      </w:r>
      <w:r w:rsidR="008E706C" w:rsidRPr="006D0278">
        <w:rPr>
          <w:lang w:val="nl-NL"/>
        </w:rPr>
        <w:t>te wijten aan de interpretatie van</w:t>
      </w:r>
      <w:r w:rsidR="00743E74">
        <w:rPr>
          <w:lang w:val="nl-NL"/>
        </w:rPr>
        <w:t xml:space="preserve"> de</w:t>
      </w:r>
      <w:r w:rsidR="008E706C" w:rsidRPr="006D0278">
        <w:rPr>
          <w:lang w:val="nl-NL"/>
        </w:rPr>
        <w:t xml:space="preserve"> feitelijke gegevens </w:t>
      </w:r>
      <w:r w:rsidR="00743E74">
        <w:rPr>
          <w:lang w:val="nl-NL"/>
        </w:rPr>
        <w:t>in</w:t>
      </w:r>
      <w:r w:rsidR="00743E74" w:rsidRPr="006D0278">
        <w:rPr>
          <w:lang w:val="nl-NL"/>
        </w:rPr>
        <w:t xml:space="preserve"> </w:t>
      </w:r>
      <w:r w:rsidR="008E706C" w:rsidRPr="006D0278">
        <w:rPr>
          <w:lang w:val="nl-NL"/>
        </w:rPr>
        <w:t xml:space="preserve">de toepassing van bevoegdheidsregels in een concrete situatie, en niet aan onduidelijkheden in de wet. De gegevens die door OCMWs ter beschikking worden gesteld </w:t>
      </w:r>
      <w:r w:rsidR="00743E74">
        <w:rPr>
          <w:lang w:val="nl-NL"/>
        </w:rPr>
        <w:t>lijden nogal eens aan het euvel</w:t>
      </w:r>
      <w:r w:rsidR="008E706C" w:rsidRPr="006D0278">
        <w:rPr>
          <w:lang w:val="nl-NL"/>
        </w:rPr>
        <w:t xml:space="preserve"> onduidelijk</w:t>
      </w:r>
      <w:r w:rsidR="00743E74">
        <w:rPr>
          <w:lang w:val="nl-NL"/>
        </w:rPr>
        <w:t>, tot zelfs</w:t>
      </w:r>
      <w:r w:rsidR="00743E74" w:rsidRPr="006D0278">
        <w:rPr>
          <w:lang w:val="nl-NL"/>
        </w:rPr>
        <w:t xml:space="preserve"> </w:t>
      </w:r>
      <w:r w:rsidR="008E706C" w:rsidRPr="006D0278">
        <w:rPr>
          <w:lang w:val="nl-NL"/>
        </w:rPr>
        <w:t>tegenstrijdig</w:t>
      </w:r>
      <w:r w:rsidR="00743E74">
        <w:rPr>
          <w:lang w:val="nl-NL"/>
        </w:rPr>
        <w:t xml:space="preserve"> te zijn</w:t>
      </w:r>
      <w:r w:rsidR="008E706C" w:rsidRPr="006D0278">
        <w:rPr>
          <w:lang w:val="nl-NL"/>
        </w:rPr>
        <w:t>.</w:t>
      </w:r>
    </w:p>
    <w:p w:rsidR="00E911E4" w:rsidRPr="006D0278" w:rsidRDefault="00E911E4" w:rsidP="00E911E4">
      <w:pPr>
        <w:ind w:left="720"/>
        <w:jc w:val="both"/>
        <w:rPr>
          <w:lang w:val="nl-NL"/>
        </w:rPr>
      </w:pPr>
    </w:p>
    <w:p w:rsidR="000D259D" w:rsidRPr="006D0278" w:rsidRDefault="00743E74" w:rsidP="008B4EA3">
      <w:pPr>
        <w:jc w:val="both"/>
        <w:rPr>
          <w:lang w:val="nl-NL"/>
        </w:rPr>
      </w:pPr>
      <w:r>
        <w:rPr>
          <w:lang w:val="nl-NL"/>
        </w:rPr>
        <w:t xml:space="preserve">Een wezenlijk aantal ingediende </w:t>
      </w:r>
      <w:r w:rsidR="008E706C" w:rsidRPr="006D0278">
        <w:rPr>
          <w:lang w:val="nl-NL"/>
        </w:rPr>
        <w:t xml:space="preserve"> dossiers is onvolledig omdat ze niet alle juridische en feitelijke gegevens bevatten</w:t>
      </w:r>
      <w:r>
        <w:rPr>
          <w:lang w:val="nl-NL"/>
        </w:rPr>
        <w:t>. Bovendien wordt</w:t>
      </w:r>
      <w:r w:rsidR="008E706C" w:rsidRPr="006D0278">
        <w:rPr>
          <w:lang w:val="nl-NL"/>
        </w:rPr>
        <w:t xml:space="preserve"> de procedure niet altijd nageleefd. </w:t>
      </w:r>
    </w:p>
    <w:p w:rsidR="000D259D" w:rsidRPr="006D0278" w:rsidRDefault="000D259D" w:rsidP="000D259D">
      <w:pPr>
        <w:ind w:left="1440"/>
        <w:jc w:val="both"/>
        <w:rPr>
          <w:lang w:val="nl-NL"/>
        </w:rPr>
      </w:pPr>
    </w:p>
    <w:p w:rsidR="000D259D" w:rsidRDefault="008E706C" w:rsidP="008B4EA3">
      <w:pPr>
        <w:jc w:val="both"/>
        <w:rPr>
          <w:lang w:val="nl-NL"/>
        </w:rPr>
      </w:pPr>
      <w:r w:rsidRPr="006D0278">
        <w:rPr>
          <w:lang w:val="nl-NL"/>
        </w:rPr>
        <w:t xml:space="preserve">De OCMW’s zijn nochtans verplicht hun beslissing </w:t>
      </w:r>
      <w:r w:rsidR="00743E74">
        <w:rPr>
          <w:lang w:val="nl-NL"/>
        </w:rPr>
        <w:t xml:space="preserve">te </w:t>
      </w:r>
      <w:r w:rsidRPr="006D0278">
        <w:rPr>
          <w:lang w:val="nl-NL"/>
        </w:rPr>
        <w:t xml:space="preserve">motiveren en de redenen </w:t>
      </w:r>
      <w:r w:rsidR="00743E74">
        <w:rPr>
          <w:lang w:val="nl-NL"/>
        </w:rPr>
        <w:t xml:space="preserve">te </w:t>
      </w:r>
      <w:r w:rsidRPr="006D0278">
        <w:rPr>
          <w:lang w:val="nl-NL"/>
        </w:rPr>
        <w:t xml:space="preserve">vermelden waarom ze menen onbevoegd te zijn. Deze motiveringsplicht die wordt voorgeschreven in artikel 18, §4, van de RMI-wet van 26 mei 2002 en in artikel 58 van de organieke OCMW-wet van 8 juli 1976, heeft net tot doel om snel bevoegdheidsconflicten op te lossen. </w:t>
      </w:r>
    </w:p>
    <w:p w:rsidR="00743E74" w:rsidRDefault="00743E74" w:rsidP="008B4EA3">
      <w:pPr>
        <w:jc w:val="both"/>
        <w:rPr>
          <w:lang w:val="nl-NL"/>
        </w:rPr>
      </w:pPr>
    </w:p>
    <w:p w:rsidR="00743E74" w:rsidRPr="006D0278" w:rsidRDefault="00743E74" w:rsidP="008B4EA3">
      <w:pPr>
        <w:jc w:val="both"/>
        <w:rPr>
          <w:lang w:val="nl-NL"/>
        </w:rPr>
      </w:pPr>
      <w:r>
        <w:rPr>
          <w:lang w:val="nl-NL"/>
        </w:rPr>
        <w:lastRenderedPageBreak/>
        <w:t>Bepaalde OCMW’s laten het zelfs systematisch na de datum van de steunaanvraag te vermelden in hun kennisgeving van onbevoegdheid. Nochtans cruciale informatie om de territoriale bevoegdheid te kunnen bepalen.</w:t>
      </w:r>
    </w:p>
    <w:p w:rsidR="000D259D" w:rsidRPr="006D0278" w:rsidRDefault="000D259D" w:rsidP="000D259D">
      <w:pPr>
        <w:ind w:left="1080"/>
        <w:jc w:val="both"/>
        <w:rPr>
          <w:lang w:val="nl-NL"/>
        </w:rPr>
      </w:pPr>
    </w:p>
    <w:p w:rsidR="000D259D" w:rsidRPr="006D0278" w:rsidRDefault="008E706C" w:rsidP="008B4EA3">
      <w:pPr>
        <w:jc w:val="both"/>
        <w:rPr>
          <w:lang w:val="nl-NL"/>
        </w:rPr>
      </w:pPr>
      <w:r w:rsidRPr="006D0278">
        <w:rPr>
          <w:lang w:val="nl-NL"/>
        </w:rPr>
        <w:t xml:space="preserve"> </w:t>
      </w:r>
      <w:r w:rsidR="00743E74">
        <w:rPr>
          <w:lang w:val="nl-NL"/>
        </w:rPr>
        <w:t>D</w:t>
      </w:r>
      <w:r w:rsidR="00743E74" w:rsidRPr="006D0278">
        <w:rPr>
          <w:lang w:val="nl-NL"/>
        </w:rPr>
        <w:t xml:space="preserve">oor </w:t>
      </w:r>
      <w:r w:rsidR="00743E74">
        <w:rPr>
          <w:lang w:val="nl-NL"/>
        </w:rPr>
        <w:t xml:space="preserve">het ontberen van </w:t>
      </w:r>
      <w:r w:rsidR="00B83F8E">
        <w:rPr>
          <w:lang w:val="nl-NL"/>
        </w:rPr>
        <w:t xml:space="preserve">juridische en feitelijke gegevens </w:t>
      </w:r>
      <w:r w:rsidRPr="006D0278">
        <w:rPr>
          <w:lang w:val="nl-NL"/>
        </w:rPr>
        <w:t xml:space="preserve">moet de Dienst Bevoegdheidsconflicten </w:t>
      </w:r>
      <w:r w:rsidR="00B83F8E">
        <w:rPr>
          <w:lang w:val="nl-NL"/>
        </w:rPr>
        <w:t>nog steeds</w:t>
      </w:r>
      <w:r w:rsidRPr="006D0278">
        <w:rPr>
          <w:lang w:val="nl-NL"/>
        </w:rPr>
        <w:t xml:space="preserve"> aanvullende informatie vragen aan de betrokken OCMW’s </w:t>
      </w:r>
      <w:r w:rsidR="00B83F8E">
        <w:rPr>
          <w:lang w:val="nl-NL"/>
        </w:rPr>
        <w:t>teneinde het conflict juridisch te kunnen beslechten</w:t>
      </w:r>
      <w:r w:rsidRPr="006D0278">
        <w:rPr>
          <w:lang w:val="nl-NL"/>
        </w:rPr>
        <w:t xml:space="preserve">. </w:t>
      </w:r>
    </w:p>
    <w:p w:rsidR="000D259D" w:rsidRPr="006D0278" w:rsidRDefault="000D259D" w:rsidP="000D259D">
      <w:pPr>
        <w:ind w:left="1440"/>
        <w:jc w:val="both"/>
        <w:rPr>
          <w:b/>
          <w:lang w:val="nl-NL"/>
        </w:rPr>
      </w:pPr>
    </w:p>
    <w:p w:rsidR="000D259D" w:rsidRPr="006D0278" w:rsidRDefault="00B83F8E" w:rsidP="008B4EA3">
      <w:pPr>
        <w:jc w:val="both"/>
        <w:rPr>
          <w:lang w:val="nl-NL"/>
        </w:rPr>
      </w:pPr>
      <w:r>
        <w:rPr>
          <w:lang w:val="nl-NL"/>
        </w:rPr>
        <w:t xml:space="preserve">De keuze om bij het Interactief aanvraagformulier het ander betrokken OCMW automatisch op de hoogte te brengen omtrent het indienen van de vraag tot een oplossing van een Bevoegdheidsconflict, kan in bepaalde gevallen onontbeerlijke aanvullende informatie opleveren. Natuurlijk vereist dit de medewerking en alertheid van de betrokken OCMW’s. </w:t>
      </w:r>
    </w:p>
    <w:p w:rsidR="000D259D" w:rsidRPr="006D0278" w:rsidRDefault="000D259D" w:rsidP="000D259D">
      <w:pPr>
        <w:ind w:left="720"/>
        <w:jc w:val="both"/>
        <w:rPr>
          <w:lang w:val="nl-NL"/>
        </w:rPr>
      </w:pPr>
    </w:p>
    <w:p w:rsidR="000D259D" w:rsidRPr="006D0278" w:rsidRDefault="008E706C" w:rsidP="008B4EA3">
      <w:pPr>
        <w:pStyle w:val="Letter"/>
        <w:jc w:val="both"/>
        <w:rPr>
          <w:rFonts w:ascii="Times New Roman" w:hAnsi="Times New Roman"/>
          <w:sz w:val="24"/>
          <w:szCs w:val="24"/>
          <w:lang w:val="nl-NL"/>
        </w:rPr>
      </w:pPr>
      <w:r w:rsidRPr="006D0278">
        <w:rPr>
          <w:rFonts w:ascii="Times New Roman" w:hAnsi="Times New Roman"/>
          <w:sz w:val="24"/>
          <w:szCs w:val="24"/>
          <w:lang w:val="nl-NL"/>
        </w:rPr>
        <w:t xml:space="preserve">De Dienst Bevoegdheidsconflicten </w:t>
      </w:r>
      <w:r w:rsidR="005B60BF">
        <w:rPr>
          <w:rFonts w:ascii="Times New Roman" w:hAnsi="Times New Roman"/>
          <w:sz w:val="24"/>
          <w:szCs w:val="24"/>
          <w:lang w:val="nl-NL"/>
        </w:rPr>
        <w:t xml:space="preserve">moet binnen de korte termijn van vijf dagen die haar toegemeten wordt om de oplossing van het bevoegdheidsconflict  uit te werken, vast stellen dat elke interventie om informatie te bekomen het respecteren van deze termijn, in het gevaar brengt. Telefonisch zijn dossierbeheerders vaak moeilijk tot zelfs niet te bereiken, lees- of ontvangstbevestigingen van mails omtrent de vraag tot het leveren van de noodzakelijke informatie blijven vaak uit. Nochtans is het respect van de voorgeschreven </w:t>
      </w:r>
      <w:r w:rsidR="000F4559">
        <w:rPr>
          <w:rFonts w:ascii="Times New Roman" w:hAnsi="Times New Roman"/>
          <w:sz w:val="24"/>
          <w:szCs w:val="24"/>
          <w:lang w:val="nl-NL"/>
        </w:rPr>
        <w:t xml:space="preserve">termijn een hoofdbetrachting voor de Dienst Bevoegdheidsconflicten, die zich enkel </w:t>
      </w:r>
      <w:r w:rsidRPr="006D0278">
        <w:rPr>
          <w:rFonts w:ascii="Times New Roman" w:hAnsi="Times New Roman"/>
          <w:sz w:val="24"/>
          <w:szCs w:val="24"/>
          <w:lang w:val="nl-NL"/>
        </w:rPr>
        <w:t xml:space="preserve">kan baseren op de gegevens die door de betrokken OCMW’s werden meegedeeld binnen de wettelijke termijn van vijf dagen en moet </w:t>
      </w:r>
      <w:r w:rsidR="000F4559">
        <w:rPr>
          <w:rFonts w:ascii="Times New Roman" w:hAnsi="Times New Roman"/>
          <w:sz w:val="24"/>
          <w:szCs w:val="24"/>
          <w:lang w:val="nl-NL"/>
        </w:rPr>
        <w:t>haar</w:t>
      </w:r>
      <w:r w:rsidR="000F4559" w:rsidRPr="006D0278">
        <w:rPr>
          <w:rFonts w:ascii="Times New Roman" w:hAnsi="Times New Roman"/>
          <w:sz w:val="24"/>
          <w:szCs w:val="24"/>
          <w:lang w:val="nl-NL"/>
        </w:rPr>
        <w:t xml:space="preserve"> </w:t>
      </w:r>
      <w:r w:rsidRPr="006D0278">
        <w:rPr>
          <w:rFonts w:ascii="Times New Roman" w:hAnsi="Times New Roman"/>
          <w:sz w:val="24"/>
          <w:szCs w:val="24"/>
          <w:lang w:val="nl-NL"/>
        </w:rPr>
        <w:t xml:space="preserve">beslissing </w:t>
      </w:r>
      <w:r w:rsidR="000F4559">
        <w:rPr>
          <w:rFonts w:ascii="Times New Roman" w:hAnsi="Times New Roman"/>
          <w:sz w:val="24"/>
          <w:szCs w:val="24"/>
          <w:lang w:val="nl-NL"/>
        </w:rPr>
        <w:t xml:space="preserve">dan ook </w:t>
      </w:r>
      <w:r w:rsidRPr="006D0278">
        <w:rPr>
          <w:rFonts w:ascii="Times New Roman" w:hAnsi="Times New Roman"/>
          <w:sz w:val="24"/>
          <w:szCs w:val="24"/>
          <w:lang w:val="nl-NL"/>
        </w:rPr>
        <w:t xml:space="preserve">baseren op alle juridische en feitelijke elementen waarover </w:t>
      </w:r>
      <w:r w:rsidR="000F4559">
        <w:rPr>
          <w:rFonts w:ascii="Times New Roman" w:hAnsi="Times New Roman"/>
          <w:sz w:val="24"/>
          <w:szCs w:val="24"/>
          <w:lang w:val="nl-NL"/>
        </w:rPr>
        <w:t>men</w:t>
      </w:r>
      <w:r w:rsidR="000F4559" w:rsidRPr="006D0278">
        <w:rPr>
          <w:rFonts w:ascii="Times New Roman" w:hAnsi="Times New Roman"/>
          <w:sz w:val="24"/>
          <w:szCs w:val="24"/>
          <w:lang w:val="nl-NL"/>
        </w:rPr>
        <w:t xml:space="preserve"> </w:t>
      </w:r>
      <w:r w:rsidRPr="006D0278">
        <w:rPr>
          <w:rFonts w:ascii="Times New Roman" w:hAnsi="Times New Roman"/>
          <w:sz w:val="24"/>
          <w:szCs w:val="24"/>
          <w:lang w:val="nl-NL"/>
        </w:rPr>
        <w:t>op dat moment beschikt.</w:t>
      </w:r>
    </w:p>
    <w:p w:rsidR="000D259D" w:rsidRPr="006D0278" w:rsidRDefault="000D259D" w:rsidP="000D259D">
      <w:pPr>
        <w:jc w:val="both"/>
        <w:rPr>
          <w:lang w:val="nl-NL"/>
        </w:rPr>
      </w:pPr>
    </w:p>
    <w:p w:rsidR="00E911E4" w:rsidRPr="006D0278" w:rsidRDefault="00E911E4" w:rsidP="000D259D">
      <w:pPr>
        <w:jc w:val="both"/>
        <w:rPr>
          <w:lang w:val="nl-NL"/>
        </w:rPr>
      </w:pPr>
    </w:p>
    <w:p w:rsidR="00E911E4" w:rsidRPr="006D0278" w:rsidRDefault="008E706C" w:rsidP="00470771">
      <w:pPr>
        <w:pStyle w:val="Heading3"/>
        <w:spacing w:before="0" w:after="0"/>
        <w:rPr>
          <w:b/>
          <w:bCs/>
          <w:sz w:val="24"/>
          <w:u w:val="single"/>
          <w:lang w:val="nl-NL"/>
        </w:rPr>
      </w:pPr>
      <w:bookmarkStart w:id="23" w:name="_Toc510775732"/>
      <w:r w:rsidRPr="006D0278">
        <w:rPr>
          <w:b/>
          <w:bCs/>
          <w:sz w:val="24"/>
          <w:u w:val="single"/>
          <w:lang w:val="nl-NL"/>
        </w:rPr>
        <w:t>2. Behandelingstermijn van de conflicten</w:t>
      </w:r>
      <w:bookmarkEnd w:id="23"/>
    </w:p>
    <w:p w:rsidR="00E911E4" w:rsidRPr="006D0278" w:rsidRDefault="00E911E4" w:rsidP="00E911E4">
      <w:pPr>
        <w:ind w:left="1080"/>
        <w:jc w:val="both"/>
        <w:rPr>
          <w:b/>
          <w:lang w:val="nl-NL"/>
        </w:rPr>
      </w:pPr>
    </w:p>
    <w:p w:rsidR="000D259D" w:rsidRPr="006D0278" w:rsidRDefault="008E706C" w:rsidP="008B4EA3">
      <w:pPr>
        <w:jc w:val="both"/>
        <w:rPr>
          <w:lang w:val="nl-NL"/>
        </w:rPr>
      </w:pPr>
      <w:r w:rsidRPr="006D0278">
        <w:rPr>
          <w:lang w:val="nl-NL"/>
        </w:rPr>
        <w:t>Omdat enerzijds vragen om bijkomende inlichtingen gesteld moeten worden aan de OCMW’s en omdat anderzijds op bepaalde dagen verschillende dossiers tegelijkertijd toekomen, kan er soms sprake zijn van vertragingen in de behandeling van de dossiers.</w:t>
      </w:r>
    </w:p>
    <w:p w:rsidR="00716D4B" w:rsidRPr="006D0278" w:rsidRDefault="00716D4B" w:rsidP="00716D4B">
      <w:pPr>
        <w:ind w:left="720"/>
        <w:jc w:val="both"/>
        <w:rPr>
          <w:lang w:val="nl-NL"/>
        </w:rPr>
      </w:pPr>
    </w:p>
    <w:p w:rsidR="00954E31" w:rsidRPr="006D0278" w:rsidRDefault="005A6A5A" w:rsidP="0022795E">
      <w:pPr>
        <w:ind w:left="1080"/>
        <w:jc w:val="both"/>
        <w:rPr>
          <w:lang w:val="nl-NL"/>
        </w:rPr>
      </w:pPr>
      <w:r w:rsidRPr="006D0278">
        <w:rPr>
          <w:lang w:val="nl-NL"/>
        </w:rPr>
        <w:br w:type="page"/>
      </w:r>
    </w:p>
    <w:p w:rsidR="006C7F98" w:rsidRPr="006D0278" w:rsidRDefault="008E706C" w:rsidP="00F269F4">
      <w:pPr>
        <w:pStyle w:val="Heading1"/>
        <w:pBdr>
          <w:top w:val="single" w:sz="4" w:space="1" w:color="auto"/>
          <w:left w:val="single" w:sz="4" w:space="4" w:color="auto"/>
          <w:bottom w:val="single" w:sz="4" w:space="1" w:color="auto"/>
          <w:right w:val="single" w:sz="4" w:space="4" w:color="auto"/>
        </w:pBdr>
        <w:rPr>
          <w:sz w:val="28"/>
          <w:lang w:val="nl-NL"/>
        </w:rPr>
      </w:pPr>
      <w:bookmarkStart w:id="24" w:name="_Toc510775733"/>
      <w:r w:rsidRPr="006D0278">
        <w:rPr>
          <w:sz w:val="28"/>
          <w:lang w:val="nl-NL"/>
        </w:rPr>
        <w:lastRenderedPageBreak/>
        <w:t>III. Aard van de conflicten</w:t>
      </w:r>
      <w:bookmarkEnd w:id="24"/>
      <w:r w:rsidRPr="006D0278">
        <w:rPr>
          <w:sz w:val="28"/>
          <w:lang w:val="nl-NL"/>
        </w:rPr>
        <w:t xml:space="preserve"> </w:t>
      </w:r>
    </w:p>
    <w:p w:rsidR="00DE06CD" w:rsidRPr="006D0278" w:rsidRDefault="00DE06CD" w:rsidP="00DE06CD">
      <w:pPr>
        <w:ind w:left="720"/>
        <w:rPr>
          <w:lang w:val="nl-NL"/>
        </w:rPr>
      </w:pPr>
    </w:p>
    <w:p w:rsidR="00CD54CE" w:rsidRPr="006D0278" w:rsidRDefault="008E706C" w:rsidP="00470771">
      <w:pPr>
        <w:pStyle w:val="Heading2"/>
        <w:rPr>
          <w:sz w:val="28"/>
          <w:lang w:val="nl-NL"/>
        </w:rPr>
      </w:pPr>
      <w:bookmarkStart w:id="25" w:name="_Toc510775734"/>
      <w:r w:rsidRPr="006D0278">
        <w:rPr>
          <w:sz w:val="28"/>
          <w:lang w:val="nl-NL"/>
        </w:rPr>
        <w:t>1. Statistieken</w:t>
      </w:r>
      <w:bookmarkEnd w:id="25"/>
    </w:p>
    <w:p w:rsidR="0045504A" w:rsidRPr="0045504A" w:rsidRDefault="0045504A" w:rsidP="0045504A">
      <w:pPr>
        <w:pStyle w:val="Heading3"/>
        <w:numPr>
          <w:ilvl w:val="0"/>
          <w:numId w:val="40"/>
        </w:numPr>
        <w:rPr>
          <w:u w:val="single"/>
        </w:rPr>
      </w:pPr>
      <w:bookmarkStart w:id="26" w:name="_Toc510775735"/>
      <w:r w:rsidRPr="0045504A">
        <w:rPr>
          <w:u w:val="single"/>
        </w:rPr>
        <w:t>Statistieken</w:t>
      </w:r>
      <w:bookmarkEnd w:id="26"/>
    </w:p>
    <w:p w:rsidR="0045504A" w:rsidRDefault="0045504A" w:rsidP="00DB7A15">
      <w:pPr>
        <w:ind w:left="720"/>
        <w:jc w:val="both"/>
        <w:rPr>
          <w:lang w:val="nl-NL"/>
        </w:rPr>
      </w:pPr>
    </w:p>
    <w:p w:rsidR="00DB7A15" w:rsidRPr="006D0278" w:rsidRDefault="008E706C" w:rsidP="00DB7A15">
      <w:pPr>
        <w:ind w:left="720"/>
        <w:jc w:val="both"/>
        <w:rPr>
          <w:lang w:val="nl-NL"/>
        </w:rPr>
      </w:pPr>
      <w:r w:rsidRPr="006D0278">
        <w:rPr>
          <w:lang w:val="nl-NL"/>
        </w:rPr>
        <w:t xml:space="preserve">De </w:t>
      </w:r>
      <w:r w:rsidRPr="006D0278">
        <w:rPr>
          <w:u w:val="single"/>
          <w:lang w:val="nl-NL"/>
        </w:rPr>
        <w:t>ontvankelijke</w:t>
      </w:r>
      <w:r w:rsidR="00DB7A15" w:rsidRPr="007B4441">
        <w:rPr>
          <w:rStyle w:val="FootnoteReference"/>
        </w:rPr>
        <w:footnoteReference w:id="1"/>
      </w:r>
      <w:r w:rsidR="002D61BF" w:rsidRPr="002D61BF">
        <w:rPr>
          <w:lang w:val="nl-NL"/>
        </w:rPr>
        <w:t xml:space="preserve"> </w:t>
      </w:r>
      <w:r w:rsidRPr="006D0278">
        <w:rPr>
          <w:lang w:val="nl-NL"/>
        </w:rPr>
        <w:t xml:space="preserve">aanvragen tot regeling van bevoegdheidsconflicten hebben betrekking op de toepassing van de </w:t>
      </w:r>
      <w:r w:rsidR="002D61BF" w:rsidRPr="006D0278">
        <w:rPr>
          <w:lang w:val="nl-NL"/>
        </w:rPr>
        <w:t>bevoegdheidsregels</w:t>
      </w:r>
      <w:r w:rsidRPr="006D0278">
        <w:rPr>
          <w:lang w:val="nl-NL"/>
        </w:rPr>
        <w:t xml:space="preserve"> al naargelang de situatie of het statuut van de steunaanvrager.</w:t>
      </w:r>
    </w:p>
    <w:p w:rsidR="00F55861" w:rsidRPr="006D0278" w:rsidRDefault="00F55861" w:rsidP="00DE06CD">
      <w:pPr>
        <w:ind w:left="720"/>
        <w:rPr>
          <w:lang w:val="nl-NL"/>
        </w:rPr>
      </w:pPr>
    </w:p>
    <w:p w:rsidR="00D83BBC" w:rsidRDefault="008E706C" w:rsidP="00AB1636">
      <w:pPr>
        <w:ind w:left="720"/>
        <w:rPr>
          <w:lang w:val="fr-BE"/>
        </w:rPr>
      </w:pPr>
      <w:r>
        <w:rPr>
          <w:u w:val="single"/>
          <w:lang w:val="fr-BE"/>
        </w:rPr>
        <w:t xml:space="preserve">In </w:t>
      </w:r>
      <w:r w:rsidR="00CB7855">
        <w:rPr>
          <w:u w:val="single"/>
          <w:lang w:val="fr-BE"/>
        </w:rPr>
        <w:t>201</w:t>
      </w:r>
      <w:r w:rsidR="00FE7FE3">
        <w:rPr>
          <w:u w:val="single"/>
          <w:lang w:val="fr-BE"/>
        </w:rPr>
        <w:t>7</w:t>
      </w:r>
      <w:r w:rsidR="00C34FA0">
        <w:rPr>
          <w:u w:val="single"/>
          <w:lang w:val="fr-BE"/>
        </w:rPr>
        <w:t xml:space="preserve"> </w:t>
      </w:r>
      <w:r>
        <w:rPr>
          <w:lang w:val="fr-BE"/>
        </w:rPr>
        <w:t>:</w:t>
      </w:r>
    </w:p>
    <w:p w:rsidR="009C1E29" w:rsidRDefault="009C1E29" w:rsidP="00C366C8">
      <w:pPr>
        <w:ind w:left="720"/>
        <w:rPr>
          <w:lang w:val="fr-BE"/>
        </w:rPr>
      </w:pPr>
    </w:p>
    <w:tbl>
      <w:tblPr>
        <w:tblW w:w="823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2017"/>
        <w:gridCol w:w="1866"/>
      </w:tblGrid>
      <w:tr w:rsidR="00DB2750" w:rsidRPr="00007652" w:rsidTr="00DB2750">
        <w:tc>
          <w:tcPr>
            <w:tcW w:w="4351" w:type="dxa"/>
          </w:tcPr>
          <w:p w:rsidR="00DB2750" w:rsidRPr="00007652" w:rsidRDefault="00DB2750" w:rsidP="009E2F7B">
            <w:pPr>
              <w:rPr>
                <w:lang w:val="fr-BE"/>
              </w:rPr>
            </w:pPr>
          </w:p>
        </w:tc>
        <w:tc>
          <w:tcPr>
            <w:tcW w:w="2017" w:type="dxa"/>
          </w:tcPr>
          <w:p w:rsidR="00DB2750" w:rsidRPr="00D97AA9" w:rsidRDefault="00DB2750" w:rsidP="00FB78D8">
            <w:pPr>
              <w:rPr>
                <w:lang w:val="fr-BE"/>
              </w:rPr>
            </w:pPr>
            <w:r>
              <w:rPr>
                <w:lang w:val="fr-BE"/>
              </w:rPr>
              <w:t>NL</w:t>
            </w:r>
          </w:p>
        </w:tc>
        <w:tc>
          <w:tcPr>
            <w:tcW w:w="1866" w:type="dxa"/>
          </w:tcPr>
          <w:p w:rsidR="00DB2750" w:rsidRPr="00D97AA9" w:rsidRDefault="00DB2750" w:rsidP="00FB78D8">
            <w:pPr>
              <w:rPr>
                <w:lang w:val="fr-BE"/>
              </w:rPr>
            </w:pPr>
            <w:r>
              <w:rPr>
                <w:lang w:val="fr-BE"/>
              </w:rPr>
              <w:t>FR</w:t>
            </w:r>
          </w:p>
        </w:tc>
      </w:tr>
      <w:tr w:rsidR="00DB2750" w:rsidRPr="00007652" w:rsidTr="00DB2750">
        <w:tc>
          <w:tcPr>
            <w:tcW w:w="4351" w:type="dxa"/>
          </w:tcPr>
          <w:p w:rsidR="00DB2750" w:rsidRDefault="00DB2750" w:rsidP="009E2F7B">
            <w:pPr>
              <w:rPr>
                <w:lang w:val="fr-FR"/>
              </w:rPr>
            </w:pPr>
            <w:r>
              <w:rPr>
                <w:lang w:val="fr-FR"/>
              </w:rPr>
              <w:t>Gewoonlijke verblijfplaats</w:t>
            </w:r>
            <w:r w:rsidR="009278B8">
              <w:rPr>
                <w:lang w:val="fr-FR"/>
              </w:rPr>
              <w:t xml:space="preserve"> (art 1)</w:t>
            </w:r>
          </w:p>
        </w:tc>
        <w:tc>
          <w:tcPr>
            <w:tcW w:w="2017" w:type="dxa"/>
          </w:tcPr>
          <w:p w:rsidR="00DB2750" w:rsidRPr="00D97AA9" w:rsidRDefault="00292CAC" w:rsidP="00DB2750">
            <w:pPr>
              <w:rPr>
                <w:lang w:val="fr-FR"/>
              </w:rPr>
            </w:pPr>
            <w:r>
              <w:rPr>
                <w:lang w:val="fr-FR"/>
              </w:rPr>
              <w:t>110</w:t>
            </w:r>
          </w:p>
        </w:tc>
        <w:tc>
          <w:tcPr>
            <w:tcW w:w="1866" w:type="dxa"/>
          </w:tcPr>
          <w:p w:rsidR="00DB2750" w:rsidRPr="00D97AA9" w:rsidRDefault="00F10CB8" w:rsidP="00FB78D8">
            <w:pPr>
              <w:rPr>
                <w:lang w:val="fr-FR"/>
              </w:rPr>
            </w:pPr>
            <w:r>
              <w:rPr>
                <w:lang w:val="fr-FR"/>
              </w:rPr>
              <w:t>303</w:t>
            </w:r>
          </w:p>
        </w:tc>
      </w:tr>
      <w:tr w:rsidR="00DB2750" w:rsidRPr="00007652" w:rsidTr="00DB2750">
        <w:tc>
          <w:tcPr>
            <w:tcW w:w="4351" w:type="dxa"/>
          </w:tcPr>
          <w:p w:rsidR="00DB2750" w:rsidRPr="00007652" w:rsidRDefault="00DB2750" w:rsidP="009E2F7B">
            <w:pPr>
              <w:rPr>
                <w:lang w:val="fr-BE"/>
              </w:rPr>
            </w:pPr>
            <w:r>
              <w:rPr>
                <w:lang w:val="fr-FR"/>
              </w:rPr>
              <w:t xml:space="preserve">Studenten </w:t>
            </w:r>
            <w:r w:rsidR="009278B8">
              <w:rPr>
                <w:lang w:val="fr-FR"/>
              </w:rPr>
              <w:t>(art 2 § 6)</w:t>
            </w:r>
          </w:p>
        </w:tc>
        <w:tc>
          <w:tcPr>
            <w:tcW w:w="2017" w:type="dxa"/>
          </w:tcPr>
          <w:p w:rsidR="00DB2750" w:rsidRPr="00D97AA9" w:rsidRDefault="009278B8" w:rsidP="00DB2750">
            <w:pPr>
              <w:rPr>
                <w:lang w:val="fr-BE"/>
              </w:rPr>
            </w:pPr>
            <w:r>
              <w:rPr>
                <w:lang w:val="fr-BE"/>
              </w:rPr>
              <w:t>16</w:t>
            </w:r>
          </w:p>
        </w:tc>
        <w:tc>
          <w:tcPr>
            <w:tcW w:w="1866" w:type="dxa"/>
          </w:tcPr>
          <w:p w:rsidR="00DB2750" w:rsidRPr="00D97AA9" w:rsidRDefault="009278B8" w:rsidP="00FB78D8">
            <w:pPr>
              <w:rPr>
                <w:lang w:val="fr-BE"/>
              </w:rPr>
            </w:pPr>
            <w:r>
              <w:rPr>
                <w:lang w:val="fr-BE"/>
              </w:rPr>
              <w:t>52</w:t>
            </w:r>
          </w:p>
        </w:tc>
      </w:tr>
      <w:tr w:rsidR="00DB2750" w:rsidRPr="00007652" w:rsidTr="00DB2750">
        <w:tc>
          <w:tcPr>
            <w:tcW w:w="4351" w:type="dxa"/>
          </w:tcPr>
          <w:p w:rsidR="00DB2750" w:rsidRPr="00007652" w:rsidRDefault="00DB2750" w:rsidP="009E2F7B">
            <w:pPr>
              <w:rPr>
                <w:lang w:val="fr-BE"/>
              </w:rPr>
            </w:pPr>
            <w:r>
              <w:rPr>
                <w:lang w:val="fr-FR"/>
              </w:rPr>
              <w:t xml:space="preserve">Instellingen </w:t>
            </w:r>
            <w:r w:rsidR="009278B8">
              <w:rPr>
                <w:lang w:val="fr-FR"/>
              </w:rPr>
              <w:t>(art 2 § 1, § 3)</w:t>
            </w:r>
          </w:p>
        </w:tc>
        <w:tc>
          <w:tcPr>
            <w:tcW w:w="2017" w:type="dxa"/>
          </w:tcPr>
          <w:p w:rsidR="00DB2750" w:rsidRPr="00D97AA9" w:rsidRDefault="009278B8" w:rsidP="00DB2750">
            <w:pPr>
              <w:rPr>
                <w:lang w:val="fr-BE"/>
              </w:rPr>
            </w:pPr>
            <w:r>
              <w:rPr>
                <w:lang w:val="fr-BE"/>
              </w:rPr>
              <w:t>13</w:t>
            </w:r>
          </w:p>
        </w:tc>
        <w:tc>
          <w:tcPr>
            <w:tcW w:w="1866" w:type="dxa"/>
          </w:tcPr>
          <w:p w:rsidR="00DB2750" w:rsidRPr="00D97AA9" w:rsidRDefault="00DB2750" w:rsidP="00FB78D8">
            <w:pPr>
              <w:rPr>
                <w:lang w:val="fr-BE"/>
              </w:rPr>
            </w:pPr>
            <w:r>
              <w:rPr>
                <w:lang w:val="fr-BE"/>
              </w:rPr>
              <w:t>57</w:t>
            </w:r>
          </w:p>
        </w:tc>
      </w:tr>
      <w:tr w:rsidR="009278B8" w:rsidRPr="00007652" w:rsidTr="00DB2750">
        <w:tc>
          <w:tcPr>
            <w:tcW w:w="4351" w:type="dxa"/>
          </w:tcPr>
          <w:p w:rsidR="009278B8" w:rsidRDefault="009278B8" w:rsidP="009E2F7B">
            <w:pPr>
              <w:rPr>
                <w:lang w:val="fr-FR"/>
              </w:rPr>
            </w:pPr>
            <w:r>
              <w:rPr>
                <w:lang w:val="fr-FR"/>
              </w:rPr>
              <w:t>Pasgeboren kind (art 2 § 2)</w:t>
            </w:r>
          </w:p>
        </w:tc>
        <w:tc>
          <w:tcPr>
            <w:tcW w:w="2017" w:type="dxa"/>
          </w:tcPr>
          <w:p w:rsidR="009278B8" w:rsidRDefault="009278B8" w:rsidP="00DB2750">
            <w:pPr>
              <w:rPr>
                <w:lang w:val="fr-BE"/>
              </w:rPr>
            </w:pPr>
            <w:r>
              <w:rPr>
                <w:lang w:val="fr-BE"/>
              </w:rPr>
              <w:t>0</w:t>
            </w:r>
          </w:p>
        </w:tc>
        <w:tc>
          <w:tcPr>
            <w:tcW w:w="1866" w:type="dxa"/>
          </w:tcPr>
          <w:p w:rsidR="009278B8" w:rsidRDefault="009278B8" w:rsidP="00FB78D8">
            <w:pPr>
              <w:rPr>
                <w:lang w:val="fr-BE"/>
              </w:rPr>
            </w:pPr>
            <w:r>
              <w:rPr>
                <w:lang w:val="fr-BE"/>
              </w:rPr>
              <w:t>1</w:t>
            </w:r>
          </w:p>
        </w:tc>
      </w:tr>
      <w:tr w:rsidR="00DB2750" w:rsidRPr="00007652" w:rsidTr="00DB2750">
        <w:tc>
          <w:tcPr>
            <w:tcW w:w="4351" w:type="dxa"/>
          </w:tcPr>
          <w:p w:rsidR="00DB2750" w:rsidRPr="00007652" w:rsidRDefault="00DB2750" w:rsidP="009E2F7B">
            <w:pPr>
              <w:rPr>
                <w:lang w:val="fr-BE"/>
              </w:rPr>
            </w:pPr>
            <w:r>
              <w:rPr>
                <w:lang w:val="fr-FR"/>
              </w:rPr>
              <w:t xml:space="preserve">Asielzoekers </w:t>
            </w:r>
            <w:r w:rsidR="009278B8">
              <w:rPr>
                <w:lang w:val="fr-FR"/>
              </w:rPr>
              <w:t>(art 2 § 5)</w:t>
            </w:r>
          </w:p>
        </w:tc>
        <w:tc>
          <w:tcPr>
            <w:tcW w:w="2017" w:type="dxa"/>
          </w:tcPr>
          <w:p w:rsidR="00DB2750" w:rsidRPr="00D97AA9" w:rsidRDefault="00DB2750" w:rsidP="00DB2750">
            <w:pPr>
              <w:rPr>
                <w:lang w:val="fr-BE"/>
              </w:rPr>
            </w:pPr>
            <w:r>
              <w:rPr>
                <w:lang w:val="fr-BE"/>
              </w:rPr>
              <w:t>0</w:t>
            </w:r>
            <w:r w:rsidRPr="00D97AA9">
              <w:t xml:space="preserve"> </w:t>
            </w:r>
          </w:p>
        </w:tc>
        <w:tc>
          <w:tcPr>
            <w:tcW w:w="1866" w:type="dxa"/>
          </w:tcPr>
          <w:p w:rsidR="00DB2750" w:rsidRDefault="00DB2750" w:rsidP="00FB78D8">
            <w:pPr>
              <w:rPr>
                <w:lang w:val="fr-BE"/>
              </w:rPr>
            </w:pPr>
            <w:r>
              <w:rPr>
                <w:lang w:val="fr-BE"/>
              </w:rPr>
              <w:t>2</w:t>
            </w:r>
          </w:p>
        </w:tc>
      </w:tr>
      <w:tr w:rsidR="00DB2750" w:rsidRPr="00007652" w:rsidTr="00DB2750">
        <w:tc>
          <w:tcPr>
            <w:tcW w:w="4351" w:type="dxa"/>
          </w:tcPr>
          <w:p w:rsidR="00DB2750" w:rsidRPr="00007652" w:rsidRDefault="00DB2750" w:rsidP="009E2F7B">
            <w:pPr>
              <w:rPr>
                <w:lang w:val="fr-BE"/>
              </w:rPr>
            </w:pPr>
            <w:r>
              <w:rPr>
                <w:lang w:val="fr-FR"/>
              </w:rPr>
              <w:t xml:space="preserve">Daklozen </w:t>
            </w:r>
            <w:r w:rsidR="009278B8">
              <w:rPr>
                <w:lang w:val="fr-FR"/>
              </w:rPr>
              <w:t>(art 2 § 7)</w:t>
            </w:r>
          </w:p>
        </w:tc>
        <w:tc>
          <w:tcPr>
            <w:tcW w:w="2017" w:type="dxa"/>
          </w:tcPr>
          <w:p w:rsidR="00DB2750" w:rsidRPr="00D97AA9" w:rsidRDefault="00DB2750" w:rsidP="00DB2750">
            <w:pPr>
              <w:rPr>
                <w:lang w:val="fr-BE"/>
              </w:rPr>
            </w:pPr>
            <w:r>
              <w:rPr>
                <w:lang w:val="fr-BE"/>
              </w:rPr>
              <w:t>8</w:t>
            </w:r>
          </w:p>
        </w:tc>
        <w:tc>
          <w:tcPr>
            <w:tcW w:w="1866" w:type="dxa"/>
          </w:tcPr>
          <w:p w:rsidR="00DB2750" w:rsidRDefault="00DB2750" w:rsidP="00FB78D8">
            <w:pPr>
              <w:rPr>
                <w:lang w:val="fr-BE"/>
              </w:rPr>
            </w:pPr>
            <w:r>
              <w:rPr>
                <w:lang w:val="fr-BE"/>
              </w:rPr>
              <w:t>19</w:t>
            </w:r>
          </w:p>
        </w:tc>
      </w:tr>
      <w:tr w:rsidR="00DB2750" w:rsidRPr="00007652" w:rsidTr="00DB2750">
        <w:tc>
          <w:tcPr>
            <w:tcW w:w="4351" w:type="dxa"/>
          </w:tcPr>
          <w:p w:rsidR="00DB2750" w:rsidRDefault="00DB2750" w:rsidP="009E2F7B">
            <w:pPr>
              <w:rPr>
                <w:lang w:val="fr-FR"/>
              </w:rPr>
            </w:pPr>
            <w:r>
              <w:rPr>
                <w:lang w:val="fr-FR"/>
              </w:rPr>
              <w:t>Huurwaarborgen</w:t>
            </w:r>
            <w:r w:rsidR="009278B8">
              <w:rPr>
                <w:lang w:val="fr-FR"/>
              </w:rPr>
              <w:t xml:space="preserve"> (art 2 § 8)</w:t>
            </w:r>
          </w:p>
        </w:tc>
        <w:tc>
          <w:tcPr>
            <w:tcW w:w="2017" w:type="dxa"/>
          </w:tcPr>
          <w:p w:rsidR="00DB2750" w:rsidRDefault="00DB2750" w:rsidP="00DB2750">
            <w:pPr>
              <w:rPr>
                <w:lang w:val="fr-BE"/>
              </w:rPr>
            </w:pPr>
            <w:r>
              <w:rPr>
                <w:lang w:val="fr-BE"/>
              </w:rPr>
              <w:t>0</w:t>
            </w:r>
          </w:p>
        </w:tc>
        <w:tc>
          <w:tcPr>
            <w:tcW w:w="1866" w:type="dxa"/>
          </w:tcPr>
          <w:p w:rsidR="00DB2750" w:rsidRDefault="00DB2750" w:rsidP="00FB78D8">
            <w:pPr>
              <w:rPr>
                <w:lang w:val="fr-BE"/>
              </w:rPr>
            </w:pPr>
            <w:r>
              <w:rPr>
                <w:lang w:val="fr-BE"/>
              </w:rPr>
              <w:t>1</w:t>
            </w:r>
          </w:p>
        </w:tc>
      </w:tr>
      <w:tr w:rsidR="00DB2750" w:rsidRPr="00007652" w:rsidTr="00DB2750">
        <w:tc>
          <w:tcPr>
            <w:tcW w:w="4351" w:type="dxa"/>
          </w:tcPr>
          <w:p w:rsidR="00DB2750" w:rsidRPr="00655650" w:rsidRDefault="00DB2750" w:rsidP="006942C1">
            <w:pPr>
              <w:jc w:val="both"/>
              <w:rPr>
                <w:lang w:val="nl-NL"/>
              </w:rPr>
            </w:pPr>
            <w:r w:rsidRPr="00655650">
              <w:rPr>
                <w:lang w:val="nl-NL"/>
              </w:rPr>
              <w:t>Sanctie (art. 58, §3, van de organieke wet van 8 juli 1976 of art. 18, §4 van de wet van 22 mei 2002 betreffende het Recht op Maatschappelijk</w:t>
            </w:r>
            <w:r>
              <w:rPr>
                <w:lang w:val="nl-NL"/>
              </w:rPr>
              <w:t>e</w:t>
            </w:r>
            <w:r w:rsidRPr="00655650">
              <w:rPr>
                <w:lang w:val="nl-NL"/>
              </w:rPr>
              <w:t xml:space="preserve"> Integratie)</w:t>
            </w:r>
          </w:p>
        </w:tc>
        <w:tc>
          <w:tcPr>
            <w:tcW w:w="2017" w:type="dxa"/>
          </w:tcPr>
          <w:p w:rsidR="00DB2750" w:rsidRPr="00D97AA9" w:rsidRDefault="009278B8" w:rsidP="00DB2750">
            <w:pPr>
              <w:rPr>
                <w:lang w:val="fr-BE"/>
              </w:rPr>
            </w:pPr>
            <w:r>
              <w:rPr>
                <w:lang w:val="fr-BE"/>
              </w:rPr>
              <w:t>3</w:t>
            </w:r>
          </w:p>
        </w:tc>
        <w:tc>
          <w:tcPr>
            <w:tcW w:w="1866" w:type="dxa"/>
          </w:tcPr>
          <w:p w:rsidR="00DB2750" w:rsidRDefault="009278B8" w:rsidP="00FB78D8">
            <w:pPr>
              <w:rPr>
                <w:lang w:val="fr-BE"/>
              </w:rPr>
            </w:pPr>
            <w:r>
              <w:rPr>
                <w:lang w:val="fr-BE"/>
              </w:rPr>
              <w:t>55</w:t>
            </w:r>
          </w:p>
        </w:tc>
      </w:tr>
    </w:tbl>
    <w:p w:rsidR="00AB1636" w:rsidRDefault="00AB1636" w:rsidP="00C366C8">
      <w:pPr>
        <w:ind w:firstLine="720"/>
        <w:rPr>
          <w:lang w:val="fr-BE"/>
        </w:rPr>
      </w:pPr>
    </w:p>
    <w:p w:rsidR="00C82CAE" w:rsidRDefault="00C82CAE" w:rsidP="00C82CAE">
      <w:pPr>
        <w:ind w:left="720"/>
        <w:rPr>
          <w:u w:val="single"/>
          <w:lang w:val="nl-NL"/>
        </w:rPr>
      </w:pPr>
    </w:p>
    <w:p w:rsidR="00C82CAE" w:rsidRDefault="00C82CAE" w:rsidP="00F269F4">
      <w:pPr>
        <w:ind w:left="720"/>
        <w:jc w:val="both"/>
        <w:rPr>
          <w:noProof/>
          <w:lang w:val="nl-NL" w:eastAsia="fr-BE"/>
        </w:rPr>
      </w:pPr>
    </w:p>
    <w:p w:rsidR="009E2F7B" w:rsidRPr="00655650" w:rsidRDefault="00886CE2" w:rsidP="00F269F4">
      <w:pPr>
        <w:ind w:left="720"/>
        <w:jc w:val="both"/>
        <w:rPr>
          <w:noProof/>
          <w:lang w:val="nl-NL" w:eastAsia="fr-BE"/>
        </w:rPr>
      </w:pPr>
      <w:r w:rsidRPr="00655650">
        <w:rPr>
          <w:noProof/>
          <w:lang w:val="nl-NL" w:eastAsia="fr-BE"/>
        </w:rPr>
        <w:t xml:space="preserve">Men stelt vast dat , net als in de voorgaande jaren, het hoogste percentage conflicten </w:t>
      </w:r>
      <w:r w:rsidR="00FE7FE3">
        <w:rPr>
          <w:noProof/>
          <w:lang w:val="nl-NL" w:eastAsia="fr-BE"/>
        </w:rPr>
        <w:t>in 2017</w:t>
      </w:r>
      <w:r w:rsidR="002930CF">
        <w:rPr>
          <w:noProof/>
          <w:lang w:val="nl-NL" w:eastAsia="fr-BE"/>
        </w:rPr>
        <w:t xml:space="preserve"> </w:t>
      </w:r>
      <w:r w:rsidRPr="00655650">
        <w:rPr>
          <w:noProof/>
          <w:lang w:val="nl-NL" w:eastAsia="fr-BE"/>
        </w:rPr>
        <w:t xml:space="preserve">betrekking heeft op de bepaling van het gewoonlijk verblijf, gevolgd door deze die betrekking hebben op </w:t>
      </w:r>
      <w:r w:rsidR="00F10CB8">
        <w:rPr>
          <w:noProof/>
          <w:lang w:val="nl-NL" w:eastAsia="fr-BE"/>
        </w:rPr>
        <w:t xml:space="preserve">personen die in instellingen verblijven en </w:t>
      </w:r>
      <w:r w:rsidRPr="00655650">
        <w:rPr>
          <w:noProof/>
          <w:lang w:val="nl-NL" w:eastAsia="fr-BE"/>
        </w:rPr>
        <w:t>st</w:t>
      </w:r>
      <w:r w:rsidR="009E6DB5">
        <w:rPr>
          <w:noProof/>
          <w:lang w:val="nl-NL" w:eastAsia="fr-BE"/>
        </w:rPr>
        <w:t>udenten</w:t>
      </w:r>
      <w:r w:rsidRPr="00655650">
        <w:rPr>
          <w:noProof/>
          <w:lang w:val="nl-NL" w:eastAsia="fr-BE"/>
        </w:rPr>
        <w:t>.</w:t>
      </w:r>
    </w:p>
    <w:p w:rsidR="009E2F7B" w:rsidRDefault="009E2F7B" w:rsidP="002F6832">
      <w:pPr>
        <w:rPr>
          <w:lang w:val="nl-NL"/>
        </w:rPr>
      </w:pPr>
    </w:p>
    <w:p w:rsidR="00886CE2" w:rsidRDefault="00886CE2" w:rsidP="002F6832">
      <w:pPr>
        <w:rPr>
          <w:lang w:val="nl-NL"/>
        </w:rPr>
      </w:pPr>
    </w:p>
    <w:p w:rsidR="008D48F1" w:rsidRPr="00EE5842" w:rsidRDefault="008D48F1" w:rsidP="00B45027">
      <w:pPr>
        <w:ind w:left="720"/>
        <w:jc w:val="both"/>
        <w:rPr>
          <w:lang w:val="nl-NL"/>
        </w:rPr>
      </w:pPr>
    </w:p>
    <w:p w:rsidR="0091166D" w:rsidRPr="00CF5BF0" w:rsidRDefault="0091166D" w:rsidP="002F6832">
      <w:pPr>
        <w:rPr>
          <w:lang w:val="nl-BE"/>
        </w:rPr>
      </w:pPr>
    </w:p>
    <w:p w:rsidR="0091166D" w:rsidRPr="00CF5BF0" w:rsidRDefault="0091166D" w:rsidP="002F6832">
      <w:pPr>
        <w:rPr>
          <w:lang w:val="nl-BE"/>
        </w:rPr>
      </w:pPr>
    </w:p>
    <w:p w:rsidR="0091166D" w:rsidRPr="00CF5BF0" w:rsidRDefault="0091166D" w:rsidP="002F6832">
      <w:pPr>
        <w:rPr>
          <w:lang w:val="nl-BE"/>
        </w:rPr>
      </w:pPr>
    </w:p>
    <w:p w:rsidR="0091166D" w:rsidRPr="00CF5BF0" w:rsidRDefault="0091166D" w:rsidP="002F6832">
      <w:pPr>
        <w:rPr>
          <w:lang w:val="nl-BE"/>
        </w:rPr>
      </w:pPr>
    </w:p>
    <w:p w:rsidR="0091166D" w:rsidRPr="00CF5BF0" w:rsidRDefault="0091166D" w:rsidP="002F6832">
      <w:pPr>
        <w:rPr>
          <w:lang w:val="nl-BE"/>
        </w:rPr>
      </w:pPr>
    </w:p>
    <w:p w:rsidR="0091166D" w:rsidRPr="00CF5BF0" w:rsidRDefault="0091166D" w:rsidP="002F6832">
      <w:pPr>
        <w:rPr>
          <w:lang w:val="nl-BE"/>
        </w:rPr>
      </w:pPr>
    </w:p>
    <w:p w:rsidR="0091166D" w:rsidRPr="00CF5BF0" w:rsidRDefault="0091166D" w:rsidP="002F6832">
      <w:pPr>
        <w:rPr>
          <w:lang w:val="nl-BE"/>
        </w:rPr>
      </w:pPr>
    </w:p>
    <w:p w:rsidR="0091166D" w:rsidRPr="00CF5BF0" w:rsidRDefault="0091166D" w:rsidP="002F6832">
      <w:pPr>
        <w:rPr>
          <w:lang w:val="nl-BE"/>
        </w:rPr>
      </w:pPr>
    </w:p>
    <w:p w:rsidR="0091166D" w:rsidRPr="00CF5BF0" w:rsidRDefault="0091166D" w:rsidP="002F6832">
      <w:pPr>
        <w:rPr>
          <w:lang w:val="nl-BE"/>
        </w:rPr>
      </w:pPr>
    </w:p>
    <w:p w:rsidR="0091166D" w:rsidRPr="00CF5BF0" w:rsidRDefault="0091166D" w:rsidP="002F6832">
      <w:pPr>
        <w:rPr>
          <w:lang w:val="nl-BE"/>
        </w:rPr>
      </w:pPr>
    </w:p>
    <w:p w:rsidR="00F260A5" w:rsidRPr="00CF5BF0" w:rsidRDefault="00F260A5" w:rsidP="002F6832">
      <w:pPr>
        <w:rPr>
          <w:lang w:val="nl-BE"/>
        </w:rPr>
      </w:pPr>
    </w:p>
    <w:p w:rsidR="00F260A5" w:rsidRPr="00CF5BF0" w:rsidRDefault="00F260A5" w:rsidP="002F6832">
      <w:pPr>
        <w:rPr>
          <w:lang w:val="nl-BE"/>
        </w:rPr>
      </w:pPr>
    </w:p>
    <w:p w:rsidR="00805E74" w:rsidRPr="00CF5BF0" w:rsidRDefault="00F260A5" w:rsidP="002F6832">
      <w:pPr>
        <w:rPr>
          <w:lang w:val="nl-BE"/>
        </w:rPr>
      </w:pPr>
      <w:r w:rsidRPr="00CF5BF0">
        <w:rPr>
          <w:lang w:val="nl-BE"/>
        </w:rPr>
        <w:tab/>
      </w:r>
    </w:p>
    <w:p w:rsidR="00075090" w:rsidRDefault="00075090" w:rsidP="00D84B40">
      <w:pPr>
        <w:jc w:val="both"/>
        <w:rPr>
          <w:bCs/>
          <w:lang w:val="nl-NL"/>
        </w:rPr>
      </w:pPr>
    </w:p>
    <w:p w:rsidR="00E012DA" w:rsidRDefault="00E012DA" w:rsidP="00D84B40">
      <w:pPr>
        <w:jc w:val="both"/>
        <w:rPr>
          <w:bCs/>
          <w:lang w:val="nl-NL"/>
        </w:rPr>
      </w:pPr>
    </w:p>
    <w:p w:rsidR="0045504A" w:rsidRPr="0045504A" w:rsidRDefault="0045504A" w:rsidP="00C82CAE">
      <w:pPr>
        <w:pStyle w:val="Heading3"/>
        <w:numPr>
          <w:ilvl w:val="0"/>
          <w:numId w:val="40"/>
        </w:numPr>
        <w:rPr>
          <w:u w:val="single"/>
        </w:rPr>
      </w:pPr>
      <w:bookmarkStart w:id="27" w:name="_Toc510775736"/>
      <w:r w:rsidRPr="0045504A">
        <w:rPr>
          <w:u w:val="single"/>
        </w:rPr>
        <w:t>Opmerkingen</w:t>
      </w:r>
      <w:bookmarkEnd w:id="27"/>
    </w:p>
    <w:p w:rsidR="0045504A" w:rsidRPr="00A2305F" w:rsidRDefault="0045504A" w:rsidP="0045504A">
      <w:pPr>
        <w:ind w:left="720"/>
        <w:jc w:val="both"/>
        <w:rPr>
          <w:lang w:val="nl-NL"/>
        </w:rPr>
      </w:pPr>
    </w:p>
    <w:p w:rsidR="0045504A" w:rsidRPr="00A2305F" w:rsidRDefault="0045504A" w:rsidP="0045504A">
      <w:pPr>
        <w:numPr>
          <w:ilvl w:val="0"/>
          <w:numId w:val="37"/>
        </w:numPr>
        <w:jc w:val="both"/>
        <w:rPr>
          <w:u w:val="dash"/>
          <w:lang w:val="nl-NL"/>
        </w:rPr>
      </w:pPr>
      <w:r w:rsidRPr="00A2305F">
        <w:rPr>
          <w:u w:val="dash"/>
          <w:lang w:val="nl-NL"/>
        </w:rPr>
        <w:t>Dossiers in verband met daklozen en asielzoekers</w:t>
      </w:r>
    </w:p>
    <w:p w:rsidR="0045504A" w:rsidRPr="00A2305F" w:rsidRDefault="0045504A" w:rsidP="0045504A">
      <w:pPr>
        <w:ind w:left="720"/>
        <w:jc w:val="both"/>
        <w:rPr>
          <w:lang w:val="nl-NL"/>
        </w:rPr>
      </w:pPr>
    </w:p>
    <w:p w:rsidR="0045504A" w:rsidRPr="00A2305F" w:rsidRDefault="0045504A" w:rsidP="0045504A">
      <w:pPr>
        <w:ind w:left="720"/>
        <w:jc w:val="both"/>
        <w:rPr>
          <w:lang w:val="nl-NL"/>
        </w:rPr>
      </w:pPr>
      <w:r w:rsidRPr="00A2305F">
        <w:rPr>
          <w:lang w:val="nl-NL"/>
        </w:rPr>
        <w:t>Het aantal dossiers in verba</w:t>
      </w:r>
      <w:r w:rsidR="006B4A54">
        <w:rPr>
          <w:lang w:val="nl-NL"/>
        </w:rPr>
        <w:t>nd met daklozen en in verband met asielzoekers</w:t>
      </w:r>
      <w:r w:rsidRPr="00A2305F">
        <w:rPr>
          <w:lang w:val="nl-NL"/>
        </w:rPr>
        <w:t xml:space="preserve"> blijft zeer laag in vergelijking met het totale aantal behandelde conflicten. Deze cijfers kunnen echter genuanceerd worden door 2 opmerkingen:</w:t>
      </w:r>
    </w:p>
    <w:p w:rsidR="0045504A" w:rsidRPr="00A2305F" w:rsidRDefault="0045504A" w:rsidP="0045504A">
      <w:pPr>
        <w:numPr>
          <w:ilvl w:val="0"/>
          <w:numId w:val="38"/>
        </w:numPr>
        <w:jc w:val="both"/>
        <w:rPr>
          <w:lang w:val="nl-NL"/>
        </w:rPr>
      </w:pPr>
      <w:r w:rsidRPr="00A2305F">
        <w:rPr>
          <w:lang w:val="nl-NL"/>
        </w:rPr>
        <w:t xml:space="preserve">Om ervoor te zorgen dat een dossier wordt ondergebracht in de categorie "dakloze" moeten de 2 OCMW's die betrokken zijn bij een bevoegdheidsconflict uitdrukkelijk de hoedanigheid </w:t>
      </w:r>
      <w:r>
        <w:rPr>
          <w:lang w:val="nl-NL"/>
        </w:rPr>
        <w:t xml:space="preserve">van dakloosheid </w:t>
      </w:r>
      <w:r w:rsidRPr="00A2305F">
        <w:rPr>
          <w:lang w:val="nl-NL"/>
        </w:rPr>
        <w:t>erkennen bij een persoon. Dat is echter niet altijd het geval. Dit verklaart gedeeltelijk waarom de dossiers die verband houden met de problematiek van de dakloosheid niet als dusdanig worden gecategoriseerd.</w:t>
      </w:r>
    </w:p>
    <w:p w:rsidR="0045504A" w:rsidRPr="00A2305F" w:rsidRDefault="0045504A" w:rsidP="0045504A">
      <w:pPr>
        <w:numPr>
          <w:ilvl w:val="0"/>
          <w:numId w:val="38"/>
        </w:numPr>
        <w:jc w:val="both"/>
        <w:rPr>
          <w:lang w:val="nl-NL"/>
        </w:rPr>
      </w:pPr>
      <w:r w:rsidRPr="00A2305F">
        <w:rPr>
          <w:lang w:val="nl-NL"/>
        </w:rPr>
        <w:t xml:space="preserve">Talrijke asielzoekers dienen hun steunaanvraag in bij het OCMW nadat hun asielprocedure is beëindigd (op het ogenblik van hun steunaanvraag zijn zij dus geen asielzoekers meer). Deze dossiers vallen dus niet meer onder het toepassingsgebied van artikel 2, §5 van de wet van 2 april 1965, maar wel onder dat van de algemene bevoegdheidsregel. Bijgevolg is een heel aantal dossiers in verband met personen </w:t>
      </w:r>
      <w:r>
        <w:rPr>
          <w:lang w:val="nl-NL"/>
        </w:rPr>
        <w:t xml:space="preserve">waarvan de </w:t>
      </w:r>
      <w:r w:rsidRPr="00A2305F">
        <w:rPr>
          <w:lang w:val="nl-NL"/>
        </w:rPr>
        <w:t xml:space="preserve">asielprocedure werd beëindigd opgenomen in de dossiers betreffende de bepaling van de gewoonlijke verblijfplaats. </w:t>
      </w:r>
    </w:p>
    <w:p w:rsidR="0045504A" w:rsidRPr="00A2305F" w:rsidRDefault="0045504A" w:rsidP="0045504A">
      <w:pPr>
        <w:ind w:left="720"/>
        <w:jc w:val="both"/>
        <w:rPr>
          <w:lang w:val="nl-NL"/>
        </w:rPr>
      </w:pPr>
    </w:p>
    <w:p w:rsidR="0045504A" w:rsidRPr="00A2305F" w:rsidRDefault="0045504A" w:rsidP="0045504A">
      <w:pPr>
        <w:ind w:left="720"/>
        <w:jc w:val="both"/>
        <w:rPr>
          <w:lang w:val="nl-NL"/>
        </w:rPr>
      </w:pPr>
    </w:p>
    <w:p w:rsidR="0045504A" w:rsidRPr="00A2305F" w:rsidRDefault="0045504A" w:rsidP="0045504A">
      <w:pPr>
        <w:numPr>
          <w:ilvl w:val="0"/>
          <w:numId w:val="37"/>
        </w:numPr>
        <w:jc w:val="both"/>
        <w:rPr>
          <w:u w:val="dash"/>
          <w:lang w:val="nl-NL"/>
        </w:rPr>
      </w:pPr>
      <w:r w:rsidRPr="00A2305F">
        <w:rPr>
          <w:u w:val="dash"/>
          <w:lang w:val="nl-NL"/>
        </w:rPr>
        <w:t>De sanctie van artikel 58,§3 van de organieke OCMW-wet van 08/07/1976</w:t>
      </w:r>
    </w:p>
    <w:p w:rsidR="0045504A" w:rsidRPr="00A2305F" w:rsidRDefault="0045504A" w:rsidP="0045504A">
      <w:pPr>
        <w:ind w:left="1440"/>
        <w:jc w:val="both"/>
        <w:rPr>
          <w:lang w:val="nl-NL"/>
        </w:rPr>
      </w:pPr>
    </w:p>
    <w:p w:rsidR="0045504A" w:rsidRPr="00A2305F" w:rsidRDefault="009330B8" w:rsidP="0045504A">
      <w:pPr>
        <w:ind w:left="720"/>
        <w:jc w:val="both"/>
        <w:rPr>
          <w:lang w:val="nl-NL"/>
        </w:rPr>
      </w:pPr>
      <w:r>
        <w:rPr>
          <w:lang w:val="nl-NL"/>
        </w:rPr>
        <w:t>In 2017</w:t>
      </w:r>
      <w:r w:rsidR="0045504A" w:rsidRPr="00A2305F">
        <w:rPr>
          <w:lang w:val="nl-NL"/>
        </w:rPr>
        <w:t xml:space="preserve"> kunnen we eveneens vaststellen dat de dossiers in verband met een sanctie voorzien, ofwel door artikel 58,§3 van de organieke OCMW-wet van 08/07/1976, ofwel door artikel 18, §4 van de wet van 22/05/2002 betreffende het recht op maatschappelijke integratie gevoelig is gestegen in vergel</w:t>
      </w:r>
      <w:r>
        <w:rPr>
          <w:lang w:val="nl-NL"/>
        </w:rPr>
        <w:t>ijking met de voorgaande jaren</w:t>
      </w:r>
      <w:r w:rsidR="0045504A" w:rsidRPr="00A2305F">
        <w:rPr>
          <w:lang w:val="nl-NL"/>
        </w:rPr>
        <w:t xml:space="preserve">. </w:t>
      </w:r>
    </w:p>
    <w:p w:rsidR="0045504A" w:rsidRPr="00A2305F" w:rsidRDefault="0045504A" w:rsidP="0045504A">
      <w:pPr>
        <w:ind w:left="720"/>
        <w:jc w:val="both"/>
        <w:rPr>
          <w:lang w:val="nl-NL"/>
        </w:rPr>
      </w:pPr>
    </w:p>
    <w:p w:rsidR="0045504A" w:rsidRPr="00A2305F" w:rsidRDefault="0045504A" w:rsidP="0045504A">
      <w:pPr>
        <w:ind w:left="720"/>
        <w:jc w:val="both"/>
        <w:rPr>
          <w:lang w:val="nl-NL"/>
        </w:rPr>
      </w:pPr>
      <w:r w:rsidRPr="00A2305F">
        <w:rPr>
          <w:lang w:val="nl-NL"/>
        </w:rPr>
        <w:t xml:space="preserve">Deze stijging kan worden verklaard door het massaal versturen van dossiers die betrekking hadden op de aanvragen tot tenlasteneming van ziekenhuisfacturen, hoofdzakelijk Brusselse, waarbij het eerste betwiste OCMW het ziekenhuis inlichtte dat het niet bevoegd was, maar het geen enkel advies van onbevoegdheid naar een tweede OCMW stuurde. De termijn van 5 dagen waarin voorzien is om de steunaanvraag te bezorgen, werd zo dus nooit nageleefd en bijgevolg moest er een sanctie worden toegepast. </w:t>
      </w:r>
    </w:p>
    <w:p w:rsidR="0045504A" w:rsidRPr="00A2305F" w:rsidRDefault="0045504A" w:rsidP="0045504A">
      <w:pPr>
        <w:ind w:left="720"/>
        <w:jc w:val="both"/>
        <w:rPr>
          <w:lang w:val="nl-NL"/>
        </w:rPr>
      </w:pPr>
    </w:p>
    <w:p w:rsidR="0045504A" w:rsidRPr="00A2305F" w:rsidRDefault="0045504A" w:rsidP="0045504A">
      <w:pPr>
        <w:ind w:left="720"/>
        <w:jc w:val="both"/>
        <w:rPr>
          <w:lang w:val="nl-NL"/>
        </w:rPr>
      </w:pPr>
      <w:r w:rsidRPr="00A2305F">
        <w:rPr>
          <w:lang w:val="nl-NL"/>
        </w:rPr>
        <w:t>Ter herinnering: wanneer een OCMW een steunaanvraag ontvangt van een ziekenhuis of via een ziekenhuis, is het zeer belangrijk</w:t>
      </w:r>
      <w:r>
        <w:rPr>
          <w:lang w:val="nl-NL"/>
        </w:rPr>
        <w:t xml:space="preserve"> dat</w:t>
      </w:r>
      <w:r w:rsidRPr="00A2305F">
        <w:rPr>
          <w:lang w:val="nl-NL"/>
        </w:rPr>
        <w:t>, wanneer dit OCMW zich niet territoriaal bevoegd acht om te beslissen over deze steunaanvraag, het een advies van onbevoegdheid stuurt naar het OCMW dat het territoriaal bevoegd acht om een beslissing te nemen over de steunaanvraag, binnen de hiervoor voorziene termijn. De OCMW's die zich tevreden stellen met het inlichten van het ziekenhuis dat zij achten niet territoriaal bevoegd te zijn, ver</w:t>
      </w:r>
      <w:r>
        <w:rPr>
          <w:lang w:val="nl-NL"/>
        </w:rPr>
        <w:t>v</w:t>
      </w:r>
      <w:r w:rsidRPr="00A2305F">
        <w:rPr>
          <w:lang w:val="nl-NL"/>
        </w:rPr>
        <w:t>ullen hun verplichtingen niet en stellen zich zo bloot aan een sanctie.</w:t>
      </w:r>
    </w:p>
    <w:p w:rsidR="004E3981" w:rsidRPr="006D0278" w:rsidRDefault="004E3981" w:rsidP="0045504A">
      <w:pPr>
        <w:ind w:left="720"/>
        <w:jc w:val="both"/>
        <w:rPr>
          <w:lang w:val="nl-NL"/>
        </w:rPr>
      </w:pPr>
    </w:p>
    <w:p w:rsidR="00AD4B7C" w:rsidRPr="006D0278" w:rsidRDefault="0091166D" w:rsidP="00470771">
      <w:pPr>
        <w:pStyle w:val="Heading2"/>
        <w:rPr>
          <w:sz w:val="28"/>
          <w:lang w:val="nl-NL"/>
        </w:rPr>
      </w:pPr>
      <w:r w:rsidRPr="006D0278">
        <w:rPr>
          <w:lang w:val="nl-NL"/>
        </w:rPr>
        <w:br w:type="page"/>
      </w:r>
      <w:bookmarkStart w:id="28" w:name="_Toc510775737"/>
      <w:bookmarkStart w:id="29" w:name="_Toc51469041"/>
      <w:bookmarkStart w:id="30" w:name="_Toc70850286"/>
      <w:r w:rsidR="008E706C" w:rsidRPr="006D0278">
        <w:rPr>
          <w:sz w:val="28"/>
          <w:szCs w:val="28"/>
          <w:lang w:val="nl-NL"/>
        </w:rPr>
        <w:lastRenderedPageBreak/>
        <w:t>2. Conflicten over de bepaling van de gewoonlijke verblijfplaats</w:t>
      </w:r>
      <w:bookmarkEnd w:id="28"/>
    </w:p>
    <w:p w:rsidR="00AD4B7C" w:rsidRPr="006D0278" w:rsidRDefault="00AD4B7C" w:rsidP="00AD4B7C">
      <w:pPr>
        <w:rPr>
          <w:lang w:val="nl-NL"/>
        </w:rPr>
      </w:pPr>
    </w:p>
    <w:p w:rsidR="008D286F" w:rsidRPr="006D0278" w:rsidRDefault="008D286F" w:rsidP="00AD4B7C">
      <w:pPr>
        <w:ind w:left="900"/>
        <w:jc w:val="both"/>
        <w:rPr>
          <w:lang w:val="nl-NL"/>
        </w:rPr>
      </w:pPr>
    </w:p>
    <w:p w:rsidR="00AD4B7C" w:rsidRPr="006D0278" w:rsidRDefault="008E706C" w:rsidP="00AD4B7C">
      <w:pPr>
        <w:ind w:left="900"/>
        <w:jc w:val="both"/>
        <w:rPr>
          <w:lang w:val="nl-NL"/>
        </w:rPr>
      </w:pPr>
      <w:r w:rsidRPr="006D0278">
        <w:rPr>
          <w:lang w:val="nl-NL"/>
        </w:rPr>
        <w:t xml:space="preserve">Deze conflicten hebben betrekking op de toepassing van de algemene bevoegdheidsregel van artikel 1, 1°, van de wet van 02/04/1965 die als bevoegd OCMW </w:t>
      </w:r>
      <w:r w:rsidR="00921B1B" w:rsidRPr="006D0278">
        <w:rPr>
          <w:lang w:val="nl-NL"/>
        </w:rPr>
        <w:t>datgene</w:t>
      </w:r>
      <w:r w:rsidRPr="006D0278">
        <w:rPr>
          <w:lang w:val="nl-NL"/>
        </w:rPr>
        <w:t xml:space="preserve"> aanduidt van de gemeente waar de aanvrager gewoonlijk verblijft. </w:t>
      </w:r>
    </w:p>
    <w:p w:rsidR="0062338E" w:rsidRPr="006D0278" w:rsidRDefault="0062338E" w:rsidP="00AD4B7C">
      <w:pPr>
        <w:ind w:left="900"/>
        <w:jc w:val="both"/>
        <w:rPr>
          <w:lang w:val="nl-NL"/>
        </w:rPr>
      </w:pPr>
    </w:p>
    <w:p w:rsidR="00AD4B7C" w:rsidRPr="006D0278" w:rsidRDefault="008E706C" w:rsidP="00470771">
      <w:pPr>
        <w:pStyle w:val="Heading3"/>
        <w:rPr>
          <w:b/>
          <w:sz w:val="24"/>
          <w:highlight w:val="yellow"/>
          <w:u w:val="single"/>
          <w:lang w:val="nl-NL"/>
        </w:rPr>
      </w:pPr>
      <w:bookmarkStart w:id="31" w:name="_Toc510775738"/>
      <w:r w:rsidRPr="006D0278">
        <w:rPr>
          <w:b/>
          <w:sz w:val="24"/>
          <w:u w:val="single"/>
          <w:lang w:val="nl-NL"/>
        </w:rPr>
        <w:t xml:space="preserve">1. Aantal dossiers in </w:t>
      </w:r>
      <w:r w:rsidR="00B55B55" w:rsidRPr="006D0278">
        <w:rPr>
          <w:b/>
          <w:sz w:val="24"/>
          <w:u w:val="single"/>
          <w:lang w:val="nl-NL"/>
        </w:rPr>
        <w:t>201</w:t>
      </w:r>
      <w:r w:rsidR="006B4A54">
        <w:rPr>
          <w:b/>
          <w:sz w:val="24"/>
          <w:u w:val="single"/>
          <w:lang w:val="nl-NL"/>
        </w:rPr>
        <w:t>7</w:t>
      </w:r>
      <w:bookmarkEnd w:id="31"/>
    </w:p>
    <w:p w:rsidR="00AD4B7C" w:rsidRPr="006D0278" w:rsidRDefault="00AD4B7C" w:rsidP="00AD4B7C">
      <w:pPr>
        <w:pStyle w:val="Opmaakprofiel1"/>
        <w:ind w:left="180" w:firstLine="720"/>
        <w:rPr>
          <w:u w:val="none"/>
        </w:rPr>
      </w:pPr>
    </w:p>
    <w:p w:rsidR="00F545CE" w:rsidRPr="006D0278" w:rsidRDefault="001E362E" w:rsidP="00AD4B7C">
      <w:pPr>
        <w:pStyle w:val="Opmaakprofiel1"/>
        <w:ind w:left="720" w:right="-288" w:firstLine="720"/>
        <w:rPr>
          <w:highlight w:val="yellow"/>
          <w:u w:val="none"/>
        </w:rPr>
      </w:pPr>
      <w:r>
        <w:t xml:space="preserve">413 </w:t>
      </w:r>
      <w:r w:rsidR="008E706C" w:rsidRPr="006D0278">
        <w:t xml:space="preserve">dossiers op </w:t>
      </w:r>
      <w:r>
        <w:t>640</w:t>
      </w:r>
      <w:r w:rsidR="00B55B55" w:rsidRPr="006D0278">
        <w:t xml:space="preserve"> </w:t>
      </w:r>
      <w:r w:rsidR="00EC2D17">
        <w:t>ontvankelijke dossiers</w:t>
      </w:r>
    </w:p>
    <w:p w:rsidR="00AD4B7C" w:rsidRPr="006D0278" w:rsidRDefault="008E706C" w:rsidP="00AD4B7C">
      <w:pPr>
        <w:pStyle w:val="Opmaakprofiel1"/>
        <w:ind w:left="720" w:right="-288" w:firstLine="720"/>
        <w:rPr>
          <w:u w:val="none"/>
        </w:rPr>
      </w:pPr>
      <w:r w:rsidRPr="006D0278">
        <w:rPr>
          <w:u w:val="none"/>
        </w:rPr>
        <w:t xml:space="preserve">Nederlandstalige dossiers: </w:t>
      </w:r>
      <w:r w:rsidR="001E362E">
        <w:rPr>
          <w:u w:val="none"/>
        </w:rPr>
        <w:t xml:space="preserve">110 </w:t>
      </w:r>
      <w:r w:rsidRPr="006D0278">
        <w:rPr>
          <w:u w:val="none"/>
        </w:rPr>
        <w:t xml:space="preserve">op </w:t>
      </w:r>
      <w:r w:rsidR="001E362E">
        <w:rPr>
          <w:u w:val="none"/>
        </w:rPr>
        <w:t>150</w:t>
      </w:r>
      <w:r w:rsidR="00B55B55" w:rsidRPr="006D0278">
        <w:rPr>
          <w:u w:val="none"/>
        </w:rPr>
        <w:t xml:space="preserve"> </w:t>
      </w:r>
      <w:r w:rsidR="00CD4352">
        <w:rPr>
          <w:u w:val="none"/>
        </w:rPr>
        <w:t xml:space="preserve">ontvankelijke dossiers, </w:t>
      </w:r>
    </w:p>
    <w:p w:rsidR="00AD4B7C" w:rsidRPr="006D0278" w:rsidRDefault="008E706C" w:rsidP="00AD4B7C">
      <w:pPr>
        <w:pStyle w:val="Opmaakprofiel1"/>
        <w:ind w:left="720" w:firstLine="720"/>
        <w:rPr>
          <w:u w:val="none"/>
        </w:rPr>
      </w:pPr>
      <w:r w:rsidRPr="006D0278">
        <w:rPr>
          <w:u w:val="none"/>
        </w:rPr>
        <w:t xml:space="preserve">Franstalige dossiers: </w:t>
      </w:r>
      <w:r w:rsidR="001E362E">
        <w:rPr>
          <w:u w:val="none"/>
        </w:rPr>
        <w:t xml:space="preserve">303 </w:t>
      </w:r>
      <w:r w:rsidRPr="006D0278">
        <w:rPr>
          <w:u w:val="none"/>
        </w:rPr>
        <w:t xml:space="preserve">op </w:t>
      </w:r>
      <w:r w:rsidR="001E362E">
        <w:rPr>
          <w:u w:val="none"/>
        </w:rPr>
        <w:t>490</w:t>
      </w:r>
      <w:r w:rsidR="00B55B55" w:rsidRPr="006D0278">
        <w:rPr>
          <w:u w:val="none"/>
        </w:rPr>
        <w:t xml:space="preserve"> </w:t>
      </w:r>
      <w:r w:rsidR="00503A26">
        <w:rPr>
          <w:u w:val="none"/>
        </w:rPr>
        <w:t>ontvankelijke dossiers.</w:t>
      </w:r>
    </w:p>
    <w:p w:rsidR="00AD4B7C" w:rsidRPr="006D0278" w:rsidRDefault="00AD4B7C" w:rsidP="00AD4B7C">
      <w:pPr>
        <w:pStyle w:val="Heading2"/>
        <w:rPr>
          <w:lang w:val="nl-NL"/>
        </w:rPr>
      </w:pPr>
    </w:p>
    <w:bookmarkEnd w:id="29"/>
    <w:bookmarkEnd w:id="30"/>
    <w:p w:rsidR="00AD4B7C" w:rsidRPr="006D0278" w:rsidRDefault="008E706C" w:rsidP="00AD4B7C">
      <w:pPr>
        <w:pStyle w:val="BodyText"/>
        <w:ind w:left="1440"/>
        <w:rPr>
          <w:lang w:val="nl-NL"/>
        </w:rPr>
      </w:pPr>
      <w:r w:rsidRPr="006D0278">
        <w:rPr>
          <w:lang w:val="nl-NL"/>
        </w:rPr>
        <w:t>Het aantal dossiers met betrekking tot de toepassing van de bevoegdheidsregel van artikel 1,</w:t>
      </w:r>
      <w:r w:rsidR="00452184">
        <w:rPr>
          <w:lang w:val="nl-NL"/>
        </w:rPr>
        <w:t xml:space="preserve"> </w:t>
      </w:r>
      <w:r w:rsidRPr="006D0278">
        <w:rPr>
          <w:lang w:val="nl-NL"/>
        </w:rPr>
        <w:t xml:space="preserve">1, </w:t>
      </w:r>
      <w:r w:rsidR="00503A26">
        <w:rPr>
          <w:lang w:val="nl-NL"/>
        </w:rPr>
        <w:t>blijft</w:t>
      </w:r>
      <w:r w:rsidRPr="006D0278">
        <w:rPr>
          <w:lang w:val="nl-NL"/>
        </w:rPr>
        <w:t xml:space="preserve"> het hoogste in vergelijking met andere problematieken.</w:t>
      </w:r>
    </w:p>
    <w:p w:rsidR="00AD4B7C" w:rsidRPr="006D0278" w:rsidRDefault="00AD4B7C" w:rsidP="00AD4B7C">
      <w:pPr>
        <w:ind w:left="720" w:firstLine="180"/>
        <w:jc w:val="both"/>
        <w:rPr>
          <w:lang w:val="nl-NL"/>
        </w:rPr>
      </w:pPr>
    </w:p>
    <w:p w:rsidR="00AD4B7C" w:rsidRPr="006D0278" w:rsidRDefault="00AD4B7C" w:rsidP="00AD4B7C">
      <w:pPr>
        <w:ind w:left="720" w:firstLine="180"/>
        <w:jc w:val="both"/>
        <w:rPr>
          <w:lang w:val="nl-NL"/>
        </w:rPr>
      </w:pPr>
    </w:p>
    <w:p w:rsidR="00AD4B7C" w:rsidRPr="006D0278" w:rsidRDefault="008E706C" w:rsidP="00470771">
      <w:pPr>
        <w:pStyle w:val="Heading3"/>
        <w:spacing w:before="0" w:after="0"/>
        <w:rPr>
          <w:b/>
          <w:bCs/>
          <w:sz w:val="24"/>
          <w:u w:val="single"/>
          <w:lang w:val="nl-NL"/>
        </w:rPr>
      </w:pPr>
      <w:bookmarkStart w:id="32" w:name="_Toc510775739"/>
      <w:r w:rsidRPr="006D0278">
        <w:rPr>
          <w:b/>
          <w:bCs/>
          <w:sz w:val="24"/>
          <w:u w:val="single"/>
          <w:lang w:val="nl-NL"/>
        </w:rPr>
        <w:t>2. Wettelijke bepaling</w:t>
      </w:r>
      <w:bookmarkEnd w:id="32"/>
    </w:p>
    <w:p w:rsidR="00AD4B7C" w:rsidRPr="006D0278" w:rsidRDefault="00AD4B7C" w:rsidP="00AD4B7C">
      <w:pPr>
        <w:ind w:left="1080"/>
        <w:jc w:val="both"/>
        <w:rPr>
          <w:lang w:val="nl-NL"/>
        </w:rPr>
      </w:pPr>
    </w:p>
    <w:p w:rsidR="00AD4B7C" w:rsidRPr="006D0278" w:rsidRDefault="008E706C" w:rsidP="00AD4B7C">
      <w:pPr>
        <w:pBdr>
          <w:top w:val="dotDotDash" w:sz="4" w:space="1" w:color="auto"/>
          <w:left w:val="dotDotDash" w:sz="4" w:space="4" w:color="auto"/>
          <w:bottom w:val="dotDotDash" w:sz="4" w:space="1" w:color="auto"/>
          <w:right w:val="dotDotDash" w:sz="4" w:space="4" w:color="auto"/>
        </w:pBdr>
        <w:shd w:val="clear" w:color="auto" w:fill="CCFFFF"/>
        <w:ind w:left="1440"/>
        <w:jc w:val="both"/>
        <w:rPr>
          <w:lang w:val="nl-NL"/>
        </w:rPr>
      </w:pPr>
      <w:r w:rsidRPr="006D0278">
        <w:rPr>
          <w:b/>
          <w:lang w:val="nl-NL"/>
        </w:rPr>
        <w:t>Art. 1, 1°,</w:t>
      </w:r>
      <w:r w:rsidRPr="006D0278">
        <w:rPr>
          <w:lang w:val="nl-NL"/>
        </w:rPr>
        <w:t xml:space="preserve"> van de wet van 2 april 1965 betreffende het ten laste nemen van de steun verleend door de openbare centra voor maatschappelijk welzijn:</w:t>
      </w:r>
    </w:p>
    <w:p w:rsidR="00AD4B7C" w:rsidRPr="006D0278" w:rsidRDefault="008E706C" w:rsidP="00AD4B7C">
      <w:pPr>
        <w:pBdr>
          <w:top w:val="dotDotDash" w:sz="4" w:space="1" w:color="auto"/>
          <w:left w:val="dotDotDash" w:sz="4" w:space="4" w:color="auto"/>
          <w:bottom w:val="dotDotDash" w:sz="4" w:space="1" w:color="auto"/>
          <w:right w:val="dotDotDash" w:sz="4" w:space="4" w:color="auto"/>
        </w:pBdr>
        <w:shd w:val="clear" w:color="auto" w:fill="CCFFFF"/>
        <w:ind w:left="1440"/>
        <w:jc w:val="both"/>
        <w:rPr>
          <w:lang w:val="nl-NL"/>
        </w:rPr>
      </w:pPr>
      <w:r w:rsidRPr="006D0278">
        <w:rPr>
          <w:bCs/>
          <w:lang w:val="nl-NL"/>
        </w:rPr>
        <w:t>"</w:t>
      </w:r>
      <w:r w:rsidRPr="006D0278">
        <w:rPr>
          <w:bCs/>
          <w:i/>
          <w:lang w:val="nl-NL"/>
        </w:rPr>
        <w:t>steunverlenend openbaar centrum voor maatschappelijk welzijn": het openbaar centrum voor maatschappelijk welzijn van de gemeente op wier grondgebied zich een persoon bevindt die bijstand behoeft, wiens staat van behoeftigheid door dit openbaar centrum voor maatschappelijk welzijn erkend werd en aan wie het centrum steun verleent waarvan de aard en, zo nodig, het bedrag door het centrum beoordeeld en bepaald worden</w:t>
      </w:r>
      <w:r w:rsidRPr="006D0278">
        <w:rPr>
          <w:bCs/>
          <w:lang w:val="nl-NL"/>
        </w:rPr>
        <w:t>"</w:t>
      </w:r>
    </w:p>
    <w:p w:rsidR="00AD4B7C" w:rsidRPr="006D0278" w:rsidRDefault="00AD4B7C" w:rsidP="00AD4B7C">
      <w:pPr>
        <w:ind w:left="720" w:firstLine="180"/>
        <w:jc w:val="both"/>
        <w:rPr>
          <w:lang w:val="nl-NL"/>
        </w:rPr>
      </w:pPr>
    </w:p>
    <w:p w:rsidR="008D286F" w:rsidRPr="006D0278" w:rsidRDefault="008D286F" w:rsidP="00AD4B7C">
      <w:pPr>
        <w:rPr>
          <w:lang w:val="nl-NL"/>
        </w:rPr>
      </w:pPr>
      <w:r w:rsidRPr="006D0278">
        <w:rPr>
          <w:lang w:val="nl-NL"/>
        </w:rPr>
        <w:tab/>
      </w:r>
      <w:r w:rsidRPr="006D0278">
        <w:rPr>
          <w:lang w:val="nl-NL"/>
        </w:rPr>
        <w:tab/>
      </w:r>
    </w:p>
    <w:p w:rsidR="00AD4B7C" w:rsidRPr="006D0278" w:rsidRDefault="008E706C" w:rsidP="00470771">
      <w:pPr>
        <w:pStyle w:val="Heading3"/>
        <w:spacing w:before="0" w:after="0"/>
        <w:rPr>
          <w:b/>
          <w:bCs/>
          <w:sz w:val="24"/>
          <w:u w:val="single"/>
          <w:lang w:val="nl-NL"/>
        </w:rPr>
      </w:pPr>
      <w:bookmarkStart w:id="33" w:name="_Toc510775740"/>
      <w:r w:rsidRPr="006D0278">
        <w:rPr>
          <w:b/>
          <w:bCs/>
          <w:sz w:val="24"/>
          <w:u w:val="single"/>
          <w:lang w:val="nl-NL"/>
        </w:rPr>
        <w:t>3. Opmerkingen over de toepassing van de algemene bevoegdheidsregel</w:t>
      </w:r>
      <w:bookmarkEnd w:id="33"/>
    </w:p>
    <w:p w:rsidR="00AD4B7C" w:rsidRPr="006D0278" w:rsidRDefault="00AD4B7C" w:rsidP="00AD4B7C">
      <w:pPr>
        <w:ind w:left="900"/>
        <w:jc w:val="both"/>
        <w:rPr>
          <w:lang w:val="nl-NL"/>
        </w:rPr>
      </w:pPr>
    </w:p>
    <w:p w:rsidR="00537A63" w:rsidRPr="006D0278" w:rsidRDefault="008E706C" w:rsidP="00E26811">
      <w:pPr>
        <w:pStyle w:val="Heading4"/>
        <w:ind w:left="720"/>
        <w:jc w:val="both"/>
        <w:rPr>
          <w:b w:val="0"/>
          <w:bCs w:val="0"/>
          <w:u w:val="single"/>
          <w:lang w:val="nl-NL"/>
        </w:rPr>
      </w:pPr>
      <w:bookmarkStart w:id="34" w:name="_Toc510775741"/>
      <w:r w:rsidRPr="006D0278">
        <w:rPr>
          <w:b w:val="0"/>
          <w:bCs w:val="0"/>
          <w:u w:val="single"/>
          <w:lang w:val="nl-NL"/>
        </w:rPr>
        <w:t>3.1. De gewoonlijke verblijfplaats wordt bepaald op het ogenblik van de steunaanvraag</w:t>
      </w:r>
      <w:bookmarkEnd w:id="34"/>
    </w:p>
    <w:p w:rsidR="00537A63" w:rsidRPr="006D0278" w:rsidRDefault="00537A63" w:rsidP="00537A63">
      <w:pPr>
        <w:jc w:val="both"/>
        <w:rPr>
          <w:b/>
          <w:lang w:val="nl-NL"/>
        </w:rPr>
      </w:pPr>
    </w:p>
    <w:p w:rsidR="008D286F" w:rsidRPr="006D0278" w:rsidRDefault="008E706C" w:rsidP="00537A63">
      <w:pPr>
        <w:ind w:left="720"/>
        <w:jc w:val="both"/>
        <w:rPr>
          <w:b/>
          <w:lang w:val="nl-NL"/>
        </w:rPr>
      </w:pPr>
      <w:r w:rsidRPr="006D0278">
        <w:rPr>
          <w:lang w:val="nl-NL"/>
        </w:rPr>
        <w:t>De gewoonlijke en effectieve verblijfplaats van de persoon bepaalt het bevoegde OCMW</w:t>
      </w:r>
      <w:r w:rsidR="006B2704">
        <w:rPr>
          <w:lang w:val="nl-NL"/>
        </w:rPr>
        <w:t>.</w:t>
      </w:r>
      <w:r w:rsidRPr="006D0278">
        <w:rPr>
          <w:lang w:val="nl-NL"/>
        </w:rPr>
        <w:t xml:space="preserve"> De gewoonlijke verblijfplaats wordt bepaald op het ogenblik van de steunaanvraag.</w:t>
      </w:r>
    </w:p>
    <w:p w:rsidR="008D286F" w:rsidRPr="006D0278" w:rsidRDefault="008D286F" w:rsidP="008D286F">
      <w:pPr>
        <w:ind w:left="720"/>
        <w:jc w:val="both"/>
        <w:rPr>
          <w:lang w:val="nl-NL"/>
        </w:rPr>
      </w:pPr>
    </w:p>
    <w:p w:rsidR="0062338E" w:rsidRDefault="008E706C" w:rsidP="008D286F">
      <w:pPr>
        <w:pStyle w:val="Letter"/>
        <w:ind w:left="720"/>
        <w:jc w:val="both"/>
        <w:rPr>
          <w:rFonts w:ascii="Times New Roman" w:hAnsi="Times New Roman"/>
          <w:sz w:val="24"/>
          <w:szCs w:val="24"/>
          <w:lang w:val="nl-NL"/>
        </w:rPr>
      </w:pPr>
      <w:r w:rsidRPr="006D0278">
        <w:rPr>
          <w:rFonts w:ascii="Times New Roman" w:hAnsi="Times New Roman"/>
          <w:sz w:val="24"/>
          <w:szCs w:val="24"/>
          <w:lang w:val="nl-NL"/>
        </w:rPr>
        <w:t xml:space="preserve">Zoals de Raad van State heeft gepreciseerd, wordt de territoriale bevoegdheid van OCMW’s bepaald op het ogenblik van de steunaanvraag, aangezien </w:t>
      </w:r>
      <w:r w:rsidR="006B2704">
        <w:rPr>
          <w:rFonts w:ascii="Times New Roman" w:hAnsi="Times New Roman"/>
          <w:sz w:val="24"/>
          <w:szCs w:val="24"/>
          <w:lang w:val="nl-NL"/>
        </w:rPr>
        <w:t xml:space="preserve">het ten vroegste </w:t>
      </w:r>
      <w:r w:rsidRPr="006D0278">
        <w:rPr>
          <w:rFonts w:ascii="Times New Roman" w:hAnsi="Times New Roman"/>
          <w:sz w:val="24"/>
          <w:szCs w:val="24"/>
          <w:lang w:val="nl-NL"/>
        </w:rPr>
        <w:t xml:space="preserve">op die datum </w:t>
      </w:r>
      <w:r w:rsidR="006B2704">
        <w:rPr>
          <w:rFonts w:ascii="Times New Roman" w:hAnsi="Times New Roman"/>
          <w:sz w:val="24"/>
          <w:szCs w:val="24"/>
          <w:lang w:val="nl-NL"/>
        </w:rPr>
        <w:t xml:space="preserve">is dat </w:t>
      </w:r>
      <w:r w:rsidRPr="006D0278">
        <w:rPr>
          <w:rFonts w:ascii="Times New Roman" w:hAnsi="Times New Roman"/>
          <w:sz w:val="24"/>
          <w:szCs w:val="24"/>
          <w:lang w:val="nl-NL"/>
        </w:rPr>
        <w:t xml:space="preserve">de toekenning van steun noodzakelijk geworden is. </w:t>
      </w:r>
    </w:p>
    <w:p w:rsidR="00106762" w:rsidRDefault="00106762" w:rsidP="008D286F">
      <w:pPr>
        <w:pStyle w:val="Letter"/>
        <w:ind w:left="720"/>
        <w:jc w:val="both"/>
        <w:rPr>
          <w:rFonts w:ascii="Times New Roman" w:hAnsi="Times New Roman"/>
          <w:sz w:val="24"/>
          <w:szCs w:val="24"/>
          <w:lang w:val="nl-NL"/>
        </w:rPr>
      </w:pPr>
    </w:p>
    <w:p w:rsidR="00106762" w:rsidRPr="001D2CD4" w:rsidRDefault="00106762" w:rsidP="008D286F">
      <w:pPr>
        <w:pStyle w:val="Letter"/>
        <w:ind w:left="720"/>
        <w:jc w:val="both"/>
        <w:rPr>
          <w:rFonts w:ascii="Times New Roman" w:hAnsi="Times New Roman"/>
          <w:sz w:val="24"/>
          <w:szCs w:val="24"/>
          <w:lang w:val="nl-NL"/>
        </w:rPr>
      </w:pPr>
      <w:r w:rsidRPr="001D2CD4">
        <w:rPr>
          <w:rFonts w:ascii="Times New Roman" w:hAnsi="Times New Roman"/>
          <w:sz w:val="24"/>
          <w:szCs w:val="24"/>
          <w:lang w:val="nl-NL"/>
        </w:rPr>
        <w:t>Ook als het voorwerp van de steunaanvraag het betalen van een ziekenhuisfactuur is, wordt de bevoegdheid bepaald op datum van de steunaanvraag en niet op datum van de medische verstrekking.</w:t>
      </w:r>
    </w:p>
    <w:p w:rsidR="00106762" w:rsidRPr="006D0278" w:rsidRDefault="00106762" w:rsidP="008D286F">
      <w:pPr>
        <w:pStyle w:val="Letter"/>
        <w:ind w:left="720"/>
        <w:jc w:val="both"/>
        <w:rPr>
          <w:rFonts w:ascii="Times New Roman" w:hAnsi="Times New Roman"/>
          <w:sz w:val="24"/>
          <w:szCs w:val="24"/>
          <w:lang w:val="nl-NL"/>
        </w:rPr>
      </w:pPr>
      <w:r w:rsidRPr="001D2CD4">
        <w:rPr>
          <w:rFonts w:ascii="Times New Roman" w:hAnsi="Times New Roman"/>
          <w:sz w:val="24"/>
          <w:szCs w:val="24"/>
          <w:lang w:val="nl-NL"/>
        </w:rPr>
        <w:t>Daarom is het aangewezen als de sociale dienst van het ziekenhuis zijn sociaal verslag opmaakt met daarin vermeld de verblijfplaats van betrokkene, de sociale dienst van het ziekenhuis tegelijkertijd een steunaanvraag in naam van betrokkene indient bij het OCMW waardoor het verblijf van betrokkene gekend is.</w:t>
      </w:r>
    </w:p>
    <w:p w:rsidR="0062338E" w:rsidRPr="006D0278" w:rsidRDefault="0062338E" w:rsidP="0062338E">
      <w:pPr>
        <w:pStyle w:val="Letter"/>
        <w:ind w:left="1620"/>
        <w:jc w:val="both"/>
        <w:rPr>
          <w:rFonts w:ascii="Times New Roman" w:hAnsi="Times New Roman"/>
          <w:sz w:val="24"/>
          <w:szCs w:val="24"/>
          <w:lang w:val="nl-NL"/>
        </w:rPr>
      </w:pPr>
    </w:p>
    <w:p w:rsidR="00C626B8" w:rsidRPr="00452184" w:rsidRDefault="008E706C" w:rsidP="00452184">
      <w:pPr>
        <w:ind w:firstLine="720"/>
        <w:rPr>
          <w:i/>
          <w:u w:val="single"/>
          <w:lang w:val="nl-NL"/>
        </w:rPr>
      </w:pPr>
      <w:r w:rsidRPr="00452184">
        <w:rPr>
          <w:i/>
          <w:u w:val="single"/>
          <w:lang w:val="nl-NL"/>
        </w:rPr>
        <w:lastRenderedPageBreak/>
        <w:t>Bijzondere gevallen</w:t>
      </w:r>
    </w:p>
    <w:p w:rsidR="00C626B8" w:rsidRPr="00452184" w:rsidRDefault="00C626B8" w:rsidP="00452184">
      <w:pPr>
        <w:rPr>
          <w:i/>
          <w:u w:val="single"/>
          <w:lang w:val="nl-NL"/>
        </w:rPr>
      </w:pPr>
    </w:p>
    <w:p w:rsidR="00296D5D" w:rsidRPr="00452184" w:rsidRDefault="008E706C" w:rsidP="00452184">
      <w:pPr>
        <w:ind w:firstLine="720"/>
        <w:rPr>
          <w:i/>
          <w:u w:val="single"/>
          <w:lang w:val="nl-NL"/>
        </w:rPr>
      </w:pPr>
      <w:r w:rsidRPr="00452184">
        <w:rPr>
          <w:i/>
          <w:u w:val="single"/>
          <w:lang w:val="nl-NL"/>
        </w:rPr>
        <w:t>A. Verhuis van een gemeente naar een andere</w:t>
      </w:r>
    </w:p>
    <w:p w:rsidR="00296D5D" w:rsidRPr="006D0278" w:rsidRDefault="00296D5D" w:rsidP="008D286F">
      <w:pPr>
        <w:ind w:left="720"/>
        <w:jc w:val="both"/>
        <w:rPr>
          <w:lang w:val="nl-NL"/>
        </w:rPr>
      </w:pPr>
    </w:p>
    <w:p w:rsidR="00296D5D" w:rsidRPr="006D0278" w:rsidRDefault="008E706C" w:rsidP="00296D5D">
      <w:pPr>
        <w:ind w:left="720"/>
        <w:jc w:val="both"/>
        <w:rPr>
          <w:lang w:val="nl-NL"/>
        </w:rPr>
      </w:pPr>
      <w:r w:rsidRPr="006D0278">
        <w:rPr>
          <w:lang w:val="nl-NL"/>
        </w:rPr>
        <w:t>Wanneer een persoon die een gemeente verlaat om zich in een andere gemeente te vestigen en di</w:t>
      </w:r>
      <w:r w:rsidR="00921B1B">
        <w:rPr>
          <w:lang w:val="nl-NL"/>
        </w:rPr>
        <w:t>e</w:t>
      </w:r>
      <w:r w:rsidRPr="006D0278">
        <w:rPr>
          <w:lang w:val="nl-NL"/>
        </w:rPr>
        <w:t xml:space="preserve"> steun vraagt naar aanleiding van de verhuis, meer bepaald steun om een huurwaarborg toe te kennen, zal het OCMW dat bevoegd is om deze steun toe te kennen het OCMW zijn van de gewoonlijke verblijfplaats van deze persoon. Alles zal dus afhangen van het ogenblik waarop de persoon zijn aanvraag zal doen. </w:t>
      </w:r>
    </w:p>
    <w:p w:rsidR="00296D5D" w:rsidRPr="006D0278" w:rsidRDefault="00296D5D" w:rsidP="008D286F">
      <w:pPr>
        <w:ind w:left="720"/>
        <w:jc w:val="both"/>
        <w:rPr>
          <w:lang w:val="nl-NL"/>
        </w:rPr>
      </w:pPr>
    </w:p>
    <w:p w:rsidR="00296D5D" w:rsidRPr="006D0278" w:rsidRDefault="008E706C" w:rsidP="008D286F">
      <w:pPr>
        <w:ind w:left="720"/>
        <w:jc w:val="both"/>
        <w:rPr>
          <w:lang w:val="nl-NL"/>
        </w:rPr>
      </w:pPr>
      <w:r w:rsidRPr="006D0278">
        <w:rPr>
          <w:lang w:val="nl-NL"/>
        </w:rPr>
        <w:t>Indien hij zijn aanvraag doet</w:t>
      </w:r>
      <w:r w:rsidRPr="006D0278">
        <w:rPr>
          <w:u w:val="single"/>
          <w:lang w:val="nl-NL"/>
        </w:rPr>
        <w:t xml:space="preserve"> vooraleer</w:t>
      </w:r>
      <w:r w:rsidRPr="006D0278">
        <w:rPr>
          <w:lang w:val="nl-NL"/>
        </w:rPr>
        <w:t xml:space="preserve"> hij zich in zijn nieuwe woning vestigt, zal hij zich moeten richten tot het OCMW van zijn huidige verblijfplaats en niet tot het OCMW van de gemeente op wier grondgebied zich zijn nieuwe woning bevindt.</w:t>
      </w:r>
    </w:p>
    <w:p w:rsidR="00296D5D" w:rsidRPr="006D0278" w:rsidRDefault="00296D5D" w:rsidP="008D286F">
      <w:pPr>
        <w:ind w:left="720"/>
        <w:jc w:val="both"/>
        <w:rPr>
          <w:lang w:val="nl-NL"/>
        </w:rPr>
      </w:pPr>
    </w:p>
    <w:p w:rsidR="00296D5D" w:rsidRPr="006D0278" w:rsidRDefault="008E706C" w:rsidP="00296D5D">
      <w:pPr>
        <w:ind w:left="720"/>
        <w:jc w:val="both"/>
        <w:rPr>
          <w:color w:val="000000"/>
          <w:lang w:val="nl-NL"/>
        </w:rPr>
      </w:pPr>
      <w:r w:rsidRPr="006D0278">
        <w:rPr>
          <w:color w:val="000000"/>
          <w:lang w:val="nl-NL"/>
        </w:rPr>
        <w:t xml:space="preserve">Wanneer de </w:t>
      </w:r>
      <w:r w:rsidRPr="006D0278">
        <w:rPr>
          <w:lang w:val="nl-NL"/>
        </w:rPr>
        <w:t xml:space="preserve">persoon het OCMW  steun vraagt inzake huurwaarborg, </w:t>
      </w:r>
      <w:r w:rsidR="00424679">
        <w:rPr>
          <w:u w:val="single"/>
          <w:lang w:val="nl-NL"/>
        </w:rPr>
        <w:t>N</w:t>
      </w:r>
      <w:r w:rsidRPr="006D0278">
        <w:rPr>
          <w:u w:val="single"/>
          <w:lang w:val="nl-NL"/>
        </w:rPr>
        <w:t>adat</w:t>
      </w:r>
      <w:r w:rsidRPr="006D0278">
        <w:rPr>
          <w:lang w:val="nl-NL"/>
        </w:rPr>
        <w:t xml:space="preserve"> hij zich in zijn nieuwe woning heeft gevestigd, zal hij zich dus moeten richten tot het gemeente waar zijn nieuwe woning zich bevindt. </w:t>
      </w:r>
      <w:r w:rsidRPr="006D0278">
        <w:rPr>
          <w:color w:val="000000"/>
          <w:lang w:val="nl-NL"/>
        </w:rPr>
        <w:t xml:space="preserve">Wanneer de aanvrager zich in de nieuwe gemeente heeft gevestigd, die voortaan zijn gewoonlijke en effectieve verblijfplaats zal worden, is het OCMW van deze nieuwe gemeente </w:t>
      </w:r>
      <w:r w:rsidR="00951DE5" w:rsidRPr="006D0278">
        <w:rPr>
          <w:color w:val="000000"/>
          <w:lang w:val="nl-NL"/>
        </w:rPr>
        <w:t xml:space="preserve">bevoegd. </w:t>
      </w:r>
    </w:p>
    <w:p w:rsidR="00296D5D" w:rsidRPr="006D0278" w:rsidRDefault="00296D5D" w:rsidP="008D286F">
      <w:pPr>
        <w:ind w:left="720"/>
        <w:jc w:val="both"/>
        <w:rPr>
          <w:lang w:val="nl-NL"/>
        </w:rPr>
      </w:pPr>
    </w:p>
    <w:p w:rsidR="00427D84" w:rsidRPr="006D0278" w:rsidRDefault="008E706C" w:rsidP="00427D84">
      <w:pPr>
        <w:ind w:left="720"/>
        <w:jc w:val="both"/>
        <w:rPr>
          <w:lang w:val="nl-NL"/>
        </w:rPr>
      </w:pPr>
      <w:r w:rsidRPr="006D0278">
        <w:rPr>
          <w:lang w:val="nl-NL"/>
        </w:rPr>
        <w:t>Bepaalde OCMW's verklaren zich, ten onrechte, onbevoegd omdat zij van mening zijn dat het OCMW van de plaats die men verlaat bevoegd is om een huurwaarborg toe te kennen. Welnu, het OCMW van de vroegere verblijfplaats is niet meer bevoegd om een huurwaarborg toe te kennen voor een gebouw dat in een andere gemeente is gevestigd en waarin de aanvrager reeds een bepaalde tijd verblijft. Het OCMW van de gemeente die de betrokkene heeft verlaten is niet meer bevoegd om een huurwaarborg toe te kennen, indien de betrokkene reeds op het grondgebied van een andere gemeente is gevestigd op het ogenblik van zijn steunaanvraag.</w:t>
      </w:r>
    </w:p>
    <w:p w:rsidR="00296D5D" w:rsidRPr="006D0278" w:rsidRDefault="00296D5D" w:rsidP="008D286F">
      <w:pPr>
        <w:ind w:left="720"/>
        <w:jc w:val="both"/>
        <w:rPr>
          <w:lang w:val="nl-NL"/>
        </w:rPr>
      </w:pPr>
    </w:p>
    <w:p w:rsidR="00296D5D" w:rsidRPr="006D0278" w:rsidRDefault="00296D5D" w:rsidP="008D286F">
      <w:pPr>
        <w:ind w:left="720"/>
        <w:jc w:val="both"/>
        <w:rPr>
          <w:lang w:val="nl-NL"/>
        </w:rPr>
      </w:pPr>
    </w:p>
    <w:p w:rsidR="00427D84" w:rsidRPr="001A3A9B" w:rsidRDefault="008E706C" w:rsidP="001A3A9B">
      <w:pPr>
        <w:ind w:firstLine="720"/>
        <w:rPr>
          <w:i/>
          <w:u w:val="single"/>
          <w:lang w:val="nl-NL"/>
        </w:rPr>
      </w:pPr>
      <w:r w:rsidRPr="001A3A9B">
        <w:rPr>
          <w:i/>
          <w:u w:val="single"/>
          <w:lang w:val="nl-NL"/>
        </w:rPr>
        <w:t>B. Achterstallige facturen</w:t>
      </w:r>
    </w:p>
    <w:p w:rsidR="00427D84" w:rsidRPr="006D0278" w:rsidRDefault="00427D84" w:rsidP="00427D84">
      <w:pPr>
        <w:autoSpaceDE w:val="0"/>
        <w:autoSpaceDN w:val="0"/>
        <w:adjustRightInd w:val="0"/>
        <w:jc w:val="both"/>
        <w:rPr>
          <w:lang w:val="nl-NL"/>
        </w:rPr>
      </w:pPr>
    </w:p>
    <w:p w:rsidR="00427D84" w:rsidRPr="006D0278" w:rsidRDefault="008E706C" w:rsidP="00427D84">
      <w:pPr>
        <w:autoSpaceDE w:val="0"/>
        <w:autoSpaceDN w:val="0"/>
        <w:adjustRightInd w:val="0"/>
        <w:ind w:left="720"/>
        <w:jc w:val="both"/>
        <w:rPr>
          <w:lang w:val="nl-NL"/>
        </w:rPr>
      </w:pPr>
      <w:r w:rsidRPr="006D0278">
        <w:rPr>
          <w:lang w:val="nl-NL"/>
        </w:rPr>
        <w:t>Wanneer de persoon een aanvraag tot maatschappelijke dienstverlening indient met het oog op de betaling van een factuur, is het OCMW van de gemeente waar hij gewoonlijk verblijft op het ogenblik van zijn aanvraag bevoegd om zijn aanvraag te onderzoeken.</w:t>
      </w:r>
    </w:p>
    <w:p w:rsidR="00296D5D" w:rsidRPr="006D0278" w:rsidRDefault="00296D5D" w:rsidP="008D286F">
      <w:pPr>
        <w:ind w:left="720"/>
        <w:jc w:val="both"/>
        <w:rPr>
          <w:lang w:val="nl-NL"/>
        </w:rPr>
      </w:pPr>
    </w:p>
    <w:p w:rsidR="00427D84" w:rsidRPr="006D0278" w:rsidRDefault="008E706C" w:rsidP="008D286F">
      <w:pPr>
        <w:ind w:left="720"/>
        <w:jc w:val="both"/>
        <w:rPr>
          <w:lang w:val="nl-NL"/>
        </w:rPr>
      </w:pPr>
      <w:r w:rsidRPr="006D0278">
        <w:rPr>
          <w:lang w:val="nl-NL"/>
        </w:rPr>
        <w:t>Het OCMW van de gemeente waar de persoon verblijft op het ogenblik van de steunaanvraag is bevoegd om de aanvraag tot tenlasteneming te onderzoeken van de achterstallige facturen voor waterverbruik die betrekking hebben op de oude woning gevestigd op het grondgebied van een andere gemeente.</w:t>
      </w:r>
    </w:p>
    <w:p w:rsidR="00427D84" w:rsidRPr="006D0278" w:rsidRDefault="00427D84" w:rsidP="008D286F">
      <w:pPr>
        <w:ind w:left="720"/>
        <w:jc w:val="both"/>
        <w:rPr>
          <w:lang w:val="nl-NL"/>
        </w:rPr>
      </w:pPr>
    </w:p>
    <w:p w:rsidR="009124F3" w:rsidRPr="006D0278" w:rsidRDefault="009124F3" w:rsidP="008D286F">
      <w:pPr>
        <w:ind w:left="720"/>
        <w:jc w:val="both"/>
        <w:rPr>
          <w:i/>
          <w:lang w:val="nl-NL"/>
        </w:rPr>
      </w:pPr>
    </w:p>
    <w:p w:rsidR="009124F3" w:rsidRPr="006D0278" w:rsidRDefault="008E706C" w:rsidP="008D286F">
      <w:pPr>
        <w:ind w:left="720"/>
        <w:jc w:val="both"/>
        <w:rPr>
          <w:i/>
          <w:lang w:val="nl-NL"/>
        </w:rPr>
      </w:pPr>
      <w:r w:rsidRPr="006D0278">
        <w:rPr>
          <w:i/>
          <w:u w:val="single"/>
          <w:lang w:val="nl-NL"/>
        </w:rPr>
        <w:t>Voorbeeld</w:t>
      </w:r>
      <w:r w:rsidRPr="006D0278">
        <w:rPr>
          <w:i/>
          <w:lang w:val="nl-NL"/>
        </w:rPr>
        <w:t xml:space="preserve">: </w:t>
      </w:r>
    </w:p>
    <w:p w:rsidR="009124F3" w:rsidRPr="006D0278" w:rsidRDefault="009124F3" w:rsidP="008D286F">
      <w:pPr>
        <w:ind w:left="720"/>
        <w:jc w:val="both"/>
        <w:rPr>
          <w:i/>
          <w:lang w:val="nl-NL"/>
        </w:rPr>
      </w:pPr>
    </w:p>
    <w:p w:rsidR="00427D84" w:rsidRPr="006D0278" w:rsidRDefault="008E706C" w:rsidP="008D286F">
      <w:pPr>
        <w:ind w:left="720"/>
        <w:jc w:val="both"/>
        <w:rPr>
          <w:i/>
          <w:lang w:val="nl-NL"/>
        </w:rPr>
      </w:pPr>
      <w:r w:rsidRPr="006D0278">
        <w:rPr>
          <w:i/>
          <w:lang w:val="nl-NL"/>
        </w:rPr>
        <w:t>De betrokkene verblijft in gemeente X en heeft een aanvraag tot maatschappelijke dienstverlening ingediend bij het OCMW van gemeente X voor de tenlasteneming van facturen voor de af</w:t>
      </w:r>
      <w:r w:rsidR="00951DE5">
        <w:rPr>
          <w:i/>
          <w:lang w:val="nl-NL"/>
        </w:rPr>
        <w:t>s</w:t>
      </w:r>
      <w:r w:rsidRPr="006D0278">
        <w:rPr>
          <w:i/>
          <w:lang w:val="nl-NL"/>
        </w:rPr>
        <w:t xml:space="preserve">luiting van water en elektriciteit van een vorige woning die gelegen was in gemeente Y. Het OCMW van gemeente X heeft zich onbevoegd verklaard op basis van artikel 1, 1°, van de wet van 02/04/1965 en heeft de aanvraag bezorgd aan het OCMW van gemeente Y, met als motief dat de betrokkene in gemeente Y verbleef en het </w:t>
      </w:r>
      <w:r w:rsidRPr="006D0278">
        <w:rPr>
          <w:i/>
          <w:lang w:val="nl-NL"/>
        </w:rPr>
        <w:lastRenderedPageBreak/>
        <w:t>energieverbruik betrekking had op de woning gevestigd in gemeente Y. Het OCMW van gemeente X is bevoegd om de steunaanvraag te onderzoeken, aangezien de betrokkene, op het ogenblik van zijn steunaanvraag, zijn gewoonlijke verblijfplaats had in gemeente X.</w:t>
      </w:r>
    </w:p>
    <w:p w:rsidR="00427D84" w:rsidRPr="006D0278" w:rsidRDefault="00427D84" w:rsidP="008D286F">
      <w:pPr>
        <w:ind w:left="720"/>
        <w:jc w:val="both"/>
        <w:rPr>
          <w:lang w:val="nl-NL"/>
        </w:rPr>
      </w:pPr>
    </w:p>
    <w:p w:rsidR="00427D84" w:rsidRPr="006D0278" w:rsidRDefault="00427D84" w:rsidP="008D286F">
      <w:pPr>
        <w:ind w:left="720"/>
        <w:jc w:val="both"/>
        <w:rPr>
          <w:lang w:val="nl-NL"/>
        </w:rPr>
      </w:pPr>
    </w:p>
    <w:p w:rsidR="00296D5D" w:rsidRPr="006D0278" w:rsidRDefault="008E706C" w:rsidP="00470771">
      <w:pPr>
        <w:pStyle w:val="Heading4"/>
        <w:ind w:left="540" w:firstLine="360"/>
        <w:rPr>
          <w:b w:val="0"/>
          <w:bCs w:val="0"/>
          <w:u w:val="single"/>
          <w:lang w:val="nl-NL"/>
        </w:rPr>
      </w:pPr>
      <w:bookmarkStart w:id="35" w:name="_Toc510775742"/>
      <w:r w:rsidRPr="006D0278">
        <w:rPr>
          <w:b w:val="0"/>
          <w:bCs w:val="0"/>
          <w:u w:val="single"/>
          <w:lang w:val="nl-NL"/>
        </w:rPr>
        <w:t>3.2. Bepaling van de gewoonlijke verblijfplaats</w:t>
      </w:r>
      <w:bookmarkEnd w:id="35"/>
    </w:p>
    <w:p w:rsidR="00537A63" w:rsidRPr="006D0278" w:rsidRDefault="00537A63" w:rsidP="00537A63">
      <w:pPr>
        <w:ind w:left="720"/>
        <w:jc w:val="both"/>
        <w:rPr>
          <w:lang w:val="nl-NL"/>
        </w:rPr>
      </w:pPr>
    </w:p>
    <w:p w:rsidR="00427D84" w:rsidRPr="006D0278" w:rsidRDefault="008E706C" w:rsidP="00537A63">
      <w:pPr>
        <w:ind w:left="720"/>
        <w:jc w:val="both"/>
        <w:rPr>
          <w:lang w:val="nl-NL"/>
        </w:rPr>
      </w:pPr>
      <w:r w:rsidRPr="006D0278">
        <w:rPr>
          <w:lang w:val="nl-NL"/>
        </w:rPr>
        <w:t>Het OCMW van de gemeente waar de persoon zijn</w:t>
      </w:r>
      <w:r w:rsidRPr="00CD7A69">
        <w:rPr>
          <w:b/>
          <w:lang w:val="nl-NL"/>
        </w:rPr>
        <w:t xml:space="preserve"> </w:t>
      </w:r>
      <w:r w:rsidRPr="006D0278">
        <w:rPr>
          <w:b/>
          <w:u w:val="single"/>
          <w:lang w:val="nl-NL"/>
        </w:rPr>
        <w:t xml:space="preserve">gewoonlijke en effectieve </w:t>
      </w:r>
      <w:r w:rsidRPr="006D0278">
        <w:rPr>
          <w:lang w:val="nl-NL"/>
        </w:rPr>
        <w:t>verblijfplaats heeft is bevoegd</w:t>
      </w:r>
      <w:r w:rsidR="001D57CE">
        <w:rPr>
          <w:lang w:val="nl-NL"/>
        </w:rPr>
        <w:t xml:space="preserve"> </w:t>
      </w:r>
      <w:r w:rsidRPr="006D0278">
        <w:rPr>
          <w:lang w:val="nl-NL"/>
        </w:rPr>
        <w:t>om hem steun te verlenen.</w:t>
      </w:r>
    </w:p>
    <w:p w:rsidR="00427D84" w:rsidRPr="006D0278" w:rsidRDefault="00427D84" w:rsidP="00427D84">
      <w:pPr>
        <w:ind w:left="720"/>
        <w:jc w:val="both"/>
        <w:rPr>
          <w:lang w:val="nl-NL"/>
        </w:rPr>
      </w:pPr>
    </w:p>
    <w:p w:rsidR="00427D84" w:rsidRPr="006D0278" w:rsidRDefault="008E706C" w:rsidP="00427D84">
      <w:pPr>
        <w:ind w:left="720"/>
        <w:jc w:val="both"/>
        <w:rPr>
          <w:lang w:val="nl-NL"/>
        </w:rPr>
      </w:pPr>
      <w:r w:rsidRPr="006D0278">
        <w:rPr>
          <w:lang w:val="nl-NL"/>
        </w:rPr>
        <w:t xml:space="preserve">De bepaling van de gewoonlijke verblijfplaats van de aanvrager is een </w:t>
      </w:r>
      <w:r w:rsidRPr="006D0278">
        <w:rPr>
          <w:b/>
          <w:u w:val="single"/>
          <w:lang w:val="nl-NL"/>
        </w:rPr>
        <w:t>feitelijke kwestie</w:t>
      </w:r>
      <w:r w:rsidRPr="006D0278">
        <w:rPr>
          <w:lang w:val="nl-NL"/>
        </w:rPr>
        <w:t xml:space="preserve"> en wordt afgeleid uit het geheel van feitelijke omstandigheden. </w:t>
      </w:r>
    </w:p>
    <w:p w:rsidR="00E8676F" w:rsidRPr="006D0278" w:rsidRDefault="00E8676F" w:rsidP="00427D84">
      <w:pPr>
        <w:ind w:left="720"/>
        <w:jc w:val="both"/>
        <w:rPr>
          <w:lang w:val="nl-NL"/>
        </w:rPr>
      </w:pPr>
    </w:p>
    <w:p w:rsidR="00E8676F" w:rsidRPr="006D0278" w:rsidRDefault="008E706C" w:rsidP="00E8676F">
      <w:pPr>
        <w:ind w:left="720"/>
        <w:jc w:val="both"/>
        <w:rPr>
          <w:lang w:val="nl-NL"/>
        </w:rPr>
      </w:pPr>
      <w:r w:rsidRPr="006D0278">
        <w:rPr>
          <w:lang w:val="nl-NL"/>
        </w:rPr>
        <w:t xml:space="preserve">De gemeente waar de persoon gedomicilieerd is (die wil zeggen ingeschreven in de rijksregisters) komt normaal overeen met zijn gewoonlijke verblijfplaats, maar niet noodzakelijk (een persoon kan, bijvoorbeeld, nog steeds gedomicilieerd zijn op een oud adres en feitelijk elders verblijven). De feitelijke </w:t>
      </w:r>
      <w:r w:rsidR="001D57CE">
        <w:rPr>
          <w:lang w:val="nl-NL"/>
        </w:rPr>
        <w:t>situatie</w:t>
      </w:r>
      <w:r w:rsidRPr="006D0278">
        <w:rPr>
          <w:lang w:val="nl-NL"/>
        </w:rPr>
        <w:t xml:space="preserve"> (verblijft de persoon gewoonlijk en effectief op het grondgebied van de gemeente?) </w:t>
      </w:r>
      <w:r w:rsidR="001D57CE">
        <w:rPr>
          <w:lang w:val="nl-NL"/>
        </w:rPr>
        <w:t>primeert</w:t>
      </w:r>
      <w:r w:rsidRPr="006D0278">
        <w:rPr>
          <w:lang w:val="nl-NL"/>
        </w:rPr>
        <w:t xml:space="preserve"> </w:t>
      </w:r>
      <w:r w:rsidR="001D57CE">
        <w:rPr>
          <w:lang w:val="nl-NL"/>
        </w:rPr>
        <w:t>op</w:t>
      </w:r>
      <w:r w:rsidRPr="006D0278">
        <w:rPr>
          <w:lang w:val="nl-NL"/>
        </w:rPr>
        <w:t xml:space="preserve"> de administratieve situatie (inschrijving in de rijksregisters).</w:t>
      </w:r>
    </w:p>
    <w:p w:rsidR="00E8676F" w:rsidRPr="006D0278" w:rsidRDefault="00E8676F" w:rsidP="00E8676F">
      <w:pPr>
        <w:ind w:left="720"/>
        <w:jc w:val="both"/>
        <w:rPr>
          <w:lang w:val="nl-NL"/>
        </w:rPr>
      </w:pPr>
    </w:p>
    <w:p w:rsidR="00E8676F" w:rsidRPr="006D0278" w:rsidRDefault="008E706C" w:rsidP="00E8676F">
      <w:pPr>
        <w:ind w:left="720"/>
        <w:jc w:val="both"/>
        <w:rPr>
          <w:lang w:val="nl-NL"/>
        </w:rPr>
      </w:pPr>
      <w:r w:rsidRPr="006D0278">
        <w:rPr>
          <w:u w:val="single"/>
          <w:lang w:val="nl-NL"/>
        </w:rPr>
        <w:t>De inschrijving in het bevolkingsregister</w:t>
      </w:r>
      <w:r w:rsidRPr="006D0278">
        <w:rPr>
          <w:lang w:val="nl-NL"/>
        </w:rPr>
        <w:t xml:space="preserve"> kan een aanwijzing zijn van een gewoonlijk verblijf in een bepaalde gemeente, maar zij vormt geen bepalend en beslissend element.</w:t>
      </w:r>
    </w:p>
    <w:p w:rsidR="00E8676F" w:rsidRPr="006D0278" w:rsidRDefault="00E8676F" w:rsidP="00E8676F">
      <w:pPr>
        <w:ind w:left="720"/>
        <w:jc w:val="both"/>
        <w:rPr>
          <w:lang w:val="nl-NL"/>
        </w:rPr>
      </w:pPr>
    </w:p>
    <w:p w:rsidR="00E8676F" w:rsidRPr="006D0278" w:rsidRDefault="008E706C" w:rsidP="00E8676F">
      <w:pPr>
        <w:autoSpaceDE w:val="0"/>
        <w:autoSpaceDN w:val="0"/>
        <w:adjustRightInd w:val="0"/>
        <w:ind w:left="720"/>
        <w:jc w:val="both"/>
        <w:rPr>
          <w:u w:val="single"/>
          <w:lang w:val="nl-NL"/>
        </w:rPr>
      </w:pPr>
      <w:r w:rsidRPr="006D0278">
        <w:rPr>
          <w:lang w:val="nl-NL"/>
        </w:rPr>
        <w:t>Het bevoegd OCMW wordt bepaald ten aanzien van de gewoonlijke en effectieve verblijfplaats en niet van de inschrijvingsplaats in de bevolkingsregisters.</w:t>
      </w:r>
    </w:p>
    <w:p w:rsidR="00E8676F" w:rsidRPr="006D0278" w:rsidRDefault="00E8676F" w:rsidP="008D286F">
      <w:pPr>
        <w:pStyle w:val="Letter"/>
        <w:ind w:left="720"/>
        <w:jc w:val="both"/>
        <w:rPr>
          <w:rFonts w:ascii="Times New Roman" w:hAnsi="Times New Roman"/>
          <w:i/>
          <w:sz w:val="24"/>
          <w:szCs w:val="24"/>
          <w:lang w:val="nl-NL"/>
        </w:rPr>
      </w:pPr>
    </w:p>
    <w:p w:rsidR="00AD4B7C" w:rsidRPr="006D0278" w:rsidRDefault="008E706C" w:rsidP="00427D84">
      <w:pPr>
        <w:pStyle w:val="Opmaakprofiel1"/>
        <w:ind w:left="720"/>
        <w:rPr>
          <w:u w:val="none"/>
        </w:rPr>
      </w:pPr>
      <w:r w:rsidRPr="006D0278">
        <w:rPr>
          <w:u w:val="none"/>
        </w:rPr>
        <w:t>De duur van het verblijf vormt geen bepalend element om de gewoonlijke verblijfplaats vast te stellen.</w:t>
      </w:r>
    </w:p>
    <w:p w:rsidR="00AD4B7C" w:rsidRPr="006D0278" w:rsidRDefault="00AD4B7C" w:rsidP="00AD4B7C">
      <w:pPr>
        <w:pStyle w:val="Opmaakprofiel1"/>
        <w:ind w:left="720"/>
        <w:rPr>
          <w:u w:val="none"/>
        </w:rPr>
      </w:pPr>
    </w:p>
    <w:p w:rsidR="00427D84" w:rsidRPr="006D0278" w:rsidRDefault="008E706C" w:rsidP="00427D84">
      <w:pPr>
        <w:pStyle w:val="Opmaakprofiel1"/>
        <w:ind w:left="720"/>
        <w:rPr>
          <w:bCs/>
          <w:i/>
        </w:rPr>
      </w:pPr>
      <w:r w:rsidRPr="006D0278">
        <w:rPr>
          <w:bCs/>
          <w:i/>
        </w:rPr>
        <w:t xml:space="preserve">Voorbeeld: </w:t>
      </w:r>
    </w:p>
    <w:p w:rsidR="00427D84" w:rsidRPr="006D0278" w:rsidRDefault="008E706C" w:rsidP="00427D84">
      <w:pPr>
        <w:pStyle w:val="Opmaakprofiel1"/>
        <w:ind w:left="720"/>
        <w:rPr>
          <w:i/>
          <w:u w:val="none"/>
        </w:rPr>
      </w:pPr>
      <w:r w:rsidRPr="006D0278">
        <w:rPr>
          <w:i/>
          <w:u w:val="none"/>
        </w:rPr>
        <w:t>Een persoon is gedomicilieerd in gemeente X; hij heeft zijn domicilie definitief moeten verlaten en verblijft sinds 2 weken bij een kennis in gemeente Y, in afwachting van het vinden van een andere woning.</w:t>
      </w:r>
    </w:p>
    <w:p w:rsidR="00427D84" w:rsidRDefault="008E706C" w:rsidP="00427D84">
      <w:pPr>
        <w:pStyle w:val="Opmaakprofiel1"/>
        <w:ind w:left="720"/>
        <w:rPr>
          <w:i/>
          <w:u w:val="none"/>
        </w:rPr>
      </w:pPr>
      <w:r w:rsidRPr="006D0278">
        <w:rPr>
          <w:i/>
          <w:u w:val="none"/>
        </w:rPr>
        <w:t xml:space="preserve">Zijn gewoonlijke verblijfplaats bevindt zich in gemeente Y, zelfs al verblijft hij er pas twee weken en is hij nog steeds gedomicilieerd in gemeente X. </w:t>
      </w:r>
    </w:p>
    <w:p w:rsidR="005B4475" w:rsidRDefault="005B4475" w:rsidP="00427D84">
      <w:pPr>
        <w:pStyle w:val="Opmaakprofiel1"/>
        <w:ind w:left="720"/>
        <w:rPr>
          <w:i/>
          <w:u w:val="none"/>
        </w:rPr>
      </w:pPr>
    </w:p>
    <w:p w:rsidR="005B4475" w:rsidRPr="001D2CD4" w:rsidRDefault="005B4475" w:rsidP="00427D84">
      <w:pPr>
        <w:pStyle w:val="Opmaakprofiel1"/>
        <w:ind w:left="720"/>
        <w:rPr>
          <w:u w:val="none"/>
        </w:rPr>
      </w:pPr>
      <w:r w:rsidRPr="001D2CD4">
        <w:rPr>
          <w:u w:val="none"/>
        </w:rPr>
        <w:t xml:space="preserve">Bij het bepalen van het gewoonlijk verblijf op datum steunaanvraag en </w:t>
      </w:r>
      <w:r w:rsidR="00E60E5B" w:rsidRPr="001D2CD4">
        <w:rPr>
          <w:u w:val="none"/>
        </w:rPr>
        <w:t xml:space="preserve">wanneer </w:t>
      </w:r>
      <w:r w:rsidRPr="001D2CD4">
        <w:rPr>
          <w:u w:val="none"/>
        </w:rPr>
        <w:t xml:space="preserve">het voorwerp van de steunaanvraag is het betalen van een ziekenhuisfactuur, kan er gekeken worden of </w:t>
      </w:r>
      <w:r w:rsidR="00E60E5B" w:rsidRPr="001D2CD4">
        <w:rPr>
          <w:u w:val="none"/>
        </w:rPr>
        <w:t xml:space="preserve">er </w:t>
      </w:r>
      <w:r w:rsidRPr="001D2CD4">
        <w:rPr>
          <w:u w:val="none"/>
        </w:rPr>
        <w:t>een OCMW een medische kaart voor de steunaanvrager heeft geopend.</w:t>
      </w:r>
    </w:p>
    <w:p w:rsidR="005B4475" w:rsidRPr="001D2CD4" w:rsidRDefault="005B4475" w:rsidP="00427D84">
      <w:pPr>
        <w:pStyle w:val="Opmaakprofiel1"/>
        <w:ind w:left="720"/>
        <w:rPr>
          <w:u w:val="none"/>
        </w:rPr>
      </w:pPr>
    </w:p>
    <w:p w:rsidR="005B4475" w:rsidRPr="001D2CD4" w:rsidRDefault="005B4475" w:rsidP="00427D84">
      <w:pPr>
        <w:pStyle w:val="Opmaakprofiel1"/>
        <w:ind w:left="720"/>
        <w:rPr>
          <w:i/>
        </w:rPr>
      </w:pPr>
      <w:r w:rsidRPr="001D2CD4">
        <w:rPr>
          <w:i/>
        </w:rPr>
        <w:t>Voorbeeld :</w:t>
      </w:r>
    </w:p>
    <w:p w:rsidR="005B4475" w:rsidRPr="00E60E5B" w:rsidRDefault="005B4475" w:rsidP="00427D84">
      <w:pPr>
        <w:pStyle w:val="Opmaakprofiel1"/>
        <w:ind w:left="720"/>
        <w:rPr>
          <w:i/>
          <w:u w:val="none"/>
        </w:rPr>
      </w:pPr>
      <w:r w:rsidRPr="001D2CD4">
        <w:rPr>
          <w:i/>
          <w:u w:val="none"/>
        </w:rPr>
        <w:t xml:space="preserve">Illegale is 10/09/2017 opgenomen in een algemeen ziekenhuis. Op 20/09/2017 heeft het ziekenhuis in naam van betrokkene een steunaanvraag ingediend. </w:t>
      </w:r>
      <w:r w:rsidR="00E60E5B" w:rsidRPr="001D2CD4">
        <w:rPr>
          <w:i/>
          <w:u w:val="none"/>
        </w:rPr>
        <w:t>Het gewoonlijk verblijf van betrokkene kan niet worden vastgesteld maar het OCMW van gemeente X heeft 09/09/2017 een medische kaart geopend voor betrokkene dan kan worden geconcludeerd dat het OCMW van gemeente X bevoegd is voor betalen van ziekenhuisfactuur.</w:t>
      </w:r>
    </w:p>
    <w:p w:rsidR="00427D84" w:rsidRPr="006D0278" w:rsidRDefault="00427D84" w:rsidP="00AD4B7C">
      <w:pPr>
        <w:pStyle w:val="Opmaakprofiel1"/>
        <w:ind w:left="720"/>
        <w:rPr>
          <w:u w:val="none"/>
        </w:rPr>
      </w:pPr>
    </w:p>
    <w:p w:rsidR="00427D84" w:rsidRPr="006D0278" w:rsidRDefault="00427D84" w:rsidP="00AD4B7C">
      <w:pPr>
        <w:pStyle w:val="Opmaakprofiel1"/>
        <w:ind w:left="720"/>
        <w:rPr>
          <w:u w:val="none"/>
        </w:rPr>
      </w:pPr>
    </w:p>
    <w:p w:rsidR="00537A63" w:rsidRPr="006D0278" w:rsidRDefault="008E706C" w:rsidP="00470771">
      <w:pPr>
        <w:pStyle w:val="Heading4"/>
        <w:ind w:left="540" w:firstLine="360"/>
        <w:rPr>
          <w:b w:val="0"/>
          <w:bCs w:val="0"/>
          <w:u w:val="single"/>
          <w:lang w:val="nl-NL"/>
        </w:rPr>
      </w:pPr>
      <w:bookmarkStart w:id="36" w:name="_Toc510775743"/>
      <w:r w:rsidRPr="006D0278">
        <w:rPr>
          <w:b w:val="0"/>
          <w:bCs w:val="0"/>
          <w:u w:val="single"/>
          <w:lang w:val="nl-NL"/>
        </w:rPr>
        <w:lastRenderedPageBreak/>
        <w:t>3.3. De toevallige verblijfplaats</w:t>
      </w:r>
      <w:bookmarkEnd w:id="36"/>
    </w:p>
    <w:p w:rsidR="00537A63" w:rsidRPr="006D0278" w:rsidRDefault="00537A63" w:rsidP="00537A63">
      <w:pPr>
        <w:pStyle w:val="Opmaakprofiel1"/>
        <w:ind w:left="720"/>
      </w:pPr>
    </w:p>
    <w:p w:rsidR="00AD4B7C" w:rsidRPr="006D0278" w:rsidRDefault="008E706C" w:rsidP="00537A63">
      <w:pPr>
        <w:pStyle w:val="Opmaakprofiel1"/>
        <w:ind w:left="720"/>
        <w:rPr>
          <w:u w:val="none"/>
        </w:rPr>
      </w:pPr>
      <w:r w:rsidRPr="006D0278">
        <w:rPr>
          <w:u w:val="none"/>
        </w:rPr>
        <w:t>De toevallige verblijfplaats is die waar men op doortocht is, die waar de betrokkene regelmatig terugkeert, zonder dat het zijn belangrijkste levensplaats is; wat veronderstelt dat de betrokkene over een andere verblijfplaats beschikt die zijn gewoonlijke verblijfplaats is.</w:t>
      </w:r>
    </w:p>
    <w:p w:rsidR="00AD4B7C" w:rsidRPr="006D0278" w:rsidRDefault="00AD4B7C" w:rsidP="00AD4B7C">
      <w:pPr>
        <w:pStyle w:val="Opmaakprofiel1"/>
        <w:ind w:left="720"/>
        <w:rPr>
          <w:u w:val="none"/>
        </w:rPr>
      </w:pPr>
    </w:p>
    <w:p w:rsidR="00427D84" w:rsidRPr="006D0278" w:rsidRDefault="008E706C" w:rsidP="00427D84">
      <w:pPr>
        <w:ind w:left="720"/>
        <w:jc w:val="both"/>
        <w:rPr>
          <w:lang w:val="nl-NL"/>
        </w:rPr>
      </w:pPr>
      <w:r w:rsidRPr="006D0278">
        <w:rPr>
          <w:lang w:val="nl-NL"/>
        </w:rPr>
        <w:t>Wanneer de persoon</w:t>
      </w:r>
      <w:r w:rsidRPr="006D0278">
        <w:rPr>
          <w:u w:val="single"/>
          <w:lang w:val="nl-NL"/>
        </w:rPr>
        <w:t xml:space="preserve"> op een camping verblijft</w:t>
      </w:r>
      <w:r w:rsidRPr="006D0278">
        <w:rPr>
          <w:lang w:val="nl-NL"/>
        </w:rPr>
        <w:t>, kan die beschouwd worden als een gewoonlijke of toevallige verblijfplaats, volgens de feitelijke omstandigheden.</w:t>
      </w:r>
    </w:p>
    <w:p w:rsidR="00D03B04" w:rsidRDefault="00D03B04" w:rsidP="00427D84">
      <w:pPr>
        <w:ind w:left="720"/>
        <w:rPr>
          <w:b/>
          <w:lang w:val="nl-NL"/>
        </w:rPr>
      </w:pPr>
    </w:p>
    <w:p w:rsidR="00452184" w:rsidRPr="006D0278" w:rsidRDefault="00452184" w:rsidP="00427D84">
      <w:pPr>
        <w:ind w:left="720"/>
        <w:rPr>
          <w:b/>
          <w:lang w:val="nl-NL"/>
        </w:rPr>
      </w:pPr>
    </w:p>
    <w:p w:rsidR="00D03B04" w:rsidRPr="006D0278" w:rsidRDefault="008E706C" w:rsidP="00427D84">
      <w:pPr>
        <w:ind w:left="720"/>
        <w:rPr>
          <w:bCs/>
          <w:i/>
          <w:lang w:val="nl-NL"/>
        </w:rPr>
      </w:pPr>
      <w:r w:rsidRPr="006D0278">
        <w:rPr>
          <w:bCs/>
          <w:i/>
          <w:u w:val="single"/>
          <w:lang w:val="nl-NL"/>
        </w:rPr>
        <w:t>Voorbeeld</w:t>
      </w:r>
      <w:r w:rsidRPr="006D0278">
        <w:rPr>
          <w:bCs/>
          <w:i/>
          <w:lang w:val="nl-NL"/>
        </w:rPr>
        <w:t>:</w:t>
      </w:r>
    </w:p>
    <w:p w:rsidR="00D03B04" w:rsidRPr="006D0278" w:rsidRDefault="00D03B04" w:rsidP="00427D84">
      <w:pPr>
        <w:ind w:left="720"/>
        <w:rPr>
          <w:bCs/>
          <w:lang w:val="nl-NL"/>
        </w:rPr>
      </w:pPr>
    </w:p>
    <w:p w:rsidR="00D03B04" w:rsidRPr="006D0278" w:rsidRDefault="008E706C" w:rsidP="00D03B04">
      <w:pPr>
        <w:ind w:left="720"/>
        <w:jc w:val="both"/>
        <w:rPr>
          <w:b/>
          <w:i/>
          <w:lang w:val="nl-NL"/>
        </w:rPr>
      </w:pPr>
      <w:r w:rsidRPr="006D0278">
        <w:rPr>
          <w:bCs/>
          <w:i/>
          <w:lang w:val="nl-NL"/>
        </w:rPr>
        <w:t>De betrokkene verblijft op een camping die gevestigd is in gemeente X en heeft geen andere verblijfplaats. Het OCMW van gemeente X is bevoegd om de steunaanvraag te onderzoeken, aangezien de betrokkene gewoonlijk op het grondgebied van gemeente X verbleef op het ogenblik van zijn steunaanvraag</w:t>
      </w:r>
      <w:r w:rsidRPr="006D0278">
        <w:rPr>
          <w:b/>
          <w:i/>
          <w:lang w:val="nl-NL"/>
        </w:rPr>
        <w:t>.</w:t>
      </w:r>
    </w:p>
    <w:p w:rsidR="00D03B04" w:rsidRPr="006D0278" w:rsidRDefault="008E706C" w:rsidP="00D03B04">
      <w:pPr>
        <w:spacing w:after="200"/>
        <w:ind w:left="720"/>
        <w:jc w:val="both"/>
        <w:rPr>
          <w:i/>
          <w:lang w:val="nl-NL"/>
        </w:rPr>
      </w:pPr>
      <w:r w:rsidRPr="006D0278">
        <w:rPr>
          <w:i/>
          <w:lang w:val="nl-NL"/>
        </w:rPr>
        <w:t>Als de persoon, echter, over een woning beschikt op het grondgebied van een andere gemeente en enkele weken op de camping doorbrengt, moet zijn aanwezigheid op de camping beschouwd worden als een toevallige aanwezigheid.</w:t>
      </w:r>
    </w:p>
    <w:p w:rsidR="00D03B04" w:rsidRPr="006D0278" w:rsidRDefault="00D03B04" w:rsidP="00D03B04">
      <w:pPr>
        <w:ind w:left="720"/>
        <w:jc w:val="both"/>
        <w:rPr>
          <w:b/>
          <w:bCs/>
          <w:i/>
          <w:lang w:val="nl-NL"/>
        </w:rPr>
      </w:pPr>
    </w:p>
    <w:p w:rsidR="00D03B04" w:rsidRPr="006D0278" w:rsidRDefault="008E706C" w:rsidP="00D03B04">
      <w:pPr>
        <w:ind w:left="720"/>
        <w:jc w:val="both"/>
        <w:rPr>
          <w:b/>
          <w:bCs/>
          <w:i/>
          <w:lang w:val="nl-NL"/>
        </w:rPr>
      </w:pPr>
      <w:r w:rsidRPr="006D0278">
        <w:rPr>
          <w:lang w:val="nl-NL"/>
        </w:rPr>
        <w:t>Hetzelfde geldt voor het</w:t>
      </w:r>
      <w:r w:rsidRPr="006D0278">
        <w:rPr>
          <w:u w:val="single"/>
          <w:lang w:val="nl-NL"/>
        </w:rPr>
        <w:t xml:space="preserve"> verblijf van de persoon in een </w:t>
      </w:r>
      <w:r w:rsidR="00024247" w:rsidRPr="006D0278">
        <w:rPr>
          <w:u w:val="single"/>
          <w:lang w:val="nl-NL"/>
        </w:rPr>
        <w:t>ziekenhuis</w:t>
      </w:r>
      <w:r w:rsidR="00024247" w:rsidRPr="006D0278">
        <w:rPr>
          <w:lang w:val="nl-NL"/>
        </w:rPr>
        <w:t>;</w:t>
      </w:r>
      <w:r w:rsidRPr="006D0278">
        <w:rPr>
          <w:lang w:val="nl-NL"/>
        </w:rPr>
        <w:t xml:space="preserve"> dit kan beschouwd worden als een gewoonlijk of toevallig verblijf, naar gelang de feitelijke omstandigheden.</w:t>
      </w:r>
    </w:p>
    <w:p w:rsidR="00D03B04" w:rsidRDefault="00D03B04" w:rsidP="00D03B04">
      <w:pPr>
        <w:ind w:left="720"/>
        <w:jc w:val="both"/>
        <w:rPr>
          <w:lang w:val="nl-NL" w:eastAsia="en-GB"/>
        </w:rPr>
      </w:pPr>
    </w:p>
    <w:p w:rsidR="00452184" w:rsidRPr="006D0278" w:rsidRDefault="00452184" w:rsidP="00D03B04">
      <w:pPr>
        <w:ind w:left="720"/>
        <w:jc w:val="both"/>
        <w:rPr>
          <w:lang w:val="nl-NL" w:eastAsia="en-GB"/>
        </w:rPr>
      </w:pPr>
    </w:p>
    <w:p w:rsidR="00D03B04" w:rsidRPr="006D0278" w:rsidRDefault="008E706C" w:rsidP="00D03B04">
      <w:pPr>
        <w:ind w:left="720"/>
        <w:jc w:val="both"/>
        <w:rPr>
          <w:i/>
          <w:lang w:val="nl-NL" w:eastAsia="en-GB"/>
        </w:rPr>
      </w:pPr>
      <w:r w:rsidRPr="006D0278">
        <w:rPr>
          <w:i/>
          <w:u w:val="single"/>
          <w:lang w:val="nl-NL" w:eastAsia="en-GB"/>
        </w:rPr>
        <w:t>Voorbeeld</w:t>
      </w:r>
      <w:r w:rsidRPr="006D0278">
        <w:rPr>
          <w:i/>
          <w:lang w:val="nl-NL" w:eastAsia="en-GB"/>
        </w:rPr>
        <w:t xml:space="preserve">: </w:t>
      </w:r>
    </w:p>
    <w:p w:rsidR="00D03B04" w:rsidRPr="006D0278" w:rsidRDefault="00D03B04" w:rsidP="00D03B04">
      <w:pPr>
        <w:ind w:left="720"/>
        <w:jc w:val="both"/>
        <w:rPr>
          <w:i/>
          <w:lang w:val="nl-NL" w:eastAsia="en-GB"/>
        </w:rPr>
      </w:pPr>
    </w:p>
    <w:p w:rsidR="00D03B04" w:rsidRPr="006D0278" w:rsidRDefault="008E706C" w:rsidP="00D03B04">
      <w:pPr>
        <w:ind w:left="720"/>
        <w:jc w:val="both"/>
        <w:rPr>
          <w:i/>
          <w:lang w:val="nl-NL" w:eastAsia="en-GB"/>
        </w:rPr>
      </w:pPr>
      <w:r w:rsidRPr="006D0278">
        <w:rPr>
          <w:i/>
          <w:lang w:val="nl-NL"/>
        </w:rPr>
        <w:t>De betrokkene beschikt over een verblijf in gemeente X en verbleef er vóór zijn verblijf in het</w:t>
      </w:r>
      <w:r w:rsidR="005B4475">
        <w:rPr>
          <w:i/>
          <w:lang w:val="nl-NL"/>
        </w:rPr>
        <w:t xml:space="preserve"> ziekenhuis</w:t>
      </w:r>
      <w:r w:rsidRPr="006D0278">
        <w:rPr>
          <w:i/>
          <w:lang w:val="nl-NL"/>
        </w:rPr>
        <w:t>, gevestigd in gemeente Y. Hij zal, na zijn verblijf in het</w:t>
      </w:r>
      <w:r w:rsidR="005B4475">
        <w:rPr>
          <w:i/>
          <w:lang w:val="nl-NL"/>
        </w:rPr>
        <w:t xml:space="preserve"> ziekenhuis</w:t>
      </w:r>
      <w:r w:rsidRPr="006D0278">
        <w:rPr>
          <w:i/>
          <w:lang w:val="nl-NL"/>
        </w:rPr>
        <w:t xml:space="preserve">, terugkeren naar zijn woning. In dit geval kan beschouwd worden dat de betrokkene toevallig in gemeente Y verbleef, met het oog op zijn behandeling in het </w:t>
      </w:r>
      <w:r w:rsidR="005B4475">
        <w:rPr>
          <w:i/>
          <w:lang w:val="nl-NL"/>
        </w:rPr>
        <w:t xml:space="preserve">ziekenhuis </w:t>
      </w:r>
      <w:r w:rsidRPr="006D0278">
        <w:rPr>
          <w:i/>
          <w:lang w:val="nl-NL"/>
        </w:rPr>
        <w:t>en dat hij zijn gewoonlijke verblijfplaats in gemeente X heeft behouden.</w:t>
      </w:r>
    </w:p>
    <w:p w:rsidR="00D03B04" w:rsidRPr="006D0278" w:rsidRDefault="00D03B04" w:rsidP="00D03B04">
      <w:pPr>
        <w:ind w:left="720"/>
        <w:jc w:val="both"/>
        <w:rPr>
          <w:i/>
          <w:lang w:val="nl-NL" w:eastAsia="en-GB"/>
        </w:rPr>
      </w:pPr>
    </w:p>
    <w:p w:rsidR="00D03B04" w:rsidRDefault="008E706C" w:rsidP="00D03B04">
      <w:pPr>
        <w:ind w:left="720"/>
        <w:jc w:val="both"/>
        <w:rPr>
          <w:i/>
          <w:lang w:val="nl-NL" w:eastAsia="en-GB"/>
        </w:rPr>
      </w:pPr>
      <w:r w:rsidRPr="006D0278">
        <w:rPr>
          <w:i/>
          <w:lang w:val="nl-NL" w:eastAsia="en-GB"/>
        </w:rPr>
        <w:t>Als, op het ogenblik van zijn aanvraag, de betrokkene, daarentegen, noch domicilie, noch hoofdverblijfplaats had op het ogenblik dat hij werd opgenomen in het</w:t>
      </w:r>
      <w:r w:rsidR="005B4475">
        <w:rPr>
          <w:i/>
          <w:lang w:val="nl-NL" w:eastAsia="en-GB"/>
        </w:rPr>
        <w:t xml:space="preserve"> ziekenhuis</w:t>
      </w:r>
      <w:r w:rsidRPr="006D0278">
        <w:rPr>
          <w:i/>
          <w:lang w:val="nl-NL" w:eastAsia="en-GB"/>
        </w:rPr>
        <w:t xml:space="preserve">, is het OCMW van de gemeente waar het afkickcentrum is gevestigd of waar de betrokkene verblijft, bevoegd. </w:t>
      </w:r>
    </w:p>
    <w:p w:rsidR="005B4475" w:rsidRDefault="005B4475" w:rsidP="00D03B04">
      <w:pPr>
        <w:ind w:left="720"/>
        <w:jc w:val="both"/>
        <w:rPr>
          <w:i/>
          <w:lang w:val="nl-NL" w:eastAsia="en-GB"/>
        </w:rPr>
      </w:pPr>
    </w:p>
    <w:p w:rsidR="005B4475" w:rsidRDefault="005B4475" w:rsidP="00D03B04">
      <w:pPr>
        <w:ind w:left="720"/>
        <w:jc w:val="both"/>
        <w:rPr>
          <w:i/>
          <w:lang w:val="nl-NL" w:eastAsia="en-GB"/>
        </w:rPr>
      </w:pPr>
    </w:p>
    <w:p w:rsidR="00C626B8" w:rsidRPr="006D0278" w:rsidRDefault="00C626B8" w:rsidP="00470771">
      <w:pPr>
        <w:pStyle w:val="Heading2"/>
        <w:rPr>
          <w:sz w:val="28"/>
          <w:lang w:val="nl-NL"/>
        </w:rPr>
      </w:pPr>
      <w:bookmarkStart w:id="37" w:name="_Toc51469040"/>
      <w:bookmarkStart w:id="38" w:name="_Toc70850285"/>
    </w:p>
    <w:p w:rsidR="00C626B8" w:rsidRPr="006D0278" w:rsidRDefault="00C626B8" w:rsidP="00470771">
      <w:pPr>
        <w:pStyle w:val="Heading2"/>
        <w:rPr>
          <w:sz w:val="28"/>
          <w:lang w:val="nl-NL"/>
        </w:rPr>
      </w:pPr>
    </w:p>
    <w:p w:rsidR="00C626B8" w:rsidRPr="006D0278" w:rsidRDefault="00C626B8" w:rsidP="00470771">
      <w:pPr>
        <w:pStyle w:val="Heading2"/>
        <w:rPr>
          <w:sz w:val="28"/>
          <w:lang w:val="nl-NL"/>
        </w:rPr>
      </w:pPr>
    </w:p>
    <w:p w:rsidR="00C86ACC" w:rsidRPr="006D0278" w:rsidRDefault="00C626B8" w:rsidP="00470771">
      <w:pPr>
        <w:pStyle w:val="Heading2"/>
        <w:rPr>
          <w:sz w:val="28"/>
          <w:lang w:val="nl-NL"/>
        </w:rPr>
      </w:pPr>
      <w:r w:rsidRPr="006D0278">
        <w:rPr>
          <w:sz w:val="28"/>
          <w:lang w:val="nl-NL"/>
        </w:rPr>
        <w:br w:type="page"/>
      </w:r>
      <w:bookmarkStart w:id="39" w:name="_Toc510775744"/>
      <w:r w:rsidR="008E706C" w:rsidRPr="006D0278">
        <w:rPr>
          <w:sz w:val="28"/>
          <w:lang w:val="nl-NL"/>
        </w:rPr>
        <w:lastRenderedPageBreak/>
        <w:t xml:space="preserve">3. Conflicten </w:t>
      </w:r>
      <w:r w:rsidR="00024247">
        <w:rPr>
          <w:sz w:val="28"/>
          <w:lang w:val="nl-NL"/>
        </w:rPr>
        <w:t>m.b.t. de hulpaanvrager</w:t>
      </w:r>
      <w:r w:rsidR="008E706C" w:rsidRPr="006D0278">
        <w:rPr>
          <w:sz w:val="28"/>
          <w:lang w:val="nl-NL"/>
        </w:rPr>
        <w:t xml:space="preserve"> die in een instelling verblijft</w:t>
      </w:r>
      <w:bookmarkEnd w:id="39"/>
      <w:r w:rsidR="008E706C" w:rsidRPr="006D0278">
        <w:rPr>
          <w:sz w:val="28"/>
          <w:lang w:val="nl-NL"/>
        </w:rPr>
        <w:t xml:space="preserve"> </w:t>
      </w:r>
    </w:p>
    <w:p w:rsidR="00C86ACC" w:rsidRPr="006D0278" w:rsidRDefault="00C86ACC" w:rsidP="00C86ACC">
      <w:pPr>
        <w:rPr>
          <w:lang w:val="nl-NL"/>
        </w:rPr>
      </w:pPr>
    </w:p>
    <w:p w:rsidR="00C86ACC" w:rsidRPr="006D0278" w:rsidRDefault="008E706C" w:rsidP="000D1800">
      <w:pPr>
        <w:pStyle w:val="Heading3"/>
        <w:rPr>
          <w:b/>
          <w:bCs/>
          <w:sz w:val="24"/>
          <w:u w:val="single"/>
          <w:lang w:val="nl-NL"/>
        </w:rPr>
      </w:pPr>
      <w:bookmarkStart w:id="40" w:name="_Toc510775745"/>
      <w:bookmarkEnd w:id="37"/>
      <w:bookmarkEnd w:id="38"/>
      <w:r w:rsidRPr="006D0278">
        <w:rPr>
          <w:b/>
          <w:bCs/>
          <w:sz w:val="24"/>
          <w:u w:val="single"/>
          <w:lang w:val="nl-NL"/>
        </w:rPr>
        <w:t xml:space="preserve">1. Aantal dossiers in </w:t>
      </w:r>
      <w:r w:rsidR="00B55B55" w:rsidRPr="006D0278">
        <w:rPr>
          <w:b/>
          <w:bCs/>
          <w:sz w:val="24"/>
          <w:u w:val="single"/>
          <w:lang w:val="nl-NL"/>
        </w:rPr>
        <w:t>201</w:t>
      </w:r>
      <w:r w:rsidR="00837124">
        <w:rPr>
          <w:b/>
          <w:bCs/>
          <w:sz w:val="24"/>
          <w:u w:val="single"/>
          <w:lang w:val="nl-NL"/>
        </w:rPr>
        <w:t>7</w:t>
      </w:r>
      <w:bookmarkEnd w:id="40"/>
      <w:r w:rsidR="00B55B55" w:rsidRPr="006D0278">
        <w:rPr>
          <w:b/>
          <w:bCs/>
          <w:sz w:val="24"/>
          <w:u w:val="single"/>
          <w:lang w:val="nl-NL"/>
        </w:rPr>
        <w:t xml:space="preserve"> </w:t>
      </w:r>
    </w:p>
    <w:p w:rsidR="00C86ACC" w:rsidRPr="006D0278" w:rsidRDefault="00C86ACC" w:rsidP="00C86ACC">
      <w:pPr>
        <w:pStyle w:val="Opmaakprofiel1"/>
        <w:ind w:left="720" w:firstLine="720"/>
        <w:rPr>
          <w:u w:val="none"/>
        </w:rPr>
      </w:pPr>
    </w:p>
    <w:p w:rsidR="00C86ACC" w:rsidRPr="0089115D" w:rsidRDefault="00E02ECD" w:rsidP="00C86ACC">
      <w:pPr>
        <w:pStyle w:val="Opmaakprofiel1"/>
        <w:ind w:left="720" w:firstLine="720"/>
      </w:pPr>
      <w:r>
        <w:t xml:space="preserve">70 </w:t>
      </w:r>
      <w:r w:rsidR="008E706C" w:rsidRPr="0089115D">
        <w:t xml:space="preserve">dossiers op </w:t>
      </w:r>
      <w:r>
        <w:t>640</w:t>
      </w:r>
      <w:r w:rsidR="00B55B55" w:rsidRPr="0089115D">
        <w:t xml:space="preserve"> </w:t>
      </w:r>
      <w:r>
        <w:t>ontvankelijke dossiers</w:t>
      </w:r>
    </w:p>
    <w:p w:rsidR="00C86ACC" w:rsidRPr="006D0278" w:rsidRDefault="008E706C" w:rsidP="00C86ACC">
      <w:pPr>
        <w:ind w:left="720" w:firstLine="720"/>
        <w:jc w:val="both"/>
        <w:rPr>
          <w:lang w:val="nl-NL"/>
        </w:rPr>
      </w:pPr>
      <w:r w:rsidRPr="006D0278">
        <w:rPr>
          <w:lang w:val="nl-NL"/>
        </w:rPr>
        <w:t xml:space="preserve">Nederlandstalige dossiers: </w:t>
      </w:r>
      <w:r w:rsidR="001E362E">
        <w:rPr>
          <w:lang w:val="nl-NL"/>
        </w:rPr>
        <w:t xml:space="preserve">13 </w:t>
      </w:r>
      <w:r w:rsidRPr="006D0278">
        <w:rPr>
          <w:lang w:val="nl-NL"/>
        </w:rPr>
        <w:t xml:space="preserve">op </w:t>
      </w:r>
      <w:r w:rsidR="001E362E">
        <w:rPr>
          <w:lang w:val="nl-NL"/>
        </w:rPr>
        <w:t>150</w:t>
      </w:r>
      <w:r w:rsidR="00B55B55" w:rsidRPr="006D0278">
        <w:rPr>
          <w:lang w:val="nl-NL"/>
        </w:rPr>
        <w:t xml:space="preserve"> </w:t>
      </w:r>
      <w:r w:rsidRPr="006D0278">
        <w:rPr>
          <w:lang w:val="nl-NL"/>
        </w:rPr>
        <w:t xml:space="preserve">ontvankelijke dossiers, </w:t>
      </w:r>
    </w:p>
    <w:p w:rsidR="00C86ACC" w:rsidRDefault="008E706C" w:rsidP="00C86ACC">
      <w:pPr>
        <w:ind w:left="720" w:firstLine="720"/>
        <w:jc w:val="both"/>
        <w:rPr>
          <w:lang w:val="nl-NL"/>
        </w:rPr>
      </w:pPr>
      <w:r w:rsidRPr="006D0278">
        <w:rPr>
          <w:lang w:val="nl-NL"/>
        </w:rPr>
        <w:t xml:space="preserve">Franstalige dossiers: </w:t>
      </w:r>
      <w:r w:rsidR="00E02ECD">
        <w:rPr>
          <w:lang w:val="nl-NL"/>
        </w:rPr>
        <w:t xml:space="preserve">57 </w:t>
      </w:r>
      <w:r w:rsidRPr="006D0278">
        <w:rPr>
          <w:lang w:val="nl-NL"/>
        </w:rPr>
        <w:t xml:space="preserve">op </w:t>
      </w:r>
      <w:r w:rsidR="00E02ECD">
        <w:rPr>
          <w:lang w:val="nl-NL"/>
        </w:rPr>
        <w:t>490</w:t>
      </w:r>
      <w:r w:rsidR="00B55B55" w:rsidRPr="006D0278">
        <w:rPr>
          <w:lang w:val="nl-NL"/>
        </w:rPr>
        <w:t xml:space="preserve"> </w:t>
      </w:r>
      <w:r w:rsidR="00503A26">
        <w:rPr>
          <w:lang w:val="nl-NL"/>
        </w:rPr>
        <w:t>ontvankelijke dossiers.</w:t>
      </w:r>
    </w:p>
    <w:p w:rsidR="00503A26" w:rsidRDefault="00503A26" w:rsidP="00C86ACC">
      <w:pPr>
        <w:ind w:left="720" w:firstLine="720"/>
        <w:jc w:val="both"/>
        <w:rPr>
          <w:lang w:val="nl-NL"/>
        </w:rPr>
      </w:pPr>
    </w:p>
    <w:p w:rsidR="00C86ACC" w:rsidRPr="000D1800" w:rsidRDefault="008E706C" w:rsidP="000D1800">
      <w:pPr>
        <w:pStyle w:val="Heading3"/>
        <w:rPr>
          <w:b/>
          <w:bCs/>
          <w:sz w:val="24"/>
          <w:u w:val="single"/>
        </w:rPr>
      </w:pPr>
      <w:bookmarkStart w:id="41" w:name="_Toc162863005"/>
      <w:bookmarkStart w:id="42" w:name="_Toc510775746"/>
      <w:r>
        <w:rPr>
          <w:b/>
          <w:bCs/>
          <w:sz w:val="24"/>
          <w:u w:val="single"/>
        </w:rPr>
        <w:t>2. Wettelijke bepaling</w:t>
      </w:r>
      <w:bookmarkEnd w:id="41"/>
      <w:bookmarkEnd w:id="42"/>
    </w:p>
    <w:p w:rsidR="00C86ACC" w:rsidRDefault="00C86ACC" w:rsidP="00C86ACC">
      <w:pPr>
        <w:ind w:left="1080"/>
        <w:jc w:val="both"/>
        <w:rPr>
          <w:lang w:val="fr-FR"/>
        </w:rPr>
      </w:pPr>
    </w:p>
    <w:tbl>
      <w:tblPr>
        <w:tblW w:w="8930" w:type="dxa"/>
        <w:tblInd w:w="534" w:type="dxa"/>
        <w:tblBorders>
          <w:top w:val="dotDash" w:sz="4" w:space="0" w:color="auto"/>
          <w:left w:val="dotDash" w:sz="4" w:space="0" w:color="auto"/>
          <w:bottom w:val="dotDash" w:sz="4" w:space="0" w:color="auto"/>
          <w:right w:val="dotDash" w:sz="4" w:space="0" w:color="auto"/>
        </w:tblBorders>
        <w:shd w:val="clear" w:color="auto" w:fill="CCFFFF"/>
        <w:tblLook w:val="01E0" w:firstRow="1" w:lastRow="1" w:firstColumn="1" w:lastColumn="1" w:noHBand="0" w:noVBand="0"/>
      </w:tblPr>
      <w:tblGrid>
        <w:gridCol w:w="1014"/>
        <w:gridCol w:w="360"/>
        <w:gridCol w:w="7556"/>
      </w:tblGrid>
      <w:tr w:rsidR="00C86ACC" w:rsidRPr="00B46E7F" w:rsidTr="00521E4E">
        <w:tc>
          <w:tcPr>
            <w:tcW w:w="8930" w:type="dxa"/>
            <w:gridSpan w:val="3"/>
            <w:shd w:val="clear" w:color="auto" w:fill="CCFFFF"/>
          </w:tcPr>
          <w:p w:rsidR="00C86ACC" w:rsidRDefault="008E706C" w:rsidP="00CD7A69">
            <w:pPr>
              <w:jc w:val="both"/>
              <w:rPr>
                <w:shd w:val="clear" w:color="auto" w:fill="CCFFFF"/>
                <w:lang w:val="nl-NL"/>
              </w:rPr>
            </w:pPr>
            <w:r w:rsidRPr="00CD7A69">
              <w:rPr>
                <w:b/>
                <w:shd w:val="clear" w:color="auto" w:fill="CCFFFF"/>
                <w:lang w:val="nl-NL"/>
              </w:rPr>
              <w:t>Art. 2</w:t>
            </w:r>
            <w:r w:rsidRPr="006D0278">
              <w:rPr>
                <w:shd w:val="clear" w:color="auto" w:fill="CCFFFF"/>
                <w:lang w:val="nl-NL"/>
              </w:rPr>
              <w:t xml:space="preserve"> van de wet van 1965 april betreffende het ten laste nemen van de steun verleend door de openbare centra voor maatschappelijk welzijn:</w:t>
            </w:r>
          </w:p>
          <w:p w:rsidR="002F4F24" w:rsidRPr="006D0278" w:rsidRDefault="002F4F24" w:rsidP="00CD7A69">
            <w:pPr>
              <w:jc w:val="both"/>
              <w:rPr>
                <w:lang w:val="nl-NL"/>
              </w:rPr>
            </w:pPr>
          </w:p>
        </w:tc>
      </w:tr>
      <w:tr w:rsidR="00C86ACC" w:rsidRPr="00B46E7F" w:rsidTr="00521E4E">
        <w:tc>
          <w:tcPr>
            <w:tcW w:w="8930" w:type="dxa"/>
            <w:gridSpan w:val="3"/>
            <w:shd w:val="clear" w:color="auto" w:fill="CCFFFF"/>
          </w:tcPr>
          <w:p w:rsidR="00C86ACC" w:rsidRPr="006D0278" w:rsidRDefault="008E706C" w:rsidP="004E3981">
            <w:pPr>
              <w:jc w:val="both"/>
              <w:rPr>
                <w:lang w:val="nl-NL"/>
              </w:rPr>
            </w:pPr>
            <w:r w:rsidRPr="006D0278">
              <w:rPr>
                <w:bCs/>
                <w:shd w:val="clear" w:color="auto" w:fill="CCFFFF"/>
                <w:lang w:val="nl-NL"/>
              </w:rPr>
              <w:t>« </w:t>
            </w:r>
            <w:r w:rsidRPr="006D0278">
              <w:rPr>
                <w:b/>
                <w:bCs/>
                <w:i/>
                <w:shd w:val="clear" w:color="auto" w:fill="CCFFFF"/>
                <w:lang w:val="nl-NL"/>
              </w:rPr>
              <w:t>§ 1</w:t>
            </w:r>
            <w:r w:rsidRPr="006D0278">
              <w:rPr>
                <w:bCs/>
                <w:i/>
                <w:shd w:val="clear" w:color="auto" w:fill="CCFFFF"/>
                <w:lang w:val="nl-NL"/>
              </w:rPr>
              <w:t>. In afwijking van artikel 1, 1°, is het openbaar centrum voor maatschappelijk welzijn van de gemeente waar de betrokkene op het ogenblik van zijn opneming in een instelling of bij een nagenoemd privaat persoon voor zijn hoofdverblijf in het bevolkings- of in het vreemdelingenregister of in het wachtregister was ingeschreven, bevoegd om de noodza</w:t>
            </w:r>
            <w:r w:rsidR="00024247">
              <w:rPr>
                <w:bCs/>
                <w:i/>
                <w:shd w:val="clear" w:color="auto" w:fill="CCFFFF"/>
                <w:lang w:val="nl-NL"/>
              </w:rPr>
              <w:t>ke</w:t>
            </w:r>
            <w:r w:rsidRPr="006D0278">
              <w:rPr>
                <w:bCs/>
                <w:i/>
                <w:shd w:val="clear" w:color="auto" w:fill="CCFFFF"/>
                <w:lang w:val="nl-NL"/>
              </w:rPr>
              <w:t>lijke steun te verlenen, indien de bijstand vereist is</w:t>
            </w:r>
          </w:p>
        </w:tc>
      </w:tr>
      <w:tr w:rsidR="00C86ACC" w:rsidRPr="00B46E7F" w:rsidTr="00521E4E">
        <w:tc>
          <w:tcPr>
            <w:tcW w:w="1014" w:type="dxa"/>
            <w:shd w:val="clear" w:color="auto" w:fill="CCFFFF"/>
          </w:tcPr>
          <w:p w:rsidR="00C86ACC" w:rsidRPr="006D0278" w:rsidRDefault="00C86ACC" w:rsidP="004E3981">
            <w:pPr>
              <w:jc w:val="both"/>
              <w:rPr>
                <w:lang w:val="nl-NL"/>
              </w:rPr>
            </w:pPr>
          </w:p>
        </w:tc>
        <w:tc>
          <w:tcPr>
            <w:tcW w:w="7916" w:type="dxa"/>
            <w:gridSpan w:val="2"/>
            <w:shd w:val="clear" w:color="auto" w:fill="CCFFFF"/>
          </w:tcPr>
          <w:p w:rsidR="00C86ACC" w:rsidRPr="006D0278" w:rsidRDefault="008E706C" w:rsidP="004E3981">
            <w:pPr>
              <w:jc w:val="both"/>
              <w:rPr>
                <w:lang w:val="nl-NL"/>
              </w:rPr>
            </w:pPr>
            <w:r w:rsidRPr="006D0278">
              <w:rPr>
                <w:bCs/>
                <w:i/>
                <w:shd w:val="clear" w:color="auto" w:fill="CCFFFF"/>
                <w:lang w:val="nl-NL"/>
              </w:rPr>
              <w:t>1°</w:t>
            </w:r>
            <w:r w:rsidRPr="006D0278">
              <w:rPr>
                <w:bCs/>
                <w:i/>
                <w:u w:val="single"/>
                <w:shd w:val="clear" w:color="auto" w:fill="CCFFFF"/>
                <w:lang w:val="nl-NL"/>
              </w:rPr>
              <w:t>bij de opname</w:t>
            </w:r>
            <w:r w:rsidR="00024247">
              <w:rPr>
                <w:bCs/>
                <w:i/>
                <w:u w:val="single"/>
                <w:shd w:val="clear" w:color="auto" w:fill="CCFFFF"/>
                <w:lang w:val="nl-NL"/>
              </w:rPr>
              <w:t xml:space="preserve"> of </w:t>
            </w:r>
            <w:r w:rsidRPr="006D0278">
              <w:rPr>
                <w:bCs/>
                <w:i/>
                <w:u w:val="single"/>
                <w:shd w:val="clear" w:color="auto" w:fill="CCFFFF"/>
                <w:lang w:val="nl-NL"/>
              </w:rPr>
              <w:t>tijdens het verblijf</w:t>
            </w:r>
            <w:r w:rsidRPr="006D0278">
              <w:rPr>
                <w:bCs/>
                <w:i/>
                <w:shd w:val="clear" w:color="auto" w:fill="CCFFFF"/>
                <w:lang w:val="nl-NL"/>
              </w:rPr>
              <w:t xml:space="preserve"> van een persoon:</w:t>
            </w:r>
          </w:p>
        </w:tc>
      </w:tr>
      <w:tr w:rsidR="00C86ACC" w:rsidRPr="00B46E7F" w:rsidTr="00521E4E">
        <w:tc>
          <w:tcPr>
            <w:tcW w:w="1014" w:type="dxa"/>
            <w:shd w:val="clear" w:color="auto" w:fill="CCFFFF"/>
          </w:tcPr>
          <w:p w:rsidR="00C86ACC" w:rsidRPr="006D0278" w:rsidRDefault="00C86ACC" w:rsidP="004E3981">
            <w:pPr>
              <w:jc w:val="both"/>
              <w:rPr>
                <w:lang w:val="nl-NL"/>
              </w:rPr>
            </w:pPr>
          </w:p>
        </w:tc>
        <w:tc>
          <w:tcPr>
            <w:tcW w:w="360" w:type="dxa"/>
            <w:shd w:val="clear" w:color="auto" w:fill="CCFFFF"/>
          </w:tcPr>
          <w:p w:rsidR="00C86ACC" w:rsidRPr="006D0278" w:rsidRDefault="00C86ACC" w:rsidP="004E3981">
            <w:pPr>
              <w:jc w:val="both"/>
              <w:rPr>
                <w:lang w:val="nl-NL"/>
              </w:rPr>
            </w:pPr>
          </w:p>
        </w:tc>
        <w:tc>
          <w:tcPr>
            <w:tcW w:w="7556" w:type="dxa"/>
            <w:shd w:val="clear" w:color="auto" w:fill="CCFFFF"/>
          </w:tcPr>
          <w:p w:rsidR="00C86ACC" w:rsidRPr="006D0278" w:rsidRDefault="008E706C" w:rsidP="00DA101F">
            <w:pPr>
              <w:numPr>
                <w:ilvl w:val="0"/>
                <w:numId w:val="5"/>
              </w:numPr>
              <w:tabs>
                <w:tab w:val="clear" w:pos="2520"/>
                <w:tab w:val="num" w:pos="432"/>
              </w:tabs>
              <w:ind w:left="432"/>
              <w:jc w:val="both"/>
              <w:rPr>
                <w:bCs/>
                <w:i/>
                <w:iCs/>
                <w:shd w:val="clear" w:color="auto" w:fill="CCFFFF"/>
                <w:lang w:val="nl-NL"/>
              </w:rPr>
            </w:pPr>
            <w:r w:rsidRPr="006D0278">
              <w:rPr>
                <w:bCs/>
                <w:i/>
                <w:shd w:val="clear" w:color="auto" w:fill="CCFFFF"/>
                <w:lang w:val="nl-NL"/>
              </w:rPr>
              <w:t>hetzij in een psychiatrisch ziekenhuis;</w:t>
            </w:r>
          </w:p>
          <w:p w:rsidR="00C86ACC" w:rsidRPr="006D0278" w:rsidRDefault="008E706C" w:rsidP="00DA101F">
            <w:pPr>
              <w:numPr>
                <w:ilvl w:val="0"/>
                <w:numId w:val="5"/>
              </w:numPr>
              <w:tabs>
                <w:tab w:val="clear" w:pos="2520"/>
                <w:tab w:val="num" w:pos="432"/>
              </w:tabs>
              <w:ind w:left="432"/>
              <w:jc w:val="both"/>
              <w:rPr>
                <w:bCs/>
                <w:i/>
                <w:shd w:val="clear" w:color="auto" w:fill="CCFFFF"/>
                <w:lang w:val="nl-NL"/>
              </w:rPr>
            </w:pPr>
            <w:r w:rsidRPr="006D0278">
              <w:rPr>
                <w:bCs/>
                <w:i/>
                <w:shd w:val="clear" w:color="auto" w:fill="CCFFFF"/>
                <w:lang w:val="nl-NL"/>
              </w:rPr>
              <w:t>hetzij in een erkende instelling voor gehandicapten;</w:t>
            </w:r>
          </w:p>
          <w:p w:rsidR="00C86ACC" w:rsidRPr="006D0278" w:rsidRDefault="008E706C" w:rsidP="00DA101F">
            <w:pPr>
              <w:numPr>
                <w:ilvl w:val="0"/>
                <w:numId w:val="5"/>
              </w:numPr>
              <w:tabs>
                <w:tab w:val="clear" w:pos="2520"/>
                <w:tab w:val="num" w:pos="432"/>
              </w:tabs>
              <w:ind w:left="432"/>
              <w:jc w:val="both"/>
              <w:rPr>
                <w:bCs/>
                <w:i/>
                <w:shd w:val="clear" w:color="auto" w:fill="CCFFFF"/>
                <w:lang w:val="nl-NL"/>
              </w:rPr>
            </w:pPr>
            <w:r w:rsidRPr="006D0278">
              <w:rPr>
                <w:bCs/>
                <w:i/>
                <w:shd w:val="clear" w:color="auto" w:fill="CCFFFF"/>
                <w:lang w:val="nl-NL"/>
              </w:rPr>
              <w:t>hetzij, zo het gaat om een minderjarige, in een instelling voor kinderen of bij een privaat persoon die hem onder bezwarende titel huisvest;</w:t>
            </w:r>
          </w:p>
          <w:p w:rsidR="00C86ACC" w:rsidRPr="006D0278" w:rsidRDefault="008E706C" w:rsidP="00DA101F">
            <w:pPr>
              <w:numPr>
                <w:ilvl w:val="0"/>
                <w:numId w:val="5"/>
              </w:numPr>
              <w:tabs>
                <w:tab w:val="clear" w:pos="2520"/>
                <w:tab w:val="num" w:pos="432"/>
              </w:tabs>
              <w:ind w:left="432"/>
              <w:jc w:val="both"/>
              <w:rPr>
                <w:bCs/>
                <w:i/>
                <w:shd w:val="clear" w:color="auto" w:fill="CCFFFF"/>
                <w:lang w:val="nl-NL"/>
              </w:rPr>
            </w:pPr>
            <w:r w:rsidRPr="006D0278">
              <w:rPr>
                <w:bCs/>
                <w:i/>
                <w:shd w:val="clear" w:color="auto" w:fill="CCFFFF"/>
                <w:lang w:val="nl-NL"/>
              </w:rPr>
              <w:t>hetzij in een erkend rustoord voor bejaarden, hetzij in een serviceflatgebouw of woningcomplex met dienstverlening, voor zover deze voorzieningen als dusdanig door de bevoegde overheid erkend zijn;</w:t>
            </w:r>
          </w:p>
          <w:p w:rsidR="00C86ACC" w:rsidRPr="006D0278" w:rsidRDefault="008E706C" w:rsidP="00DA101F">
            <w:pPr>
              <w:numPr>
                <w:ilvl w:val="0"/>
                <w:numId w:val="5"/>
              </w:numPr>
              <w:tabs>
                <w:tab w:val="clear" w:pos="2520"/>
                <w:tab w:val="num" w:pos="432"/>
              </w:tabs>
              <w:ind w:left="432"/>
              <w:jc w:val="both"/>
              <w:rPr>
                <w:bCs/>
                <w:i/>
                <w:shd w:val="clear" w:color="auto" w:fill="CCFFFF"/>
                <w:lang w:val="nl-NL"/>
              </w:rPr>
            </w:pPr>
            <w:r w:rsidRPr="006D0278">
              <w:rPr>
                <w:bCs/>
                <w:i/>
                <w:shd w:val="clear" w:color="auto" w:fill="CCFFFF"/>
                <w:lang w:val="nl-NL"/>
              </w:rPr>
              <w:t>hetzij in een instelling van gelijk welke aard, waar die persoon verplicht verblijft in uitvoering van een rechterlijke of administratieve beslissing;</w:t>
            </w:r>
          </w:p>
          <w:p w:rsidR="00C86ACC" w:rsidRPr="006D0278" w:rsidRDefault="008E706C" w:rsidP="00DA101F">
            <w:pPr>
              <w:numPr>
                <w:ilvl w:val="0"/>
                <w:numId w:val="5"/>
              </w:numPr>
              <w:tabs>
                <w:tab w:val="clear" w:pos="2520"/>
                <w:tab w:val="num" w:pos="432"/>
              </w:tabs>
              <w:ind w:left="432"/>
              <w:jc w:val="both"/>
              <w:rPr>
                <w:bCs/>
                <w:i/>
                <w:shd w:val="clear" w:color="auto" w:fill="CCFFFF"/>
                <w:lang w:val="nl-NL"/>
              </w:rPr>
            </w:pPr>
            <w:r w:rsidRPr="006D0278">
              <w:rPr>
                <w:bCs/>
                <w:i/>
                <w:lang w:val="nl-NL"/>
              </w:rPr>
              <w:t>hetzij in een psychiatrisch verzorgingstehuis of een initiatief van beschut wonen, voor zover deze voorzieningen door de bevoegde overheid erkend zijn</w:t>
            </w:r>
            <w:r w:rsidRPr="006D0278">
              <w:rPr>
                <w:bCs/>
                <w:i/>
                <w:shd w:val="clear" w:color="auto" w:fill="CCFFFF"/>
                <w:lang w:val="nl-NL"/>
              </w:rPr>
              <w:t>;</w:t>
            </w:r>
          </w:p>
          <w:p w:rsidR="007D410C" w:rsidRDefault="008E706C" w:rsidP="007D410C">
            <w:pPr>
              <w:numPr>
                <w:ilvl w:val="0"/>
                <w:numId w:val="5"/>
              </w:numPr>
              <w:tabs>
                <w:tab w:val="clear" w:pos="2520"/>
                <w:tab w:val="num" w:pos="432"/>
              </w:tabs>
              <w:ind w:left="432"/>
              <w:jc w:val="both"/>
              <w:rPr>
                <w:bCs/>
                <w:i/>
                <w:shd w:val="clear" w:color="auto" w:fill="CCFFFF"/>
                <w:lang w:val="nl-NL"/>
              </w:rPr>
            </w:pPr>
            <w:r w:rsidRPr="007D410C">
              <w:rPr>
                <w:bCs/>
                <w:i/>
                <w:shd w:val="clear" w:color="auto" w:fill="CCFFFF"/>
                <w:lang w:val="nl-NL"/>
              </w:rPr>
              <w:t xml:space="preserve">hetzij in een instelling of een inrichting die door de bevoegde overheid erkend is om personen in noodsituaties op te vangen en hen tijdelijk te huisvesten en te begeleiden; </w:t>
            </w:r>
          </w:p>
          <w:p w:rsidR="007D410C" w:rsidRDefault="008E706C" w:rsidP="007D410C">
            <w:pPr>
              <w:numPr>
                <w:ilvl w:val="0"/>
                <w:numId w:val="5"/>
              </w:numPr>
              <w:tabs>
                <w:tab w:val="clear" w:pos="2520"/>
                <w:tab w:val="num" w:pos="432"/>
              </w:tabs>
              <w:ind w:left="432"/>
              <w:jc w:val="both"/>
              <w:rPr>
                <w:bCs/>
                <w:i/>
                <w:shd w:val="clear" w:color="auto" w:fill="CCFFFF"/>
                <w:lang w:val="nl-NL"/>
              </w:rPr>
            </w:pPr>
            <w:r w:rsidRPr="007D410C">
              <w:rPr>
                <w:bCs/>
                <w:i/>
                <w:shd w:val="clear" w:color="auto" w:fill="CCFFFF"/>
                <w:lang w:val="nl-NL"/>
              </w:rPr>
              <w:t>hetzij in een er</w:t>
            </w:r>
            <w:r w:rsidR="00A85283" w:rsidRPr="007D410C">
              <w:rPr>
                <w:bCs/>
                <w:i/>
                <w:shd w:val="clear" w:color="auto" w:fill="CCFFFF"/>
                <w:lang w:val="nl-NL"/>
              </w:rPr>
              <w:t>kend rust- en verzorgingstehuis;</w:t>
            </w:r>
            <w:r w:rsidR="007D410C">
              <w:rPr>
                <w:bCs/>
                <w:i/>
                <w:shd w:val="clear" w:color="auto" w:fill="CCFFFF"/>
                <w:lang w:val="nl-NL"/>
              </w:rPr>
              <w:t xml:space="preserve"> </w:t>
            </w:r>
          </w:p>
          <w:p w:rsidR="007D410C" w:rsidRDefault="00A85283" w:rsidP="007D410C">
            <w:pPr>
              <w:numPr>
                <w:ilvl w:val="0"/>
                <w:numId w:val="5"/>
              </w:numPr>
              <w:tabs>
                <w:tab w:val="clear" w:pos="2520"/>
                <w:tab w:val="num" w:pos="432"/>
              </w:tabs>
              <w:ind w:left="432"/>
              <w:jc w:val="both"/>
              <w:rPr>
                <w:bCs/>
                <w:i/>
                <w:shd w:val="clear" w:color="auto" w:fill="CCFFFF"/>
                <w:lang w:val="nl-NL"/>
              </w:rPr>
            </w:pPr>
            <w:r w:rsidRPr="007D410C">
              <w:rPr>
                <w:bCs/>
                <w:i/>
                <w:shd w:val="clear" w:color="auto" w:fill="CCFFFF"/>
                <w:lang w:val="nl-NL"/>
              </w:rPr>
              <w:t xml:space="preserve">hetzij </w:t>
            </w:r>
            <w:r w:rsidR="007D410C" w:rsidRPr="007D410C">
              <w:rPr>
                <w:bCs/>
                <w:i/>
                <w:shd w:val="clear" w:color="auto" w:fill="CCFFFF"/>
                <w:lang w:val="nl-NL"/>
              </w:rPr>
              <w:t>in een voorziening voor ouderen waarin deze ouderen zelfstandig verblijven en waarin facultatieve ouderenzorg wordt aangeboden, voor zover deze voorziening erkend is door de bevoegde overheid</w:t>
            </w:r>
            <w:r w:rsidRPr="007D410C">
              <w:rPr>
                <w:bCs/>
                <w:i/>
                <w:shd w:val="clear" w:color="auto" w:fill="CCFFFF"/>
                <w:lang w:val="nl-NL"/>
              </w:rPr>
              <w:t>;</w:t>
            </w:r>
          </w:p>
          <w:p w:rsidR="00A85283" w:rsidRPr="007D410C" w:rsidRDefault="00A85283" w:rsidP="007D410C">
            <w:pPr>
              <w:numPr>
                <w:ilvl w:val="0"/>
                <w:numId w:val="5"/>
              </w:numPr>
              <w:tabs>
                <w:tab w:val="clear" w:pos="2520"/>
                <w:tab w:val="num" w:pos="432"/>
              </w:tabs>
              <w:ind w:left="432"/>
              <w:jc w:val="both"/>
              <w:rPr>
                <w:bCs/>
                <w:i/>
                <w:shd w:val="clear" w:color="auto" w:fill="CCFFFF"/>
                <w:lang w:val="nl-NL"/>
              </w:rPr>
            </w:pPr>
            <w:r w:rsidRPr="007D410C">
              <w:rPr>
                <w:bCs/>
                <w:i/>
                <w:shd w:val="clear" w:color="auto" w:fill="CCFFFF"/>
                <w:lang w:val="nl-NL"/>
              </w:rPr>
              <w:t xml:space="preserve">hetzij </w:t>
            </w:r>
            <w:r w:rsidR="007D410C" w:rsidRPr="007D410C">
              <w:rPr>
                <w:bCs/>
                <w:i/>
                <w:shd w:val="clear" w:color="auto" w:fill="CCFFFF"/>
                <w:lang w:val="nl-NL"/>
              </w:rPr>
              <w:t xml:space="preserve">in </w:t>
            </w:r>
            <w:r w:rsidRPr="007D410C">
              <w:rPr>
                <w:bCs/>
                <w:i/>
                <w:shd w:val="clear" w:color="auto" w:fill="CCFFFF"/>
                <w:lang w:val="nl-NL"/>
              </w:rPr>
              <w:t>een centrum voor ontwenning van druggebruik, voor zover deze voorziening erkend is door de bevoegde overheid</w:t>
            </w:r>
            <w:r w:rsidR="007D410C" w:rsidRPr="007D410C">
              <w:rPr>
                <w:bCs/>
                <w:i/>
                <w:shd w:val="clear" w:color="auto" w:fill="CCFFFF"/>
                <w:lang w:val="nl-NL"/>
              </w:rPr>
              <w:t>.</w:t>
            </w:r>
          </w:p>
          <w:p w:rsidR="00C86ACC" w:rsidRPr="006D0278" w:rsidRDefault="00C86ACC" w:rsidP="004E3981">
            <w:pPr>
              <w:jc w:val="both"/>
              <w:rPr>
                <w:lang w:val="nl-NL"/>
              </w:rPr>
            </w:pPr>
          </w:p>
        </w:tc>
      </w:tr>
      <w:tr w:rsidR="00C86ACC" w:rsidRPr="00B46E7F" w:rsidTr="00521E4E">
        <w:tc>
          <w:tcPr>
            <w:tcW w:w="1014" w:type="dxa"/>
            <w:shd w:val="clear" w:color="auto" w:fill="CCFFFF"/>
          </w:tcPr>
          <w:p w:rsidR="00C86ACC" w:rsidRPr="006D0278" w:rsidRDefault="00C86ACC" w:rsidP="004E3981">
            <w:pPr>
              <w:jc w:val="both"/>
              <w:rPr>
                <w:lang w:val="nl-NL"/>
              </w:rPr>
            </w:pPr>
          </w:p>
        </w:tc>
        <w:tc>
          <w:tcPr>
            <w:tcW w:w="7916" w:type="dxa"/>
            <w:gridSpan w:val="2"/>
            <w:shd w:val="clear" w:color="auto" w:fill="CCFFFF"/>
          </w:tcPr>
          <w:p w:rsidR="00A85283" w:rsidRPr="006D0278" w:rsidRDefault="008E706C" w:rsidP="00E26811">
            <w:pPr>
              <w:jc w:val="both"/>
              <w:rPr>
                <w:bCs/>
                <w:i/>
                <w:shd w:val="clear" w:color="auto" w:fill="CCFFFF"/>
                <w:lang w:val="nl-NL"/>
              </w:rPr>
            </w:pPr>
            <w:r w:rsidRPr="006D0278">
              <w:rPr>
                <w:bCs/>
                <w:i/>
                <w:shd w:val="clear" w:color="auto" w:fill="CCFFFF"/>
                <w:lang w:val="nl-NL"/>
              </w:rPr>
              <w:t xml:space="preserve">2° met het oog op de </w:t>
            </w:r>
            <w:r w:rsidRPr="006D0278">
              <w:rPr>
                <w:bCs/>
                <w:i/>
                <w:u w:val="single"/>
                <w:shd w:val="clear" w:color="auto" w:fill="CCFFFF"/>
                <w:lang w:val="nl-NL"/>
              </w:rPr>
              <w:t xml:space="preserve">overbrenging van een persoon van een verplegingsinstelling naar een andere instelling </w:t>
            </w:r>
            <w:r w:rsidRPr="006D0278">
              <w:rPr>
                <w:bCs/>
                <w:i/>
                <w:shd w:val="clear" w:color="auto" w:fill="CCFFFF"/>
                <w:lang w:val="nl-NL"/>
              </w:rPr>
              <w:t>of persoon als bedoeld onder 1° hierboven.</w:t>
            </w:r>
          </w:p>
        </w:tc>
      </w:tr>
      <w:tr w:rsidR="00C86ACC" w:rsidRPr="00B46E7F" w:rsidTr="00521E4E">
        <w:tc>
          <w:tcPr>
            <w:tcW w:w="8930" w:type="dxa"/>
            <w:gridSpan w:val="3"/>
            <w:shd w:val="clear" w:color="auto" w:fill="CCFFFF"/>
          </w:tcPr>
          <w:p w:rsidR="00C86ACC" w:rsidRPr="006D0278" w:rsidRDefault="00C86ACC" w:rsidP="00E26811">
            <w:pPr>
              <w:jc w:val="both"/>
              <w:rPr>
                <w:lang w:val="nl-NL"/>
              </w:rPr>
            </w:pPr>
          </w:p>
        </w:tc>
      </w:tr>
    </w:tbl>
    <w:p w:rsidR="00C82CAE" w:rsidRDefault="00C82CAE" w:rsidP="00C86ACC">
      <w:pPr>
        <w:ind w:left="720"/>
        <w:jc w:val="both"/>
        <w:rPr>
          <w:lang w:val="nl-NL"/>
        </w:rPr>
      </w:pPr>
    </w:p>
    <w:p w:rsidR="00665CC0" w:rsidRPr="006D0278" w:rsidRDefault="008E706C" w:rsidP="00C86ACC">
      <w:pPr>
        <w:ind w:left="720"/>
        <w:jc w:val="both"/>
        <w:rPr>
          <w:lang w:val="nl-NL"/>
        </w:rPr>
      </w:pPr>
      <w:r w:rsidRPr="006D0278">
        <w:rPr>
          <w:lang w:val="nl-NL"/>
        </w:rPr>
        <w:lastRenderedPageBreak/>
        <w:t>Het OCMW van de gemeente waar de betrokkene voor zijn hoofdverblijf in het bevolkingsregister was ingeschreven op het ogenblik van zijn opname in één van de bedoelde instellingen, is bevoegd.</w:t>
      </w:r>
    </w:p>
    <w:p w:rsidR="00665CC0" w:rsidRPr="006D0278" w:rsidRDefault="00665CC0" w:rsidP="00C86ACC">
      <w:pPr>
        <w:ind w:left="720"/>
        <w:jc w:val="both"/>
        <w:rPr>
          <w:lang w:val="nl-NL"/>
        </w:rPr>
      </w:pPr>
    </w:p>
    <w:p w:rsidR="00665CC0" w:rsidRPr="006D0278" w:rsidRDefault="00665CC0" w:rsidP="00C86ACC">
      <w:pPr>
        <w:ind w:left="720"/>
        <w:jc w:val="both"/>
        <w:rPr>
          <w:lang w:val="nl-NL"/>
        </w:rPr>
      </w:pPr>
    </w:p>
    <w:p w:rsidR="00C86ACC" w:rsidRPr="006D0278" w:rsidRDefault="008E706C" w:rsidP="000D1800">
      <w:pPr>
        <w:pStyle w:val="Heading3"/>
        <w:ind w:firstLine="0"/>
        <w:jc w:val="both"/>
        <w:rPr>
          <w:b/>
          <w:bCs/>
          <w:sz w:val="24"/>
          <w:u w:val="single"/>
          <w:lang w:val="nl-NL"/>
        </w:rPr>
      </w:pPr>
      <w:bookmarkStart w:id="43" w:name="_Toc510775747"/>
      <w:r w:rsidRPr="006D0278">
        <w:rPr>
          <w:b/>
          <w:bCs/>
          <w:sz w:val="24"/>
          <w:u w:val="single"/>
          <w:lang w:val="nl-NL"/>
        </w:rPr>
        <w:t>3. Opmerkingen over de toepassingen van paragrafen 1</w:t>
      </w:r>
      <w:r w:rsidR="00024247">
        <w:rPr>
          <w:b/>
          <w:bCs/>
          <w:sz w:val="24"/>
          <w:u w:val="single"/>
          <w:lang w:val="nl-NL"/>
        </w:rPr>
        <w:t xml:space="preserve"> </w:t>
      </w:r>
      <w:r w:rsidRPr="006D0278">
        <w:rPr>
          <w:b/>
          <w:bCs/>
          <w:sz w:val="24"/>
          <w:u w:val="single"/>
          <w:lang w:val="nl-NL"/>
        </w:rPr>
        <w:t>en 3 van artikel 2 van de wet van 02/04/1965</w:t>
      </w:r>
      <w:bookmarkEnd w:id="43"/>
    </w:p>
    <w:p w:rsidR="00C86ACC" w:rsidRPr="006D0278" w:rsidRDefault="00C86ACC" w:rsidP="00C86ACC">
      <w:pPr>
        <w:ind w:left="1440"/>
        <w:jc w:val="both"/>
        <w:rPr>
          <w:lang w:val="nl-NL"/>
        </w:rPr>
      </w:pPr>
    </w:p>
    <w:p w:rsidR="00C86ACC" w:rsidRPr="006D0278" w:rsidRDefault="00C86ACC" w:rsidP="00C86ACC">
      <w:pPr>
        <w:ind w:left="720"/>
        <w:jc w:val="both"/>
        <w:rPr>
          <w:lang w:val="nl-NL"/>
        </w:rPr>
      </w:pPr>
    </w:p>
    <w:p w:rsidR="006A7269" w:rsidRPr="006D0278" w:rsidRDefault="008E706C" w:rsidP="000D1800">
      <w:pPr>
        <w:jc w:val="both"/>
        <w:rPr>
          <w:lang w:val="nl-NL"/>
        </w:rPr>
      </w:pPr>
      <w:r w:rsidRPr="006D0278">
        <w:rPr>
          <w:lang w:val="nl-NL"/>
        </w:rPr>
        <w:t xml:space="preserve">Wanneer de aanvrager in een instelling verblijft, moet het OCMW nagaan of hij in een door de wet bedoelde instelling verblijft en dat hij, op het ogenblik van zijn opname in de </w:t>
      </w:r>
      <w:r w:rsidR="00024247" w:rsidRPr="006D0278">
        <w:rPr>
          <w:lang w:val="nl-NL"/>
        </w:rPr>
        <w:t xml:space="preserve">instelling, </w:t>
      </w:r>
      <w:r w:rsidRPr="006D0278">
        <w:rPr>
          <w:lang w:val="nl-NL"/>
        </w:rPr>
        <w:t>een inschrijving als hoofdverblijfplaats heeft in het bevolkings- of vreemdelingenregister of in het wachtregister Indien deze twee voorwaarden zijn vervuld, is het OCMW van de gemeente waar de aanvrager was ingeschreven bevoegd om zijn steunaanvraag te onderzoeken.</w:t>
      </w:r>
    </w:p>
    <w:p w:rsidR="006A7269" w:rsidRPr="006D0278" w:rsidRDefault="006A7269" w:rsidP="006A7269">
      <w:pPr>
        <w:jc w:val="both"/>
        <w:rPr>
          <w:lang w:val="nl-NL"/>
        </w:rPr>
      </w:pPr>
    </w:p>
    <w:p w:rsidR="0076621B" w:rsidRPr="002F4F24" w:rsidRDefault="0076621B" w:rsidP="00F50D3D">
      <w:pPr>
        <w:jc w:val="both"/>
        <w:rPr>
          <w:lang w:val="nl-NL"/>
        </w:rPr>
      </w:pPr>
      <w:r w:rsidRPr="002F4F24">
        <w:rPr>
          <w:lang w:val="nl-NL"/>
        </w:rPr>
        <w:t>De specifieke bevoegdheidsregel vervat in artikel 2, §1, van de wet van 2 april 1965 is een uitzondering op de algemene bevoegdheidsregel vervat in artikel 1, 1°, van voornoemde wet en dient restrictief te worden geïnterpreteerd.</w:t>
      </w:r>
    </w:p>
    <w:p w:rsidR="0076621B" w:rsidRPr="002F4F24" w:rsidRDefault="0076621B" w:rsidP="00F50D3D">
      <w:pPr>
        <w:jc w:val="both"/>
        <w:rPr>
          <w:lang w:val="nl-NL"/>
        </w:rPr>
      </w:pPr>
    </w:p>
    <w:p w:rsidR="0076621B" w:rsidRDefault="0076621B" w:rsidP="00F50D3D">
      <w:pPr>
        <w:jc w:val="both"/>
        <w:rPr>
          <w:lang w:val="nl-NL"/>
        </w:rPr>
      </w:pPr>
      <w:r w:rsidRPr="002F4F24">
        <w:rPr>
          <w:lang w:val="nl-NL"/>
        </w:rPr>
        <w:t>Wanneer de aanvrager niet verblijft in één van de bedoelde instellingen, past men de algemene regel van de gewoonlijke verblijfplaats toe.</w:t>
      </w:r>
    </w:p>
    <w:p w:rsidR="0076621B" w:rsidRDefault="0076621B" w:rsidP="00F50D3D">
      <w:pPr>
        <w:jc w:val="both"/>
        <w:rPr>
          <w:lang w:val="nl-NL"/>
        </w:rPr>
      </w:pPr>
    </w:p>
    <w:p w:rsidR="006A7269" w:rsidRDefault="008E706C" w:rsidP="00F50D3D">
      <w:pPr>
        <w:jc w:val="both"/>
        <w:rPr>
          <w:lang w:val="nl-NL"/>
        </w:rPr>
      </w:pPr>
      <w:r w:rsidRPr="006D0278">
        <w:rPr>
          <w:lang w:val="nl-NL"/>
        </w:rPr>
        <w:t xml:space="preserve">Wanneer verduidelijkt wordt dat de instelling erkend moet zijn en dit niet zo is, is de uitzondering inzake bevoegdheid niet van toepassing en valt men terug op de algemene bevoegdheidsregel, namelijk de bevoegdheid van het OCMW van de gemeente op wiens </w:t>
      </w:r>
      <w:r w:rsidR="003B7EF6" w:rsidRPr="006D0278">
        <w:rPr>
          <w:lang w:val="nl-NL"/>
        </w:rPr>
        <w:t>grondgeb</w:t>
      </w:r>
      <w:r w:rsidR="003B7EF6">
        <w:rPr>
          <w:lang w:val="nl-NL"/>
        </w:rPr>
        <w:t>ie</w:t>
      </w:r>
      <w:r w:rsidR="003B7EF6" w:rsidRPr="006D0278">
        <w:rPr>
          <w:lang w:val="nl-NL"/>
        </w:rPr>
        <w:t xml:space="preserve">d </w:t>
      </w:r>
      <w:r w:rsidRPr="006D0278">
        <w:rPr>
          <w:lang w:val="nl-NL"/>
        </w:rPr>
        <w:t>de persoon verblijft, namelijk het OCMW van de gemeente waar de instelling is gevestigd, wanneer de betrokkene geen andere gewoonlijke verblijfplaats heeft.</w:t>
      </w:r>
    </w:p>
    <w:p w:rsidR="008808CC" w:rsidRPr="006D0278" w:rsidRDefault="008808CC" w:rsidP="00F50D3D">
      <w:pPr>
        <w:jc w:val="both"/>
        <w:rPr>
          <w:lang w:val="nl-NL"/>
        </w:rPr>
      </w:pPr>
    </w:p>
    <w:p w:rsidR="006A7269" w:rsidRPr="006D0278" w:rsidRDefault="006A7269" w:rsidP="006A7269">
      <w:pPr>
        <w:jc w:val="both"/>
        <w:rPr>
          <w:lang w:val="nl-NL"/>
        </w:rPr>
      </w:pPr>
    </w:p>
    <w:p w:rsidR="006A7269" w:rsidRPr="006D0278" w:rsidRDefault="008E706C" w:rsidP="00F50D3D">
      <w:pPr>
        <w:jc w:val="both"/>
        <w:rPr>
          <w:lang w:val="nl-NL"/>
        </w:rPr>
      </w:pPr>
      <w:r w:rsidRPr="006D0278">
        <w:rPr>
          <w:lang w:val="nl-NL"/>
        </w:rPr>
        <w:t>Wanneer de persoon geen inschrijving als hoofdverblijfplaats had in het bevolkings- of vreemdelingenregister of in het wachtregister op het ogenblik van zijn opname in de instelling, valt men eveneens terug op de algemene bevoegdheidsregel. Zoals hierboven reeds aangehaald, bedoelt de wet de inschrijving als hoofdverblijfplaats en dus niet de inschrijving als referentieadres.</w:t>
      </w:r>
    </w:p>
    <w:p w:rsidR="002F4F24" w:rsidRDefault="002F4F24" w:rsidP="00C86ACC">
      <w:pPr>
        <w:ind w:left="720"/>
        <w:jc w:val="both"/>
        <w:rPr>
          <w:lang w:val="nl-NL"/>
        </w:rPr>
      </w:pPr>
      <w:r>
        <w:rPr>
          <w:lang w:val="nl-NL"/>
        </w:rPr>
        <w:br/>
      </w:r>
    </w:p>
    <w:p w:rsidR="002F4F24" w:rsidRDefault="002F4F24">
      <w:pPr>
        <w:rPr>
          <w:lang w:val="nl-NL"/>
        </w:rPr>
      </w:pPr>
      <w:r>
        <w:rPr>
          <w:lang w:val="nl-NL"/>
        </w:rPr>
        <w:br w:type="page"/>
      </w:r>
    </w:p>
    <w:p w:rsidR="00177E94" w:rsidRPr="00177E94" w:rsidRDefault="008E706C" w:rsidP="00177E94">
      <w:pPr>
        <w:pStyle w:val="Heading4"/>
        <w:ind w:left="900"/>
        <w:rPr>
          <w:bCs w:val="0"/>
          <w:u w:val="single"/>
          <w:lang w:val="nl-NL"/>
        </w:rPr>
      </w:pPr>
      <w:bookmarkStart w:id="44" w:name="_Toc510775748"/>
      <w:r w:rsidRPr="006F5B59">
        <w:rPr>
          <w:bCs w:val="0"/>
          <w:u w:val="single"/>
          <w:lang w:val="nl-NL"/>
        </w:rPr>
        <w:lastRenderedPageBreak/>
        <w:t xml:space="preserve">3.1. </w:t>
      </w:r>
      <w:r w:rsidR="008808CC">
        <w:rPr>
          <w:bCs w:val="0"/>
          <w:u w:val="single"/>
          <w:lang w:val="nl-NL"/>
        </w:rPr>
        <w:t xml:space="preserve">De </w:t>
      </w:r>
      <w:r w:rsidR="00177E94" w:rsidRPr="006F5B59">
        <w:rPr>
          <w:bCs w:val="0"/>
          <w:u w:val="single"/>
          <w:lang w:val="nl-NL"/>
        </w:rPr>
        <w:t>lijst van in</w:t>
      </w:r>
      <w:r w:rsidR="008808CC">
        <w:rPr>
          <w:bCs w:val="0"/>
          <w:u w:val="single"/>
          <w:lang w:val="nl-NL"/>
        </w:rPr>
        <w:t>stellingen van artikel 2, § 1,</w:t>
      </w:r>
      <w:r w:rsidR="00177E94" w:rsidRPr="006F5B59">
        <w:rPr>
          <w:bCs w:val="0"/>
          <w:u w:val="single"/>
          <w:lang w:val="nl-NL"/>
        </w:rPr>
        <w:t xml:space="preserve"> ,van de wet van 2 april 1965</w:t>
      </w:r>
      <w:bookmarkEnd w:id="44"/>
    </w:p>
    <w:p w:rsidR="00177E94" w:rsidRPr="00177E94" w:rsidRDefault="00177E94" w:rsidP="00177E94">
      <w:pPr>
        <w:ind w:left="900"/>
        <w:jc w:val="both"/>
        <w:rPr>
          <w:highlight w:val="lightGray"/>
          <w:lang w:val="nl-NL"/>
        </w:rPr>
      </w:pPr>
    </w:p>
    <w:p w:rsidR="005B5E7C" w:rsidRDefault="005B5E7C" w:rsidP="00177E94">
      <w:pPr>
        <w:ind w:left="900"/>
        <w:jc w:val="both"/>
        <w:rPr>
          <w:highlight w:val="yellow"/>
          <w:lang w:val="nl-NL"/>
        </w:rPr>
      </w:pPr>
    </w:p>
    <w:p w:rsidR="00177E94" w:rsidRDefault="008808CC" w:rsidP="00177E94">
      <w:pPr>
        <w:ind w:left="900"/>
        <w:jc w:val="both"/>
        <w:rPr>
          <w:lang w:val="nl-NL"/>
        </w:rPr>
      </w:pPr>
      <w:r>
        <w:rPr>
          <w:lang w:val="nl-NL"/>
        </w:rPr>
        <w:t>-</w:t>
      </w:r>
      <w:r w:rsidR="00177E94" w:rsidRPr="00E26811">
        <w:rPr>
          <w:lang w:val="nl-NL"/>
        </w:rPr>
        <w:t>Op 27  juni 2014</w:t>
      </w:r>
      <w:r w:rsidR="00424CE2" w:rsidRPr="00E26811">
        <w:rPr>
          <w:lang w:val="nl-NL"/>
        </w:rPr>
        <w:t xml:space="preserve"> </w:t>
      </w:r>
      <w:r w:rsidR="00583AF2">
        <w:rPr>
          <w:lang w:val="nl-NL"/>
        </w:rPr>
        <w:t xml:space="preserve">is </w:t>
      </w:r>
      <w:r w:rsidR="00424CE2" w:rsidRPr="00E26811">
        <w:rPr>
          <w:lang w:val="nl-NL"/>
        </w:rPr>
        <w:t>toegevoegd</w:t>
      </w:r>
      <w:r w:rsidR="00177E94" w:rsidRPr="00E26811">
        <w:rPr>
          <w:lang w:val="nl-NL"/>
        </w:rPr>
        <w:t>,</w:t>
      </w:r>
      <w:r w:rsidR="00177E94" w:rsidRPr="00177E94">
        <w:rPr>
          <w:lang w:val="nl-NL"/>
        </w:rPr>
        <w:t xml:space="preserve"> de door de bevoegde overheid erkende centra voor ontwenning van druggebruik </w:t>
      </w:r>
      <w:r w:rsidR="00583AF2">
        <w:rPr>
          <w:lang w:val="nl-NL"/>
        </w:rPr>
        <w:t xml:space="preserve">en </w:t>
      </w:r>
      <w:r w:rsidR="00177E94" w:rsidRPr="00177E94">
        <w:rPr>
          <w:lang w:val="nl-NL"/>
        </w:rPr>
        <w:t xml:space="preserve">worden </w:t>
      </w:r>
      <w:r w:rsidR="00583AF2">
        <w:rPr>
          <w:lang w:val="nl-NL"/>
        </w:rPr>
        <w:t xml:space="preserve">deze centra voor ontwenning van druggebruik </w:t>
      </w:r>
      <w:r w:rsidR="00177E94" w:rsidRPr="00177E94">
        <w:rPr>
          <w:lang w:val="nl-NL"/>
        </w:rPr>
        <w:t>voortaan beschouwd als een instelling van artikel 2, § 1,1° ,van de wet van 2 april 1965 betreffende het ten laste nemen van de steun verleend door de openbare centra voor maatschappelijk welzijn.</w:t>
      </w:r>
    </w:p>
    <w:p w:rsidR="00583AF2" w:rsidRPr="001D2CD4" w:rsidRDefault="00583AF2" w:rsidP="00177E94">
      <w:pPr>
        <w:ind w:left="900"/>
        <w:jc w:val="both"/>
        <w:rPr>
          <w:lang w:val="nl-NL"/>
        </w:rPr>
      </w:pPr>
      <w:r w:rsidRPr="001D2CD4">
        <w:rPr>
          <w:lang w:val="nl-NL"/>
        </w:rPr>
        <w:t xml:space="preserve">Als de aanvrager een </w:t>
      </w:r>
      <w:r w:rsidRPr="001D2CD4">
        <w:rPr>
          <w:b/>
          <w:lang w:val="nl-NL"/>
        </w:rPr>
        <w:t xml:space="preserve">dagprogramma volgt in zo een erkend centrum voor ontwenning van druggebruik </w:t>
      </w:r>
      <w:r w:rsidRPr="001D2CD4">
        <w:rPr>
          <w:lang w:val="nl-NL"/>
        </w:rPr>
        <w:t xml:space="preserve">maar ’s avonds thuis gaat slapen, dan kan het centrum voor ontwenning van druggebruik in dit geval niet beschouwd worden als een instelling van artikel 2 § 1 van de wet van 2 april 1965 omdat het centrum geen residentiële opvang biedt. </w:t>
      </w:r>
    </w:p>
    <w:p w:rsidR="00177E94" w:rsidRPr="001D2CD4" w:rsidRDefault="00177E94" w:rsidP="00177E94">
      <w:pPr>
        <w:ind w:left="900"/>
        <w:jc w:val="both"/>
        <w:rPr>
          <w:lang w:val="nl-NL"/>
        </w:rPr>
      </w:pPr>
    </w:p>
    <w:p w:rsidR="00583AF2" w:rsidRPr="001D2CD4" w:rsidRDefault="00583AF2" w:rsidP="00177E94">
      <w:pPr>
        <w:ind w:left="900"/>
        <w:jc w:val="both"/>
        <w:rPr>
          <w:lang w:val="nl-NL"/>
        </w:rPr>
      </w:pPr>
    </w:p>
    <w:p w:rsidR="00583AF2" w:rsidRPr="001D2CD4" w:rsidRDefault="008808CC" w:rsidP="00177E94">
      <w:pPr>
        <w:ind w:left="900"/>
        <w:jc w:val="both"/>
        <w:rPr>
          <w:lang w:val="nl-NL"/>
        </w:rPr>
      </w:pPr>
      <w:r w:rsidRPr="001D2CD4">
        <w:rPr>
          <w:lang w:val="nl-NL"/>
        </w:rPr>
        <w:t>-</w:t>
      </w:r>
      <w:r w:rsidR="00583AF2" w:rsidRPr="001D2CD4">
        <w:rPr>
          <w:lang w:val="nl-NL"/>
        </w:rPr>
        <w:t xml:space="preserve">De Centra voor Kinderzorg en Gezinsondersteuning (CKG’s) en de instellingen voor slachtoffers mensenhandel kunnen beschouwd worden als instellingen van artikel 2 § 1 van de wet van 2 april 1965 </w:t>
      </w:r>
      <w:r w:rsidR="005800A1" w:rsidRPr="001D2CD4">
        <w:rPr>
          <w:lang w:val="nl-NL"/>
        </w:rPr>
        <w:t>als aan de hierna vermelde voorwaarden voldaan is.</w:t>
      </w:r>
    </w:p>
    <w:p w:rsidR="00177E94" w:rsidRPr="00B24CEB" w:rsidRDefault="00177E94" w:rsidP="00177E94">
      <w:pPr>
        <w:ind w:left="900"/>
        <w:jc w:val="both"/>
        <w:rPr>
          <w:highlight w:val="green"/>
          <w:lang w:val="nl-NL"/>
        </w:rPr>
      </w:pPr>
    </w:p>
    <w:p w:rsidR="00D900E6" w:rsidRPr="001D2CD4" w:rsidRDefault="00D900E6" w:rsidP="00D900E6">
      <w:pPr>
        <w:ind w:left="900"/>
        <w:jc w:val="both"/>
        <w:rPr>
          <w:lang w:val="nl-NL"/>
        </w:rPr>
      </w:pPr>
      <w:r w:rsidRPr="001D2CD4">
        <w:rPr>
          <w:lang w:val="nl-NL"/>
        </w:rPr>
        <w:t xml:space="preserve">1) </w:t>
      </w:r>
      <w:r w:rsidR="005800A1" w:rsidRPr="001D2CD4">
        <w:rPr>
          <w:b/>
          <w:lang w:val="nl-NL"/>
        </w:rPr>
        <w:t xml:space="preserve">De Centra voor Kinderzorg en Gezinsondersteuning (CKG’s) </w:t>
      </w:r>
      <w:r w:rsidR="005800A1" w:rsidRPr="001D2CD4">
        <w:rPr>
          <w:lang w:val="nl-NL"/>
        </w:rPr>
        <w:t xml:space="preserve">vallen onder “een minderjarige in een instelling voor kinderen en / of een instelling die door de bevoegde overheid erkend is om personen in noodsituaties op te vangen en hen tijdelijk te huisvesten en te begeleiden “ zoals bepaald in </w:t>
      </w:r>
      <w:r w:rsidRPr="001D2CD4">
        <w:rPr>
          <w:lang w:val="nl-NL"/>
        </w:rPr>
        <w:t xml:space="preserve">artikel 2, § 1 ,van de wet van 2 april 1965. </w:t>
      </w:r>
    </w:p>
    <w:p w:rsidR="00D900E6" w:rsidRPr="001D2CD4" w:rsidRDefault="00D900E6" w:rsidP="00D900E6">
      <w:pPr>
        <w:ind w:left="900"/>
        <w:jc w:val="both"/>
        <w:rPr>
          <w:lang w:val="nl-NL"/>
        </w:rPr>
      </w:pPr>
    </w:p>
    <w:p w:rsidR="005800A1" w:rsidRPr="001D2CD4" w:rsidRDefault="00D900E6" w:rsidP="00D900E6">
      <w:pPr>
        <w:ind w:left="900"/>
        <w:jc w:val="both"/>
        <w:rPr>
          <w:lang w:val="nl-NL"/>
        </w:rPr>
      </w:pPr>
      <w:r w:rsidRPr="001D2CD4">
        <w:rPr>
          <w:lang w:val="nl-NL"/>
        </w:rPr>
        <w:t>Voor</w:t>
      </w:r>
      <w:r w:rsidR="005800A1" w:rsidRPr="001D2CD4">
        <w:rPr>
          <w:lang w:val="nl-NL"/>
        </w:rPr>
        <w:t xml:space="preserve">waarde om te vallen onder “een minderjarige in een instelling voor kinderen” </w:t>
      </w:r>
      <w:r w:rsidRPr="001D2CD4">
        <w:rPr>
          <w:lang w:val="nl-NL"/>
        </w:rPr>
        <w:t>:</w:t>
      </w:r>
      <w:r w:rsidR="005800A1" w:rsidRPr="001D2CD4">
        <w:rPr>
          <w:lang w:val="nl-NL"/>
        </w:rPr>
        <w:t xml:space="preserve"> enkel voor minderjarigen tot hun meerderjarigheid</w:t>
      </w:r>
      <w:r w:rsidRPr="001D2CD4">
        <w:rPr>
          <w:lang w:val="nl-NL"/>
        </w:rPr>
        <w:t xml:space="preserve">. </w:t>
      </w:r>
    </w:p>
    <w:p w:rsidR="005800A1" w:rsidRPr="001D2CD4" w:rsidRDefault="005800A1" w:rsidP="00D900E6">
      <w:pPr>
        <w:ind w:left="900"/>
        <w:jc w:val="both"/>
        <w:rPr>
          <w:lang w:val="nl-NL"/>
        </w:rPr>
      </w:pPr>
    </w:p>
    <w:p w:rsidR="00D900E6" w:rsidRPr="001D2CD4" w:rsidRDefault="005800A1" w:rsidP="00D900E6">
      <w:pPr>
        <w:ind w:left="900"/>
        <w:jc w:val="both"/>
        <w:rPr>
          <w:lang w:val="nl-NL"/>
        </w:rPr>
      </w:pPr>
      <w:r w:rsidRPr="001D2CD4">
        <w:rPr>
          <w:lang w:val="nl-NL"/>
        </w:rPr>
        <w:t>Voorwaarde</w:t>
      </w:r>
      <w:r w:rsidR="002E69B7" w:rsidRPr="001D2CD4">
        <w:rPr>
          <w:lang w:val="nl-NL"/>
        </w:rPr>
        <w:t>n</w:t>
      </w:r>
      <w:r w:rsidRPr="001D2CD4">
        <w:rPr>
          <w:lang w:val="nl-NL"/>
        </w:rPr>
        <w:t xml:space="preserve"> om te vallen onder “een instelling die door de bevoegde overheid erkend is om personen in noodsituaties op te vangen en hen tijdelijk te huisvesten en te begeleiden” : erkend zijn door de bevoegde overheid, er slapen en dus residentiële opvang bieden, personen in noodsituaties ruim interpreteren.</w:t>
      </w:r>
      <w:r w:rsidR="00D900E6" w:rsidRPr="001D2CD4">
        <w:rPr>
          <w:lang w:val="nl-NL"/>
        </w:rPr>
        <w:t xml:space="preserve"> </w:t>
      </w:r>
    </w:p>
    <w:p w:rsidR="00D900E6" w:rsidRPr="001D2CD4" w:rsidRDefault="00D900E6" w:rsidP="00D900E6">
      <w:pPr>
        <w:ind w:left="900"/>
        <w:jc w:val="both"/>
        <w:rPr>
          <w:lang w:val="nl-NL"/>
        </w:rPr>
      </w:pPr>
    </w:p>
    <w:p w:rsidR="00D900E6" w:rsidRPr="001D2CD4" w:rsidRDefault="00D900E6" w:rsidP="00D900E6">
      <w:pPr>
        <w:ind w:left="900"/>
        <w:jc w:val="both"/>
        <w:rPr>
          <w:lang w:val="nl-NL"/>
        </w:rPr>
      </w:pPr>
      <w:r w:rsidRPr="001D2CD4">
        <w:rPr>
          <w:lang w:val="nl-NL"/>
        </w:rPr>
        <w:t xml:space="preserve">2) </w:t>
      </w:r>
      <w:r w:rsidR="005800A1" w:rsidRPr="001D2CD4">
        <w:rPr>
          <w:b/>
          <w:lang w:val="nl-NL"/>
        </w:rPr>
        <w:t xml:space="preserve">De instellingen voor slachtoffers mensenhandel </w:t>
      </w:r>
      <w:r w:rsidR="002E69B7" w:rsidRPr="001D2CD4">
        <w:rPr>
          <w:lang w:val="nl-NL"/>
        </w:rPr>
        <w:t>vallen</w:t>
      </w:r>
      <w:r w:rsidR="002E69B7" w:rsidRPr="001D2CD4">
        <w:rPr>
          <w:b/>
          <w:lang w:val="nl-NL"/>
        </w:rPr>
        <w:t xml:space="preserve"> </w:t>
      </w:r>
      <w:r w:rsidR="002E69B7" w:rsidRPr="001D2CD4">
        <w:rPr>
          <w:lang w:val="nl-NL"/>
        </w:rPr>
        <w:t>onder “een instelling die door de bevoegde overheid erkend is om personen in noodsituaties op te vangen en hen tijdelijk te huisvesten en te begeleiden” zoals bepaald in</w:t>
      </w:r>
      <w:r w:rsidR="002E69B7" w:rsidRPr="001D2CD4">
        <w:rPr>
          <w:b/>
          <w:lang w:val="nl-NL"/>
        </w:rPr>
        <w:t xml:space="preserve"> </w:t>
      </w:r>
      <w:r w:rsidRPr="001D2CD4">
        <w:rPr>
          <w:lang w:val="nl-NL"/>
        </w:rPr>
        <w:t>art. 2, §, 1, van de wet van 2 april 1965 te kunnen vallen.</w:t>
      </w:r>
    </w:p>
    <w:p w:rsidR="00D900E6" w:rsidRPr="001D2CD4" w:rsidRDefault="00D900E6" w:rsidP="00D900E6">
      <w:pPr>
        <w:ind w:left="900"/>
        <w:jc w:val="both"/>
        <w:rPr>
          <w:lang w:val="nl-NL"/>
        </w:rPr>
      </w:pPr>
    </w:p>
    <w:p w:rsidR="008808CC" w:rsidRPr="001D2CD4" w:rsidRDefault="00D900E6" w:rsidP="00D900E6">
      <w:pPr>
        <w:ind w:left="900"/>
        <w:jc w:val="both"/>
        <w:rPr>
          <w:lang w:val="nl-NL"/>
        </w:rPr>
      </w:pPr>
      <w:r w:rsidRPr="001D2CD4">
        <w:rPr>
          <w:lang w:val="nl-NL"/>
        </w:rPr>
        <w:t>Voor</w:t>
      </w:r>
      <w:r w:rsidR="002E69B7" w:rsidRPr="001D2CD4">
        <w:rPr>
          <w:lang w:val="nl-NL"/>
        </w:rPr>
        <w:t xml:space="preserve">waarden om te vallen onder “een instelling die door de bevoegde overheid erkend is om personen in noodsituaties op te vangen en hen tijdelijk te huisvesten en te begeleiden” </w:t>
      </w:r>
      <w:r w:rsidRPr="001D2CD4">
        <w:rPr>
          <w:lang w:val="nl-NL"/>
        </w:rPr>
        <w:t>:</w:t>
      </w:r>
      <w:r w:rsidR="002E69B7" w:rsidRPr="001D2CD4">
        <w:rPr>
          <w:lang w:val="nl-NL"/>
        </w:rPr>
        <w:t xml:space="preserve"> erkend zijn door de bevoegde overheid, er slapen en dus residentiële opvang bieden, personen in noodsituaties ruim interpreteren</w:t>
      </w:r>
      <w:r w:rsidRPr="001D2CD4">
        <w:rPr>
          <w:lang w:val="nl-NL"/>
        </w:rPr>
        <w:t>.</w:t>
      </w:r>
    </w:p>
    <w:p w:rsidR="008808CC" w:rsidRPr="001D2CD4" w:rsidRDefault="008808CC" w:rsidP="00D900E6">
      <w:pPr>
        <w:ind w:left="900"/>
        <w:jc w:val="both"/>
        <w:rPr>
          <w:lang w:val="nl-NL"/>
        </w:rPr>
      </w:pPr>
    </w:p>
    <w:p w:rsidR="008808CC" w:rsidRPr="001D2CD4" w:rsidRDefault="008808CC" w:rsidP="00D900E6">
      <w:pPr>
        <w:ind w:left="900"/>
        <w:jc w:val="both"/>
        <w:rPr>
          <w:lang w:val="nl-NL"/>
        </w:rPr>
      </w:pPr>
    </w:p>
    <w:p w:rsidR="008808CC" w:rsidRPr="001D2CD4" w:rsidRDefault="008808CC" w:rsidP="008808CC">
      <w:pPr>
        <w:ind w:left="900"/>
        <w:jc w:val="both"/>
        <w:rPr>
          <w:lang w:val="nl-NL"/>
        </w:rPr>
      </w:pPr>
      <w:r w:rsidRPr="001D2CD4">
        <w:rPr>
          <w:lang w:val="nl-NL"/>
        </w:rPr>
        <w:t>Hierdoor wordt vermeden dat de financiële lasten voor de gemeente waar zich een dergelijke voorziening bevindt te hoog worden, en worden deze lasten voortaan verdeeld.</w:t>
      </w:r>
    </w:p>
    <w:p w:rsidR="008808CC" w:rsidRPr="001D2CD4" w:rsidRDefault="008808CC" w:rsidP="008808CC">
      <w:pPr>
        <w:ind w:left="900"/>
        <w:jc w:val="both"/>
        <w:rPr>
          <w:lang w:val="nl-NL"/>
        </w:rPr>
      </w:pPr>
    </w:p>
    <w:p w:rsidR="008808CC" w:rsidRPr="001D2CD4" w:rsidRDefault="008808CC" w:rsidP="008808CC">
      <w:pPr>
        <w:ind w:left="900"/>
        <w:jc w:val="both"/>
        <w:rPr>
          <w:lang w:val="nl-NL"/>
        </w:rPr>
      </w:pPr>
      <w:r w:rsidRPr="001D2CD4">
        <w:rPr>
          <w:lang w:val="nl-NL"/>
        </w:rPr>
        <w:lastRenderedPageBreak/>
        <w:t xml:space="preserve">Het is namelijk zo dat de OCMW ’s van de gemeenten met dergelijke voorzieningen op hun grondgebied, voorheen vaak bijkomende financiële lasten moesten dragen voor de hulp verleend aan de daar verblijvende steunaanvragers. </w:t>
      </w:r>
    </w:p>
    <w:p w:rsidR="008808CC" w:rsidRPr="001D2CD4" w:rsidRDefault="008808CC" w:rsidP="00D900E6">
      <w:pPr>
        <w:ind w:left="900"/>
        <w:jc w:val="both"/>
        <w:rPr>
          <w:lang w:val="nl-NL"/>
        </w:rPr>
      </w:pPr>
    </w:p>
    <w:p w:rsidR="008808CC" w:rsidRPr="001D2CD4" w:rsidRDefault="008808CC" w:rsidP="00D900E6">
      <w:pPr>
        <w:ind w:left="900"/>
        <w:jc w:val="both"/>
        <w:rPr>
          <w:lang w:val="nl-NL"/>
        </w:rPr>
      </w:pPr>
    </w:p>
    <w:p w:rsidR="00C16DE4" w:rsidRPr="001D2CD4" w:rsidRDefault="00C16DE4" w:rsidP="00D900E6">
      <w:pPr>
        <w:ind w:left="900"/>
        <w:jc w:val="both"/>
        <w:rPr>
          <w:lang w:val="nl-NL"/>
        </w:rPr>
      </w:pPr>
      <w:r w:rsidRPr="001D2CD4">
        <w:rPr>
          <w:lang w:val="nl-NL"/>
        </w:rPr>
        <w:t>-</w:t>
      </w:r>
      <w:r w:rsidR="008808CC" w:rsidRPr="001D2CD4">
        <w:rPr>
          <w:lang w:val="nl-NL"/>
        </w:rPr>
        <w:t>De nieuwe Vlaamse regelgeving rond instellingen voor personen met een handicap spreekt sinds kort over vergunde voorzieningen, en niet langer over erkende voorzieningen.</w:t>
      </w:r>
    </w:p>
    <w:p w:rsidR="00C16DE4" w:rsidRPr="001D2CD4" w:rsidRDefault="00C16DE4" w:rsidP="00D900E6">
      <w:pPr>
        <w:ind w:left="900"/>
        <w:jc w:val="both"/>
        <w:rPr>
          <w:lang w:val="nl-NL"/>
        </w:rPr>
      </w:pPr>
      <w:r w:rsidRPr="001D2CD4">
        <w:rPr>
          <w:lang w:val="nl-NL"/>
        </w:rPr>
        <w:t>In tegenstelling tot wat het wetsartikel 2 § 1 van de wet van 2 april 1965 laat uitschijnen, geldt deze uitzondering op de algemene regel zowel voor de erkende als voor de niet-erkende instellingen. Want volgens artikel 20bis van de Wet van 2 april 1965 is de uitzonderingsregel opgenomen in artikel 2 § 1 immers ook van toepassing op niet-erkende instellingen voor gehandicapten en dit tot een nog bij koninklijk besluit te bepalen datum maar tot op vandaag is dit koninklijk besluit er niet.</w:t>
      </w:r>
    </w:p>
    <w:p w:rsidR="00E02ECD" w:rsidRDefault="00C16DE4" w:rsidP="00D900E6">
      <w:pPr>
        <w:ind w:left="900"/>
        <w:jc w:val="both"/>
        <w:rPr>
          <w:lang w:val="nl-NL"/>
        </w:rPr>
      </w:pPr>
      <w:r w:rsidRPr="001D2CD4">
        <w:rPr>
          <w:lang w:val="nl-NL"/>
        </w:rPr>
        <w:t xml:space="preserve">Er is dus geen probleem want volgens artikel 20bis van de Wet van 2 april 1965 vallen </w:t>
      </w:r>
      <w:r w:rsidRPr="001D2CD4">
        <w:rPr>
          <w:b/>
          <w:lang w:val="nl-NL"/>
        </w:rPr>
        <w:t>de niet-erkende maar vergunde instellingen voor gehandicapten</w:t>
      </w:r>
      <w:r w:rsidRPr="001D2CD4">
        <w:rPr>
          <w:lang w:val="nl-NL"/>
        </w:rPr>
        <w:t xml:space="preserve"> ook onder de toepassing van artikel 2 § 1 van de wet van 2 april 1965.</w:t>
      </w:r>
      <w:r w:rsidR="008808CC">
        <w:rPr>
          <w:lang w:val="nl-NL"/>
        </w:rPr>
        <w:t xml:space="preserve"> </w:t>
      </w:r>
    </w:p>
    <w:p w:rsidR="00E02ECD" w:rsidRDefault="00E02ECD" w:rsidP="00D900E6">
      <w:pPr>
        <w:ind w:left="900"/>
        <w:jc w:val="both"/>
        <w:rPr>
          <w:lang w:val="nl-NL"/>
        </w:rPr>
      </w:pPr>
    </w:p>
    <w:p w:rsidR="002E59DD" w:rsidRPr="00177E94" w:rsidRDefault="002E59DD" w:rsidP="00D900E6">
      <w:pPr>
        <w:ind w:left="900"/>
        <w:jc w:val="both"/>
        <w:rPr>
          <w:lang w:val="nl-NL"/>
        </w:rPr>
      </w:pPr>
    </w:p>
    <w:p w:rsidR="003B667A" w:rsidRPr="00177E94" w:rsidRDefault="003B667A" w:rsidP="003B667A">
      <w:pPr>
        <w:jc w:val="both"/>
        <w:rPr>
          <w:lang w:val="nl-NL"/>
        </w:rPr>
      </w:pPr>
    </w:p>
    <w:p w:rsidR="00665CC0" w:rsidRPr="006D0278" w:rsidRDefault="008E706C" w:rsidP="00655650">
      <w:pPr>
        <w:pStyle w:val="Heading4"/>
        <w:ind w:left="900"/>
        <w:jc w:val="both"/>
        <w:rPr>
          <w:bCs w:val="0"/>
          <w:u w:val="single"/>
          <w:lang w:val="nl-NL"/>
        </w:rPr>
      </w:pPr>
      <w:bookmarkStart w:id="45" w:name="_Toc510775749"/>
      <w:r w:rsidRPr="006D0278">
        <w:rPr>
          <w:bCs w:val="0"/>
          <w:u w:val="single"/>
          <w:lang w:val="nl-NL"/>
        </w:rPr>
        <w:t>3.2. De inschrijving, als hoofdverblijfplaats, in het gemeentelijk register</w:t>
      </w:r>
      <w:bookmarkEnd w:id="45"/>
    </w:p>
    <w:p w:rsidR="006A7269" w:rsidRPr="006D0278" w:rsidRDefault="006A7269" w:rsidP="006A7269">
      <w:pPr>
        <w:jc w:val="both"/>
        <w:rPr>
          <w:lang w:val="nl-NL"/>
        </w:rPr>
      </w:pPr>
    </w:p>
    <w:p w:rsidR="00852ACF" w:rsidRPr="006D0278" w:rsidRDefault="00852ACF" w:rsidP="006A7269">
      <w:pPr>
        <w:ind w:left="720"/>
        <w:jc w:val="both"/>
        <w:rPr>
          <w:lang w:val="nl-NL"/>
        </w:rPr>
      </w:pPr>
    </w:p>
    <w:p w:rsidR="006A7269" w:rsidRPr="006D0278" w:rsidRDefault="008E706C" w:rsidP="006A7269">
      <w:pPr>
        <w:ind w:left="720"/>
        <w:jc w:val="both"/>
        <w:rPr>
          <w:lang w:val="nl-NL"/>
        </w:rPr>
      </w:pPr>
      <w:r w:rsidRPr="006D0278">
        <w:rPr>
          <w:lang w:val="nl-NL"/>
        </w:rPr>
        <w:t>Artikel 2, §1, van de wet van 2 april 1965 is enkel van toepassing indien de aanvrager in het register is</w:t>
      </w:r>
      <w:r w:rsidRPr="006D0278">
        <w:rPr>
          <w:b/>
          <w:lang w:val="nl-NL"/>
        </w:rPr>
        <w:t xml:space="preserve"> ingeschreven voor zijn hoofdverblijfplaats, op het ogenblik van zijn opname in de instelling</w:t>
      </w:r>
      <w:r w:rsidRPr="006D0278">
        <w:rPr>
          <w:lang w:val="nl-NL"/>
        </w:rPr>
        <w:t xml:space="preserve">. </w:t>
      </w:r>
    </w:p>
    <w:p w:rsidR="006A7269" w:rsidRPr="006D0278" w:rsidRDefault="006A7269" w:rsidP="006A7269">
      <w:pPr>
        <w:ind w:left="720"/>
        <w:jc w:val="both"/>
        <w:rPr>
          <w:lang w:val="nl-NL"/>
        </w:rPr>
      </w:pPr>
    </w:p>
    <w:p w:rsidR="006A7269" w:rsidRPr="006D0278" w:rsidRDefault="008E706C" w:rsidP="00DA101F">
      <w:pPr>
        <w:numPr>
          <w:ilvl w:val="0"/>
          <w:numId w:val="10"/>
        </w:numPr>
        <w:jc w:val="both"/>
        <w:rPr>
          <w:lang w:val="nl-NL"/>
        </w:rPr>
      </w:pPr>
      <w:r w:rsidRPr="006D0278">
        <w:rPr>
          <w:lang w:val="nl-NL"/>
        </w:rPr>
        <w:t xml:space="preserve">Het OCMW moet de </w:t>
      </w:r>
      <w:r w:rsidRPr="006D0278">
        <w:rPr>
          <w:u w:val="single"/>
          <w:lang w:val="nl-NL"/>
        </w:rPr>
        <w:t>administratieve toestand van de persoon onderzoeken op het ogenblik van zijn opname in de instelling</w:t>
      </w:r>
      <w:r w:rsidRPr="006D0278">
        <w:rPr>
          <w:lang w:val="nl-NL"/>
        </w:rPr>
        <w:t>. Een wijziging in de administratieve toestand van de persoon na zijn opname zal zonder effect zijn tijdens zijn verblijf in deze instelling. Het bevoegde OCMW is dat van de gemeente waar de persoon is ingeschreven in het gemeentelijk bevolkingsregister op het ogenblik van zijn opname in de instelling, en dit gedurende zijn ganse verblijf, zelfs wanneer de persoon er niet meer ingeschreven is op het ogenblik dat hij zijn steunaanvraag heeft gedaan, dat hij geschrapt werd of dat hij van domicilie is veranderd.</w:t>
      </w:r>
    </w:p>
    <w:p w:rsidR="006A7269" w:rsidRPr="006D0278" w:rsidRDefault="006A7269" w:rsidP="006A7269">
      <w:pPr>
        <w:ind w:left="720"/>
        <w:jc w:val="both"/>
        <w:rPr>
          <w:lang w:val="nl-NL"/>
        </w:rPr>
      </w:pPr>
    </w:p>
    <w:p w:rsidR="006A7269" w:rsidRPr="006D0278" w:rsidRDefault="008E706C" w:rsidP="00DA101F">
      <w:pPr>
        <w:pStyle w:val="BodyTextIndent"/>
        <w:numPr>
          <w:ilvl w:val="0"/>
          <w:numId w:val="10"/>
        </w:numPr>
        <w:rPr>
          <w:bCs/>
          <w:lang w:val="nl-NL"/>
        </w:rPr>
      </w:pPr>
      <w:r w:rsidRPr="006D0278">
        <w:rPr>
          <w:lang w:val="nl-NL"/>
        </w:rPr>
        <w:t>Deze regel is niet van toepassing wanneer de persoon een</w:t>
      </w:r>
      <w:r w:rsidRPr="006D0278">
        <w:rPr>
          <w:u w:val="single"/>
          <w:lang w:val="nl-NL"/>
        </w:rPr>
        <w:t xml:space="preserve"> inschrijving heeft als referentieadres of geen inschrijving heeft</w:t>
      </w:r>
      <w:r w:rsidRPr="006D0278">
        <w:rPr>
          <w:lang w:val="nl-NL"/>
        </w:rPr>
        <w:t>. Een inschrijving als referentieadres wordt niet in aanmerking genomen voor de toepassing van de territoriale bevoegdheidsregel van de OCMW's van artikel 2, §1</w:t>
      </w:r>
      <w:r w:rsidRPr="006D0278">
        <w:rPr>
          <w:bCs/>
          <w:lang w:val="nl-NL"/>
        </w:rPr>
        <w:t xml:space="preserve">, van voornoemde wet. </w:t>
      </w:r>
    </w:p>
    <w:p w:rsidR="00C86ACC" w:rsidRPr="006D0278" w:rsidRDefault="00C86ACC" w:rsidP="006A7269">
      <w:pPr>
        <w:ind w:left="720"/>
        <w:jc w:val="both"/>
        <w:rPr>
          <w:lang w:val="nl-NL"/>
        </w:rPr>
      </w:pPr>
    </w:p>
    <w:p w:rsidR="00AE2BAC" w:rsidRPr="006D0278" w:rsidRDefault="008E706C" w:rsidP="005431FC">
      <w:pPr>
        <w:ind w:left="1080"/>
        <w:jc w:val="both"/>
        <w:rPr>
          <w:lang w:val="nl-NL"/>
        </w:rPr>
      </w:pPr>
      <w:r w:rsidRPr="006D0278">
        <w:rPr>
          <w:lang w:val="nl-NL"/>
        </w:rPr>
        <w:t>Wanneer de aanvrager geen inschrijving had als hoofdverblijfplaats, of geschrapt was uit het register of een inschrijving had als referentieadres op het ogenblik van zijn opname in de instelling, is deze specifieke regel niet van toepassing.</w:t>
      </w:r>
    </w:p>
    <w:p w:rsidR="00AE2BAC" w:rsidRDefault="008E706C" w:rsidP="005431FC">
      <w:pPr>
        <w:ind w:left="1080"/>
        <w:jc w:val="both"/>
        <w:rPr>
          <w:lang w:val="nl-NL"/>
        </w:rPr>
      </w:pPr>
      <w:r w:rsidRPr="006D0278">
        <w:rPr>
          <w:lang w:val="nl-NL"/>
        </w:rPr>
        <w:t xml:space="preserve">Het OCMW van de gemeente waar de aanvrager gewoonlijk verblijft op het ogenblik van zijn aanvraag is </w:t>
      </w:r>
      <w:r w:rsidR="00024247">
        <w:rPr>
          <w:lang w:val="nl-NL"/>
        </w:rPr>
        <w:t xml:space="preserve">dan </w:t>
      </w:r>
      <w:r w:rsidRPr="006D0278">
        <w:rPr>
          <w:lang w:val="nl-NL"/>
        </w:rPr>
        <w:t>bevoegd.</w:t>
      </w:r>
    </w:p>
    <w:p w:rsidR="00695A84" w:rsidRDefault="00695A84" w:rsidP="005431FC">
      <w:pPr>
        <w:ind w:left="1080"/>
        <w:jc w:val="both"/>
        <w:rPr>
          <w:lang w:val="nl-NL"/>
        </w:rPr>
      </w:pPr>
    </w:p>
    <w:p w:rsidR="00695A84" w:rsidRPr="001D2CD4" w:rsidRDefault="00695A84" w:rsidP="005431FC">
      <w:pPr>
        <w:ind w:left="1080"/>
        <w:jc w:val="both"/>
        <w:rPr>
          <w:lang w:val="nl-NL"/>
        </w:rPr>
      </w:pPr>
      <w:r w:rsidRPr="001D2CD4">
        <w:rPr>
          <w:lang w:val="nl-NL"/>
        </w:rPr>
        <w:t>Een inschrijving als referentieadres wordt niet in aanmerking genomen ongeacht het type referentieadres namelijk een referentieadres als dakloze of een referentieadres als gedetineerde.</w:t>
      </w:r>
    </w:p>
    <w:p w:rsidR="00695A84" w:rsidRPr="001D2CD4" w:rsidRDefault="00695A84" w:rsidP="005431FC">
      <w:pPr>
        <w:ind w:left="1080"/>
        <w:jc w:val="both"/>
        <w:rPr>
          <w:lang w:val="nl-NL"/>
        </w:rPr>
      </w:pPr>
      <w:r w:rsidRPr="001D2CD4">
        <w:rPr>
          <w:lang w:val="nl-NL"/>
        </w:rPr>
        <w:lastRenderedPageBreak/>
        <w:t>Een referentieadres voor een gedetineerde bij een bepaald OCMW betekent dus niet noodzakelijk dat dit OCMW bevoegd is</w:t>
      </w:r>
      <w:r w:rsidR="00593E28" w:rsidRPr="001D2CD4">
        <w:rPr>
          <w:lang w:val="nl-NL"/>
        </w:rPr>
        <w:t xml:space="preserve"> want de bevoegdheidsregels van de wet van 2 april 1965 dienen toegepast te worden</w:t>
      </w:r>
      <w:r w:rsidRPr="001D2CD4">
        <w:rPr>
          <w:lang w:val="nl-NL"/>
        </w:rPr>
        <w:t>.</w:t>
      </w:r>
    </w:p>
    <w:p w:rsidR="00695A84" w:rsidRPr="006D0278" w:rsidRDefault="00695A84" w:rsidP="005431FC">
      <w:pPr>
        <w:ind w:left="1080"/>
        <w:jc w:val="both"/>
        <w:rPr>
          <w:lang w:val="nl-NL"/>
        </w:rPr>
      </w:pPr>
      <w:r w:rsidRPr="001D2CD4">
        <w:rPr>
          <w:lang w:val="nl-NL"/>
        </w:rPr>
        <w:t>Het</w:t>
      </w:r>
      <w:r w:rsidR="00593E28" w:rsidRPr="001D2CD4">
        <w:rPr>
          <w:lang w:val="nl-NL"/>
        </w:rPr>
        <w:t xml:space="preserve"> onderscheid tussen het referentieadres voor daklozen en het referentieadres voor gedetineerden is dat het referentieadres voor gedetineerden een louter administratieve inschrijving is en </w:t>
      </w:r>
      <w:r w:rsidR="00B24CEB" w:rsidRPr="001D2CD4">
        <w:rPr>
          <w:lang w:val="nl-NL"/>
        </w:rPr>
        <w:t xml:space="preserve">niet </w:t>
      </w:r>
      <w:r w:rsidR="00593E28" w:rsidRPr="001D2CD4">
        <w:rPr>
          <w:lang w:val="nl-NL"/>
        </w:rPr>
        <w:t>wordt beschouwd als een vorm van maatschappelijke dienstverlening. Deze materie behoort dan ook in de regel niet tot de bevoegdheid van onze overheidsdienst, maar tot die van FOD Binnenlandse Zaken (zie omzendbrief van 22 december 2015). In tegenstelling tot het referentieadres voor daklozen, is geen onderzoek naar bevoegdheid, noch een sociaal onderzoek noch een beslissing tot toekenning door het OCMW vereist. De gevangenis neemt rechtstreeks contact op met de gemeente van de laatste beheersgemeente van de gedetineerde, die de inschrijving op het adres van het OCMW uitvoert en het OCMW hiervan in kennis stelt.</w:t>
      </w:r>
      <w:r w:rsidR="00593E28">
        <w:rPr>
          <w:lang w:val="nl-NL"/>
        </w:rPr>
        <w:t xml:space="preserve"> </w:t>
      </w:r>
      <w:r>
        <w:rPr>
          <w:lang w:val="nl-NL"/>
        </w:rPr>
        <w:t xml:space="preserve"> </w:t>
      </w:r>
    </w:p>
    <w:p w:rsidR="005431FC" w:rsidRPr="006D0278" w:rsidRDefault="005431FC" w:rsidP="005431FC">
      <w:pPr>
        <w:ind w:left="1080"/>
        <w:jc w:val="both"/>
        <w:rPr>
          <w:lang w:val="nl-NL"/>
        </w:rPr>
      </w:pPr>
    </w:p>
    <w:p w:rsidR="00C86ACC" w:rsidRPr="006D0278" w:rsidRDefault="00C86ACC" w:rsidP="00C86ACC">
      <w:pPr>
        <w:ind w:left="1440"/>
        <w:jc w:val="both"/>
        <w:rPr>
          <w:lang w:val="nl-NL"/>
        </w:rPr>
      </w:pPr>
    </w:p>
    <w:p w:rsidR="00C86ACC" w:rsidRPr="006D0278" w:rsidRDefault="008E706C" w:rsidP="00DA101F">
      <w:pPr>
        <w:numPr>
          <w:ilvl w:val="0"/>
          <w:numId w:val="10"/>
        </w:numPr>
        <w:jc w:val="both"/>
        <w:rPr>
          <w:lang w:val="nl-NL"/>
        </w:rPr>
      </w:pPr>
      <w:r w:rsidRPr="006D0278">
        <w:rPr>
          <w:u w:val="single"/>
          <w:lang w:val="nl-NL"/>
        </w:rPr>
        <w:t>De voorwaarde voor de inschrijving als hoofdverblijfplaats is vervuld, zelfs wanneer het adres waarop de persoon i</w:t>
      </w:r>
      <w:r w:rsidR="00024247">
        <w:rPr>
          <w:u w:val="single"/>
          <w:lang w:val="nl-NL"/>
        </w:rPr>
        <w:t>s</w:t>
      </w:r>
      <w:r w:rsidRPr="006D0278">
        <w:rPr>
          <w:u w:val="single"/>
          <w:lang w:val="nl-NL"/>
        </w:rPr>
        <w:t xml:space="preserve"> ingeschreven </w:t>
      </w:r>
      <w:r w:rsidR="00024247">
        <w:rPr>
          <w:u w:val="single"/>
          <w:lang w:val="nl-NL"/>
        </w:rPr>
        <w:t>samenvalt</w:t>
      </w:r>
      <w:r w:rsidRPr="006D0278">
        <w:rPr>
          <w:u w:val="single"/>
          <w:lang w:val="nl-NL"/>
        </w:rPr>
        <w:t xml:space="preserve"> met het adres van een </w:t>
      </w:r>
      <w:r w:rsidR="00F9388F" w:rsidRPr="006D0278">
        <w:rPr>
          <w:u w:val="single"/>
          <w:lang w:val="nl-NL"/>
        </w:rPr>
        <w:t xml:space="preserve">instelling </w:t>
      </w:r>
      <w:r w:rsidRPr="006D0278">
        <w:rPr>
          <w:lang w:val="nl-NL"/>
        </w:rPr>
        <w:t>(opvangtehuis, gevangenis, enz.).</w:t>
      </w:r>
    </w:p>
    <w:p w:rsidR="00FD6CB0" w:rsidRPr="006D0278" w:rsidRDefault="00FD6CB0" w:rsidP="006A7269">
      <w:pPr>
        <w:ind w:left="720"/>
        <w:jc w:val="both"/>
        <w:rPr>
          <w:lang w:val="nl-NL"/>
        </w:rPr>
      </w:pPr>
    </w:p>
    <w:p w:rsidR="00FD6CB0" w:rsidRPr="006D0278" w:rsidRDefault="008E706C" w:rsidP="005431FC">
      <w:pPr>
        <w:pStyle w:val="Letter"/>
        <w:ind w:left="1080"/>
        <w:jc w:val="both"/>
        <w:rPr>
          <w:rFonts w:ascii="Times New Roman" w:hAnsi="Times New Roman"/>
          <w:bCs/>
          <w:sz w:val="24"/>
          <w:lang w:val="nl-NL"/>
        </w:rPr>
      </w:pPr>
      <w:r w:rsidRPr="006D0278">
        <w:rPr>
          <w:rFonts w:ascii="Times New Roman" w:hAnsi="Times New Roman"/>
          <w:sz w:val="24"/>
          <w:szCs w:val="24"/>
          <w:lang w:val="nl-NL"/>
        </w:rPr>
        <w:t>Wanneer de betrokkene in een instelling verblijft bedoeld door de wet en als hoofdverblijfplaats is ingeschreven in het bevolkingsregister van gemeente X, overeenkomstig de reglementering betreffende de bevolkingsregisters die valt onder de bevoegdheid van de Minister van Binnenlandse Zaken, moet deze inschrijving in aanmerking genomen worden voor de toepassing van de territoriale bevoegdheidsregel van de OCMW's van artikel 2, §1</w:t>
      </w:r>
      <w:r w:rsidR="00424679">
        <w:rPr>
          <w:rFonts w:ascii="Times New Roman" w:hAnsi="Times New Roman"/>
          <w:sz w:val="24"/>
          <w:szCs w:val="24"/>
          <w:lang w:val="nl-NL"/>
        </w:rPr>
        <w:t>,</w:t>
      </w:r>
      <w:r w:rsidRPr="006D0278">
        <w:rPr>
          <w:rFonts w:ascii="Times New Roman" w:hAnsi="Times New Roman"/>
          <w:bCs/>
          <w:sz w:val="24"/>
          <w:lang w:val="nl-NL"/>
        </w:rPr>
        <w:t xml:space="preserve"> van de wet van 2 april 1965, zelfs wanneer deze persoon nog is ingeschreven op het adres van een vorige instelling waar hij heeft verbleven (gevangenis, opvangtehuis, psychiatrisch ziekenhuis, rusthuis, enz.).</w:t>
      </w:r>
    </w:p>
    <w:p w:rsidR="00FD6CB0" w:rsidRPr="006D0278" w:rsidRDefault="00FD6CB0" w:rsidP="00FD6CB0">
      <w:pPr>
        <w:pStyle w:val="Letter"/>
        <w:ind w:left="720"/>
        <w:jc w:val="both"/>
        <w:rPr>
          <w:rFonts w:ascii="Times New Roman" w:hAnsi="Times New Roman"/>
          <w:bCs/>
          <w:sz w:val="24"/>
          <w:lang w:val="nl-NL"/>
        </w:rPr>
      </w:pPr>
    </w:p>
    <w:p w:rsidR="00FD6CB0" w:rsidRPr="006D0278" w:rsidRDefault="008E706C" w:rsidP="005431FC">
      <w:pPr>
        <w:pStyle w:val="Letter"/>
        <w:ind w:left="720" w:firstLine="360"/>
        <w:jc w:val="both"/>
        <w:rPr>
          <w:rFonts w:ascii="Times New Roman" w:hAnsi="Times New Roman"/>
          <w:i/>
          <w:sz w:val="24"/>
          <w:szCs w:val="24"/>
          <w:lang w:val="nl-NL"/>
        </w:rPr>
      </w:pPr>
      <w:r w:rsidRPr="006D0278">
        <w:rPr>
          <w:rFonts w:ascii="Times New Roman" w:hAnsi="Times New Roman"/>
          <w:i/>
          <w:sz w:val="24"/>
          <w:szCs w:val="24"/>
          <w:u w:val="single"/>
          <w:lang w:val="nl-NL"/>
        </w:rPr>
        <w:t>Voorbeeld</w:t>
      </w:r>
      <w:r w:rsidRPr="006D0278">
        <w:rPr>
          <w:rFonts w:ascii="Times New Roman" w:hAnsi="Times New Roman"/>
          <w:i/>
          <w:sz w:val="24"/>
          <w:szCs w:val="24"/>
          <w:lang w:val="nl-NL"/>
        </w:rPr>
        <w:t xml:space="preserve">: </w:t>
      </w:r>
    </w:p>
    <w:p w:rsidR="00FD6CB0" w:rsidRPr="006D0278" w:rsidRDefault="008E706C" w:rsidP="005431FC">
      <w:pPr>
        <w:pStyle w:val="Letter"/>
        <w:ind w:left="1080"/>
        <w:jc w:val="both"/>
        <w:rPr>
          <w:rFonts w:ascii="Times New Roman" w:hAnsi="Times New Roman"/>
          <w:i/>
          <w:sz w:val="24"/>
          <w:lang w:val="nl-NL"/>
        </w:rPr>
      </w:pPr>
      <w:r w:rsidRPr="006D0278">
        <w:rPr>
          <w:rFonts w:ascii="Times New Roman" w:hAnsi="Times New Roman"/>
          <w:i/>
          <w:sz w:val="24"/>
          <w:szCs w:val="24"/>
          <w:lang w:val="nl-NL"/>
        </w:rPr>
        <w:t>De betrokkene is gedomicilieerd in gemeente X op</w:t>
      </w:r>
      <w:r w:rsidRPr="006D0278">
        <w:rPr>
          <w:rFonts w:ascii="Times New Roman" w:hAnsi="Times New Roman"/>
          <w:i/>
          <w:sz w:val="24"/>
          <w:szCs w:val="24"/>
          <w:u w:val="single"/>
          <w:lang w:val="nl-NL"/>
        </w:rPr>
        <w:t xml:space="preserve"> het adres van een opvangtehuis</w:t>
      </w:r>
      <w:r w:rsidR="00024247">
        <w:rPr>
          <w:rFonts w:ascii="Times New Roman" w:hAnsi="Times New Roman"/>
          <w:i/>
          <w:sz w:val="24"/>
          <w:szCs w:val="24"/>
          <w:u w:val="single"/>
          <w:lang w:val="nl-NL"/>
        </w:rPr>
        <w:t xml:space="preserve"> </w:t>
      </w:r>
      <w:r w:rsidRPr="006D0278">
        <w:rPr>
          <w:rFonts w:ascii="Times New Roman" w:hAnsi="Times New Roman"/>
          <w:i/>
          <w:sz w:val="24"/>
          <w:szCs w:val="24"/>
          <w:lang w:val="nl-NL"/>
        </w:rPr>
        <w:t>waarin hij voorheen verbleef en hij verblijft momenteel in een</w:t>
      </w:r>
      <w:r w:rsidR="00024247">
        <w:rPr>
          <w:rFonts w:ascii="Times New Roman" w:hAnsi="Times New Roman"/>
          <w:i/>
          <w:sz w:val="24"/>
          <w:szCs w:val="24"/>
          <w:lang w:val="nl-NL"/>
        </w:rPr>
        <w:t xml:space="preserve"> </w:t>
      </w:r>
      <w:r w:rsidR="00024247">
        <w:rPr>
          <w:rFonts w:ascii="Times New Roman" w:hAnsi="Times New Roman"/>
          <w:i/>
          <w:sz w:val="24"/>
          <w:szCs w:val="24"/>
          <w:u w:val="single"/>
          <w:lang w:val="nl-NL"/>
        </w:rPr>
        <w:t>ander erkend</w:t>
      </w:r>
      <w:r w:rsidRPr="006D0278">
        <w:rPr>
          <w:rFonts w:ascii="Times New Roman" w:hAnsi="Times New Roman"/>
          <w:i/>
          <w:sz w:val="24"/>
          <w:szCs w:val="24"/>
          <w:u w:val="single"/>
          <w:lang w:val="nl-NL"/>
        </w:rPr>
        <w:t xml:space="preserve"> opvangtehuis</w:t>
      </w:r>
      <w:r w:rsidRPr="006D0278">
        <w:rPr>
          <w:rFonts w:ascii="Times New Roman" w:hAnsi="Times New Roman"/>
          <w:i/>
          <w:sz w:val="24"/>
          <w:szCs w:val="24"/>
          <w:lang w:val="nl-NL"/>
        </w:rPr>
        <w:t xml:space="preserve"> gelegen in gemeente Y. Het OCMW van gemeente X is bevoegd.</w:t>
      </w:r>
    </w:p>
    <w:p w:rsidR="00C86ACC" w:rsidRPr="006D0278" w:rsidRDefault="00C86ACC" w:rsidP="00C86ACC">
      <w:pPr>
        <w:ind w:left="1800"/>
        <w:jc w:val="both"/>
        <w:rPr>
          <w:lang w:val="nl-NL"/>
        </w:rPr>
      </w:pPr>
    </w:p>
    <w:p w:rsidR="00FD6CB0" w:rsidRPr="006D0278" w:rsidRDefault="008E706C" w:rsidP="005431FC">
      <w:pPr>
        <w:pStyle w:val="Letter"/>
        <w:ind w:left="1080"/>
        <w:jc w:val="both"/>
        <w:rPr>
          <w:rFonts w:ascii="Times New Roman" w:hAnsi="Times New Roman"/>
          <w:bCs/>
          <w:sz w:val="24"/>
          <w:szCs w:val="24"/>
          <w:lang w:val="nl-NL" w:eastAsia="nl-NL"/>
        </w:rPr>
      </w:pPr>
      <w:r w:rsidRPr="006D0278">
        <w:rPr>
          <w:rFonts w:ascii="Times New Roman" w:hAnsi="Times New Roman"/>
          <w:bCs/>
          <w:sz w:val="24"/>
          <w:szCs w:val="24"/>
          <w:lang w:val="nl-NL" w:eastAsia="nl-NL"/>
        </w:rPr>
        <w:t>De OCMW's roepen vaak</w:t>
      </w:r>
      <w:r w:rsidR="00024247">
        <w:rPr>
          <w:rFonts w:ascii="Times New Roman" w:hAnsi="Times New Roman"/>
          <w:bCs/>
          <w:sz w:val="24"/>
          <w:szCs w:val="24"/>
          <w:lang w:val="nl-NL" w:eastAsia="nl-NL"/>
        </w:rPr>
        <w:t xml:space="preserve"> </w:t>
      </w:r>
      <w:r w:rsidRPr="006D0278">
        <w:rPr>
          <w:rFonts w:ascii="Times New Roman" w:hAnsi="Times New Roman"/>
          <w:sz w:val="24"/>
          <w:szCs w:val="24"/>
          <w:u w:val="single"/>
          <w:lang w:val="nl-NL"/>
        </w:rPr>
        <w:t>artikel 6 in van de wet van 02/04/1965</w:t>
      </w:r>
      <w:r w:rsidRPr="006D0278">
        <w:rPr>
          <w:rFonts w:ascii="Times New Roman" w:hAnsi="Times New Roman"/>
          <w:sz w:val="24"/>
          <w:szCs w:val="24"/>
          <w:lang w:val="nl-NL"/>
        </w:rPr>
        <w:t xml:space="preserve"> om zich onbevoegd te verklaren. Zij beschouwen dat het feit dat de aanvrager is ingeschreven op het adres van een instelling </w:t>
      </w:r>
      <w:r w:rsidR="00F9388F" w:rsidRPr="006D0278">
        <w:rPr>
          <w:rFonts w:ascii="Times New Roman" w:hAnsi="Times New Roman"/>
          <w:sz w:val="24"/>
          <w:szCs w:val="24"/>
          <w:lang w:val="nl-NL"/>
        </w:rPr>
        <w:t xml:space="preserve">een </w:t>
      </w:r>
      <w:r w:rsidRPr="006D0278">
        <w:rPr>
          <w:rFonts w:ascii="Times New Roman" w:hAnsi="Times New Roman"/>
          <w:sz w:val="24"/>
          <w:szCs w:val="24"/>
          <w:u w:val="single"/>
          <w:lang w:val="nl-NL"/>
        </w:rPr>
        <w:t>domicilie zonder uitwerking</w:t>
      </w:r>
      <w:r w:rsidRPr="006D0278">
        <w:rPr>
          <w:rFonts w:ascii="Times New Roman" w:hAnsi="Times New Roman"/>
          <w:sz w:val="24"/>
          <w:szCs w:val="24"/>
          <w:lang w:val="nl-NL"/>
        </w:rPr>
        <w:t xml:space="preserve"> is dat niet in aanmerking kan worden genomen om het bevoegd OCMW te bepalen.</w:t>
      </w:r>
    </w:p>
    <w:p w:rsidR="00FD6CB0" w:rsidRPr="006D0278" w:rsidRDefault="00FD6CB0" w:rsidP="00FD6CB0">
      <w:pPr>
        <w:pStyle w:val="Letter"/>
        <w:ind w:left="720"/>
        <w:jc w:val="both"/>
        <w:rPr>
          <w:rFonts w:ascii="Times New Roman" w:hAnsi="Times New Roman"/>
          <w:sz w:val="24"/>
          <w:szCs w:val="24"/>
          <w:lang w:val="nl-NL"/>
        </w:rPr>
      </w:pPr>
    </w:p>
    <w:p w:rsidR="00FD6CB0" w:rsidRPr="006D0278" w:rsidRDefault="008E706C" w:rsidP="005431FC">
      <w:pPr>
        <w:pStyle w:val="BodyTextIndent"/>
        <w:ind w:left="1065" w:firstLine="15"/>
        <w:rPr>
          <w:bCs/>
          <w:lang w:val="nl-NL"/>
        </w:rPr>
      </w:pPr>
      <w:r w:rsidRPr="006D0278">
        <w:rPr>
          <w:bCs/>
          <w:lang w:val="nl-NL"/>
        </w:rPr>
        <w:t xml:space="preserve">Deze argumentatie is onjuist. </w:t>
      </w:r>
    </w:p>
    <w:p w:rsidR="00FD6CB0" w:rsidRPr="006D0278" w:rsidRDefault="00FD6CB0" w:rsidP="00FD6CB0">
      <w:pPr>
        <w:pStyle w:val="BodyTextIndent"/>
        <w:ind w:left="705" w:firstLine="15"/>
        <w:rPr>
          <w:bCs/>
          <w:lang w:val="nl-NL"/>
        </w:rPr>
      </w:pPr>
    </w:p>
    <w:p w:rsidR="00FD6CB0" w:rsidRPr="006D0278" w:rsidRDefault="008E706C" w:rsidP="005431FC">
      <w:pPr>
        <w:pStyle w:val="BodyTextIndent"/>
        <w:ind w:left="1065"/>
        <w:rPr>
          <w:lang w:val="nl-NL"/>
        </w:rPr>
      </w:pPr>
      <w:r w:rsidRPr="006D0278">
        <w:rPr>
          <w:lang w:val="nl-NL"/>
        </w:rPr>
        <w:t xml:space="preserve">Er moet worden opgemerkt dat artikel 6 van de  wet van 02/04/1965 die bepaalt dat </w:t>
      </w:r>
      <w:r w:rsidRPr="006D0278">
        <w:rPr>
          <w:i/>
          <w:iCs/>
          <w:lang w:val="nl-NL"/>
        </w:rPr>
        <w:t>" I</w:t>
      </w:r>
      <w:r w:rsidRPr="006D0278">
        <w:rPr>
          <w:bCs/>
          <w:i/>
          <w:iCs/>
          <w:spacing w:val="-1"/>
          <w:lang w:val="nl-NL"/>
        </w:rPr>
        <w:t>s zonder uitwerking voor het verwerven van een nieuw onderstandsdomicilie het verblijf, al dan niet als behoeftige hetzij in een verplegingsinstelling, hetzij in een instelling of bij een privaat persoon bedoeld bij artikel 2, § 1, van dezelfde wet</w:t>
      </w:r>
      <w:r w:rsidRPr="006D0278">
        <w:rPr>
          <w:bCs/>
          <w:spacing w:val="-1"/>
          <w:lang w:val="nl-NL"/>
        </w:rPr>
        <w:t xml:space="preserve">", betrekking heeft op </w:t>
      </w:r>
      <w:r w:rsidRPr="006D0278">
        <w:rPr>
          <w:bCs/>
          <w:spacing w:val="-1"/>
          <w:u w:val="single"/>
          <w:lang w:val="nl-NL"/>
        </w:rPr>
        <w:t xml:space="preserve"> de bepaling van het OCMW van het onderstandsdomicili</w:t>
      </w:r>
      <w:r w:rsidR="00921B1B">
        <w:rPr>
          <w:bCs/>
          <w:spacing w:val="-1"/>
          <w:u w:val="single"/>
          <w:lang w:val="nl-NL"/>
        </w:rPr>
        <w:t>e</w:t>
      </w:r>
      <w:r w:rsidRPr="006D0278">
        <w:rPr>
          <w:bCs/>
          <w:spacing w:val="-1"/>
          <w:u w:val="single"/>
          <w:lang w:val="nl-NL"/>
        </w:rPr>
        <w:t xml:space="preserve"> en niet op de territoriale bevoegdheid van de OCMW's </w:t>
      </w:r>
      <w:r w:rsidRPr="006D0278">
        <w:rPr>
          <w:bCs/>
          <w:spacing w:val="-1"/>
          <w:lang w:val="nl-NL"/>
        </w:rPr>
        <w:t>.</w:t>
      </w:r>
    </w:p>
    <w:p w:rsidR="00C86ACC" w:rsidRPr="006D0278" w:rsidRDefault="00C86ACC" w:rsidP="00C86ACC">
      <w:pPr>
        <w:jc w:val="both"/>
        <w:rPr>
          <w:highlight w:val="yellow"/>
          <w:lang w:val="nl-NL"/>
        </w:rPr>
      </w:pPr>
    </w:p>
    <w:p w:rsidR="00FD6CB0" w:rsidRPr="006D0278" w:rsidRDefault="008E706C" w:rsidP="005431FC">
      <w:pPr>
        <w:ind w:left="1065"/>
        <w:jc w:val="both"/>
        <w:rPr>
          <w:lang w:val="nl-NL"/>
        </w:rPr>
      </w:pPr>
      <w:r w:rsidRPr="006D0278">
        <w:rPr>
          <w:lang w:val="nl-NL"/>
        </w:rPr>
        <w:lastRenderedPageBreak/>
        <w:t>Overeenkomstig artikel 1, 2, eerste paragraaf van de wet van 2 april 1965 is</w:t>
      </w:r>
      <w:r w:rsidR="00024247">
        <w:rPr>
          <w:lang w:val="nl-NL"/>
        </w:rPr>
        <w:t xml:space="preserve"> </w:t>
      </w:r>
      <w:r w:rsidRPr="006D0278">
        <w:rPr>
          <w:u w:val="single"/>
          <w:lang w:val="nl-NL"/>
        </w:rPr>
        <w:t xml:space="preserve">het centrum van het onderstandsdomicilie </w:t>
      </w:r>
      <w:r w:rsidRPr="006D0278">
        <w:rPr>
          <w:lang w:val="nl-NL"/>
        </w:rPr>
        <w:t>"</w:t>
      </w:r>
      <w:r w:rsidRPr="006D0278">
        <w:rPr>
          <w:i/>
          <w:lang w:val="nl-NL"/>
        </w:rPr>
        <w:t>het OCMW van de gemeente waar de betrokkene voor zijn hoofdverblijf ingeschreven is in het bevolkingsregister op het ogenblik waarop hij, al dan niet als behoeftige, behandeld wordt, met of zonder hospitalisatie, in een verplegingsinstelling"</w:t>
      </w:r>
      <w:r w:rsidRPr="006D0278">
        <w:rPr>
          <w:lang w:val="nl-NL"/>
        </w:rPr>
        <w:t xml:space="preserve">. </w:t>
      </w:r>
    </w:p>
    <w:p w:rsidR="00FD6CB0" w:rsidRPr="006D0278" w:rsidRDefault="00FD6CB0" w:rsidP="00FD6CB0">
      <w:pPr>
        <w:ind w:left="705"/>
        <w:jc w:val="both"/>
        <w:rPr>
          <w:lang w:val="nl-NL"/>
        </w:rPr>
      </w:pPr>
    </w:p>
    <w:p w:rsidR="00FD6CB0" w:rsidRPr="006D0278" w:rsidRDefault="008E706C" w:rsidP="005431FC">
      <w:pPr>
        <w:ind w:left="1065"/>
        <w:jc w:val="both"/>
        <w:rPr>
          <w:lang w:val="nl-NL"/>
        </w:rPr>
      </w:pPr>
      <w:r w:rsidRPr="006D0278">
        <w:rPr>
          <w:lang w:val="nl-NL"/>
        </w:rPr>
        <w:t xml:space="preserve">Dit centrum is enkel bevoegd voor de eventuele tenlasteneming van de kosten die voortvloeien uit de behandeling in één van de </w:t>
      </w:r>
      <w:r w:rsidR="00024247">
        <w:rPr>
          <w:lang w:val="nl-NL"/>
        </w:rPr>
        <w:t>verzorgings</w:t>
      </w:r>
      <w:r w:rsidRPr="006D0278">
        <w:rPr>
          <w:lang w:val="nl-NL"/>
        </w:rPr>
        <w:t xml:space="preserve">instellingen bedoeld door de wet. De wetgever maakt een onderscheid tussen het bevoegd steunverlenend centrum enerzijds (artikel 1,1 en 2) en het centrum van het onderstandsdomicilie anderzijds (artikel 1,2). </w:t>
      </w:r>
    </w:p>
    <w:p w:rsidR="00FD6CB0" w:rsidRPr="006D0278" w:rsidRDefault="00FD6CB0" w:rsidP="00FD6CB0">
      <w:pPr>
        <w:ind w:firstLine="705"/>
        <w:jc w:val="both"/>
        <w:rPr>
          <w:lang w:val="nl-NL"/>
        </w:rPr>
      </w:pPr>
    </w:p>
    <w:p w:rsidR="006A7269" w:rsidRDefault="008E706C" w:rsidP="005431FC">
      <w:pPr>
        <w:ind w:left="1065"/>
        <w:jc w:val="both"/>
        <w:rPr>
          <w:lang w:val="nl-NL"/>
        </w:rPr>
      </w:pPr>
      <w:r w:rsidRPr="006D0278">
        <w:rPr>
          <w:lang w:val="nl-NL"/>
        </w:rPr>
        <w:t xml:space="preserve">Dit onderscheid is fundamenteel. Het centrum van het onderstandsdomicilie, komt, evenals de Staat bij gebrek aan onderstandsdomicilie, enkel in tweede instantie tussen, als instantie waarop het steunverlenend centrum bepaalde kosten kan doorrekenen, binnen de naleving van bepaalde termijnen en onder bepaalde voorwaarden. Het centrum van het onderstandsdomicilie buigt zich nooit over steunaanvragen. </w:t>
      </w:r>
    </w:p>
    <w:p w:rsidR="00F9388F" w:rsidRDefault="00F9388F" w:rsidP="005431FC">
      <w:pPr>
        <w:ind w:left="1065"/>
        <w:jc w:val="both"/>
        <w:rPr>
          <w:lang w:val="nl-NL"/>
        </w:rPr>
      </w:pPr>
    </w:p>
    <w:p w:rsidR="00452184" w:rsidRDefault="00452184" w:rsidP="005431FC">
      <w:pPr>
        <w:ind w:left="1065"/>
        <w:jc w:val="both"/>
        <w:rPr>
          <w:lang w:val="nl-NL"/>
        </w:rPr>
      </w:pPr>
    </w:p>
    <w:p w:rsidR="00E26811" w:rsidRDefault="00E26811">
      <w:pPr>
        <w:rPr>
          <w:lang w:val="nl-NL"/>
        </w:rPr>
      </w:pPr>
    </w:p>
    <w:p w:rsidR="00FD6CB0" w:rsidRPr="006D0278" w:rsidRDefault="008E706C" w:rsidP="00F50D3D">
      <w:pPr>
        <w:pStyle w:val="Heading4"/>
        <w:ind w:left="540" w:firstLine="360"/>
        <w:rPr>
          <w:bCs w:val="0"/>
          <w:u w:val="single"/>
          <w:lang w:val="nl-NL"/>
        </w:rPr>
      </w:pPr>
      <w:bookmarkStart w:id="46" w:name="_Toc510775750"/>
      <w:r w:rsidRPr="006D0278">
        <w:rPr>
          <w:bCs w:val="0"/>
          <w:u w:val="single"/>
          <w:lang w:val="nl-NL"/>
        </w:rPr>
        <w:t>3.3. De regel van de continuïteit van artikel 2, §3,  van de wet van 2 april 1965.</w:t>
      </w:r>
      <w:bookmarkEnd w:id="46"/>
      <w:r w:rsidRPr="006D0278">
        <w:rPr>
          <w:bCs w:val="0"/>
          <w:u w:val="single"/>
          <w:lang w:val="nl-NL"/>
        </w:rPr>
        <w:t xml:space="preserve"> </w:t>
      </w:r>
    </w:p>
    <w:p w:rsidR="00FD6CB0" w:rsidRDefault="00FD6CB0" w:rsidP="00FD6CB0">
      <w:pPr>
        <w:ind w:left="1080"/>
        <w:jc w:val="both"/>
        <w:rPr>
          <w:b/>
          <w:lang w:val="nl-NL"/>
        </w:rPr>
      </w:pPr>
    </w:p>
    <w:p w:rsidR="00C82CAE" w:rsidRPr="006D0278" w:rsidRDefault="00C82CAE" w:rsidP="00FD6CB0">
      <w:pPr>
        <w:ind w:left="1080"/>
        <w:jc w:val="both"/>
        <w:rPr>
          <w:b/>
          <w:lang w:val="nl-NL"/>
        </w:rPr>
      </w:pPr>
    </w:p>
    <w:tbl>
      <w:tblPr>
        <w:tblW w:w="8100" w:type="dxa"/>
        <w:tblInd w:w="1188" w:type="dxa"/>
        <w:tblBorders>
          <w:top w:val="dotDash" w:sz="4" w:space="0" w:color="auto"/>
          <w:left w:val="dotDash" w:sz="4" w:space="0" w:color="auto"/>
          <w:bottom w:val="dotDash" w:sz="4" w:space="0" w:color="auto"/>
          <w:right w:val="dotDash" w:sz="4" w:space="0" w:color="auto"/>
        </w:tblBorders>
        <w:shd w:val="clear" w:color="auto" w:fill="CCFFFF"/>
        <w:tblLook w:val="01E0" w:firstRow="1" w:lastRow="1" w:firstColumn="1" w:lastColumn="1" w:noHBand="0" w:noVBand="0"/>
      </w:tblPr>
      <w:tblGrid>
        <w:gridCol w:w="8100"/>
      </w:tblGrid>
      <w:tr w:rsidR="00C626B8" w:rsidRPr="00B46E7F">
        <w:tc>
          <w:tcPr>
            <w:tcW w:w="8100" w:type="dxa"/>
            <w:shd w:val="clear" w:color="auto" w:fill="CCFFFF"/>
          </w:tcPr>
          <w:p w:rsidR="00C626B8" w:rsidRPr="006D0278" w:rsidRDefault="008E706C" w:rsidP="00C54BF8">
            <w:pPr>
              <w:jc w:val="both"/>
              <w:rPr>
                <w:shd w:val="clear" w:color="auto" w:fill="CCFFFF"/>
                <w:lang w:val="nl-NL"/>
              </w:rPr>
            </w:pPr>
            <w:r w:rsidRPr="006D0278">
              <w:rPr>
                <w:shd w:val="clear" w:color="auto" w:fill="CCFFFF"/>
                <w:lang w:val="nl-NL"/>
              </w:rPr>
              <w:t>Art. 2, §3, van de wet van 1965 april betreffende het ten laste nemen van de steun verleend door de openbare centra voor maatschappelijk welzijn:</w:t>
            </w:r>
          </w:p>
          <w:p w:rsidR="00C626B8" w:rsidRPr="006D0278" w:rsidRDefault="008E706C" w:rsidP="00C54BF8">
            <w:pPr>
              <w:jc w:val="both"/>
              <w:rPr>
                <w:bCs/>
                <w:i/>
                <w:shd w:val="clear" w:color="auto" w:fill="CCFFFF"/>
                <w:lang w:val="nl-NL"/>
              </w:rPr>
            </w:pPr>
            <w:r w:rsidRPr="006D0278">
              <w:rPr>
                <w:shd w:val="clear" w:color="auto" w:fill="CCFFFF"/>
                <w:lang w:val="nl-NL"/>
              </w:rPr>
              <w:t> </w:t>
            </w:r>
          </w:p>
          <w:p w:rsidR="00C626B8" w:rsidRPr="006D0278" w:rsidRDefault="008E706C" w:rsidP="00C54BF8">
            <w:pPr>
              <w:jc w:val="both"/>
              <w:rPr>
                <w:bCs/>
                <w:i/>
                <w:shd w:val="clear" w:color="auto" w:fill="CCFFFF"/>
                <w:lang w:val="nl-NL"/>
              </w:rPr>
            </w:pPr>
            <w:r w:rsidRPr="006D0278">
              <w:rPr>
                <w:bCs/>
                <w:i/>
                <w:shd w:val="clear" w:color="auto" w:fill="CCFFFF"/>
                <w:lang w:val="nl-NL"/>
              </w:rPr>
              <w:t xml:space="preserve">"Hetzelfde openbaar centrum voor maatschappelijk welzijn </w:t>
            </w:r>
            <w:r w:rsidRPr="006D0278">
              <w:rPr>
                <w:bCs/>
                <w:i/>
                <w:u w:val="single"/>
                <w:shd w:val="clear" w:color="auto" w:fill="CCFFFF"/>
                <w:lang w:val="nl-NL"/>
              </w:rPr>
              <w:t xml:space="preserve">blijft bevoegd </w:t>
            </w:r>
            <w:r w:rsidRPr="006D0278">
              <w:rPr>
                <w:bCs/>
                <w:i/>
                <w:shd w:val="clear" w:color="auto" w:fill="CCFFFF"/>
                <w:lang w:val="nl-NL"/>
              </w:rPr>
              <w:t xml:space="preserve">om steun te verlenen, wanneer een persoon </w:t>
            </w:r>
            <w:r w:rsidRPr="006D0278">
              <w:rPr>
                <w:bCs/>
                <w:i/>
                <w:u w:val="single"/>
                <w:shd w:val="clear" w:color="auto" w:fill="CCFFFF"/>
                <w:lang w:val="nl-NL"/>
              </w:rPr>
              <w:t>achtereenvolgens en zonder onderbreking</w:t>
            </w:r>
            <w:r w:rsidRPr="006D0278">
              <w:rPr>
                <w:bCs/>
                <w:i/>
                <w:shd w:val="clear" w:color="auto" w:fill="CCFFFF"/>
                <w:lang w:val="nl-NL"/>
              </w:rPr>
              <w:t xml:space="preserve"> wordt opgenomen door verscheidene instellingen of personen als bedoeld in §1 van dit artikel, of wanneer hij, tijdens zijn verblijf in die instellingen of bij die personen, een behandeling in een verplegingsinstelling moet ondergaan.</w:t>
            </w:r>
            <w:r w:rsidRPr="006D0278">
              <w:rPr>
                <w:bCs/>
                <w:shd w:val="clear" w:color="auto" w:fill="CCFFFF"/>
                <w:lang w:val="nl-NL"/>
              </w:rPr>
              <w:t>"</w:t>
            </w:r>
          </w:p>
          <w:p w:rsidR="00C626B8" w:rsidRPr="006D0278" w:rsidRDefault="00C626B8" w:rsidP="00C54BF8">
            <w:pPr>
              <w:jc w:val="both"/>
              <w:rPr>
                <w:lang w:val="nl-NL"/>
              </w:rPr>
            </w:pPr>
          </w:p>
        </w:tc>
      </w:tr>
    </w:tbl>
    <w:p w:rsidR="00C626B8" w:rsidRDefault="00C626B8" w:rsidP="00C626B8">
      <w:pPr>
        <w:ind w:left="1080"/>
        <w:jc w:val="both"/>
        <w:rPr>
          <w:lang w:val="nl-NL"/>
        </w:rPr>
      </w:pPr>
    </w:p>
    <w:p w:rsidR="00C82CAE" w:rsidRDefault="00C82CAE" w:rsidP="00C626B8">
      <w:pPr>
        <w:ind w:left="1080"/>
        <w:jc w:val="both"/>
        <w:rPr>
          <w:lang w:val="nl-NL"/>
        </w:rPr>
      </w:pPr>
    </w:p>
    <w:p w:rsidR="00C82CAE" w:rsidRPr="006D0278" w:rsidRDefault="00C82CAE" w:rsidP="00C626B8">
      <w:pPr>
        <w:ind w:left="1080"/>
        <w:jc w:val="both"/>
        <w:rPr>
          <w:lang w:val="nl-NL"/>
        </w:rPr>
      </w:pPr>
    </w:p>
    <w:p w:rsidR="0065737E" w:rsidRPr="0065737E" w:rsidRDefault="0065737E" w:rsidP="0065737E">
      <w:pPr>
        <w:pStyle w:val="ListParagraph"/>
        <w:numPr>
          <w:ilvl w:val="0"/>
          <w:numId w:val="34"/>
        </w:numPr>
        <w:jc w:val="both"/>
        <w:rPr>
          <w:u w:val="single"/>
          <w:lang w:val="nl-NL"/>
        </w:rPr>
      </w:pPr>
      <w:r w:rsidRPr="0065737E">
        <w:rPr>
          <w:u w:val="single"/>
          <w:lang w:val="nl-NL"/>
        </w:rPr>
        <w:t>Een opeenvolgende opname zonder onderbreking</w:t>
      </w:r>
    </w:p>
    <w:p w:rsidR="0065737E" w:rsidRDefault="0065737E" w:rsidP="00E26811">
      <w:pPr>
        <w:jc w:val="both"/>
        <w:rPr>
          <w:lang w:val="nl-NL"/>
        </w:rPr>
      </w:pPr>
    </w:p>
    <w:p w:rsidR="00AE2BAC" w:rsidRPr="006D0278" w:rsidRDefault="008E706C" w:rsidP="00E26811">
      <w:pPr>
        <w:jc w:val="both"/>
        <w:rPr>
          <w:lang w:val="nl-NL"/>
        </w:rPr>
      </w:pPr>
      <w:r w:rsidRPr="006D0278">
        <w:rPr>
          <w:lang w:val="nl-NL"/>
        </w:rPr>
        <w:t xml:space="preserve">Wanneer de aanvrager in een instelling verblijft, bedoeld door de wet, moet nagegaan worden of hij </w:t>
      </w:r>
      <w:r w:rsidR="00495B93">
        <w:rPr>
          <w:lang w:val="nl-NL"/>
        </w:rPr>
        <w:t>rechtstreeks</w:t>
      </w:r>
      <w:r w:rsidRPr="006D0278">
        <w:rPr>
          <w:lang w:val="nl-NL"/>
        </w:rPr>
        <w:t xml:space="preserve"> werd overgeplaatst </w:t>
      </w:r>
      <w:r w:rsidR="00495B93">
        <w:rPr>
          <w:lang w:val="nl-NL"/>
        </w:rPr>
        <w:t>van</w:t>
      </w:r>
      <w:r w:rsidRPr="006D0278">
        <w:rPr>
          <w:lang w:val="nl-NL"/>
        </w:rPr>
        <w:t xml:space="preserve"> een andere instelling die eveneens is opgenomen op de lijst. Wanneer hij achtereenvolgens en zonder onderbreking werd opgenomen in verschillende bedoelde instellingen, moet men teruggaan in de tijd en kijken welke zijn allereerste opname was om het bevoegde OCMW te bepalen. Het OCMW dat bevoegd was tijdens zijn allereerste opname blijft bevoegd gedurende het volledige ononderbroken verblijf van de aanvrager in deze instellingen. Dit is de regel van continuïteit van bevoegdheid </w:t>
      </w:r>
    </w:p>
    <w:p w:rsidR="005431FC" w:rsidRPr="006D0278" w:rsidRDefault="005431FC" w:rsidP="00FD6CB0">
      <w:pPr>
        <w:ind w:left="1080"/>
        <w:jc w:val="both"/>
        <w:rPr>
          <w:lang w:val="nl-NL"/>
        </w:rPr>
      </w:pPr>
    </w:p>
    <w:p w:rsidR="0022590B" w:rsidRPr="006D0278" w:rsidRDefault="008E706C" w:rsidP="00E26811">
      <w:pPr>
        <w:jc w:val="both"/>
        <w:rPr>
          <w:lang w:val="nl-NL"/>
        </w:rPr>
      </w:pPr>
      <w:r w:rsidRPr="006D0278">
        <w:rPr>
          <w:lang w:val="nl-NL"/>
        </w:rPr>
        <w:t xml:space="preserve">Bij opeenvolgende en ononderbroken opnames in verschillende instellingen blijft eenzelfde OCMW bevoegd. Dit betekent concreet dat, wanneer de betrokkene, tijdens zijn opname, ingeschreven is in het bevolkingsregister van de gemeente waar de instelling gevestigd is, steeds zijn vroegere domicilie in aanmerking wordt genomen om te bepalen welk centrum bevoegd is </w:t>
      </w:r>
      <w:r w:rsidRPr="006D0278">
        <w:rPr>
          <w:lang w:val="nl-NL"/>
        </w:rPr>
        <w:lastRenderedPageBreak/>
        <w:t>inzake toekenning van de steun. De wijziging van domicilie na de aanvraag heeft geen invloed op de aanwijzing van het bevoegde OCMW terzake.</w:t>
      </w:r>
    </w:p>
    <w:p w:rsidR="0022590B" w:rsidRPr="006D0278" w:rsidRDefault="0022590B" w:rsidP="00FD6CB0">
      <w:pPr>
        <w:ind w:left="1080"/>
        <w:jc w:val="both"/>
        <w:rPr>
          <w:lang w:val="nl-NL"/>
        </w:rPr>
      </w:pPr>
    </w:p>
    <w:p w:rsidR="0022590B" w:rsidRPr="006D0278" w:rsidRDefault="008E706C" w:rsidP="00E26811">
      <w:pPr>
        <w:jc w:val="both"/>
        <w:rPr>
          <w:lang w:val="nl-NL"/>
        </w:rPr>
      </w:pPr>
      <w:r w:rsidRPr="006D0278">
        <w:rPr>
          <w:lang w:val="nl-NL"/>
        </w:rPr>
        <w:t xml:space="preserve">De regel van de continuïteit van artikel 2, </w:t>
      </w:r>
      <w:r w:rsidR="00495B93" w:rsidRPr="006D0278">
        <w:rPr>
          <w:lang w:val="nl-NL"/>
        </w:rPr>
        <w:t xml:space="preserve">§3, </w:t>
      </w:r>
      <w:r w:rsidRPr="006D0278">
        <w:rPr>
          <w:lang w:val="nl-NL"/>
        </w:rPr>
        <w:t xml:space="preserve">van de wet van 2 april 1965 is van toepassing wanneer de aanvrager </w:t>
      </w:r>
      <w:r w:rsidRPr="006D0278">
        <w:rPr>
          <w:b/>
          <w:u w:val="single"/>
          <w:lang w:val="nl-NL"/>
        </w:rPr>
        <w:t>achtereenvolgens en zonder onderbreking</w:t>
      </w:r>
      <w:r w:rsidR="00495B93">
        <w:rPr>
          <w:b/>
          <w:u w:val="single"/>
          <w:lang w:val="nl-NL"/>
        </w:rPr>
        <w:t xml:space="preserve"> </w:t>
      </w:r>
      <w:r w:rsidRPr="006D0278">
        <w:rPr>
          <w:lang w:val="nl-NL"/>
        </w:rPr>
        <w:t xml:space="preserve">werd </w:t>
      </w:r>
      <w:r w:rsidR="00495B93">
        <w:rPr>
          <w:lang w:val="nl-NL"/>
        </w:rPr>
        <w:t>opgenomen</w:t>
      </w:r>
      <w:r w:rsidRPr="006D0278">
        <w:rPr>
          <w:lang w:val="nl-NL"/>
        </w:rPr>
        <w:t xml:space="preserve"> van een instelling X naar een instelling Y, bedoeld door artikel 2, §1, van de wet van 2 april 1965 (opvangtehuis, rusthuis, psychiatrisch ziekenhuis, enz.). </w:t>
      </w:r>
    </w:p>
    <w:p w:rsidR="0022590B" w:rsidRPr="006D0278" w:rsidRDefault="0022590B" w:rsidP="0022590B">
      <w:pPr>
        <w:jc w:val="both"/>
        <w:rPr>
          <w:lang w:val="nl-NL"/>
        </w:rPr>
      </w:pPr>
    </w:p>
    <w:p w:rsidR="0022590B" w:rsidRPr="006D0278" w:rsidRDefault="008E706C" w:rsidP="00E26811">
      <w:pPr>
        <w:jc w:val="both"/>
        <w:rPr>
          <w:lang w:val="nl-NL"/>
        </w:rPr>
      </w:pPr>
      <w:r w:rsidRPr="006D0278">
        <w:rPr>
          <w:lang w:val="nl-NL"/>
        </w:rPr>
        <w:t>Het OCMW van de gemeente waar de betrokkene als hoofdverblijfplaats was ingeschreven in het bevolkingsregister op het ogenblik van zijn opname in instelling X is bevoegd.</w:t>
      </w:r>
    </w:p>
    <w:p w:rsidR="0022590B" w:rsidRPr="006D0278" w:rsidRDefault="0022590B" w:rsidP="0022590B">
      <w:pPr>
        <w:pStyle w:val="Letter"/>
        <w:jc w:val="both"/>
        <w:rPr>
          <w:rFonts w:ascii="Times New Roman" w:hAnsi="Times New Roman"/>
          <w:sz w:val="24"/>
          <w:szCs w:val="24"/>
          <w:lang w:val="nl-NL"/>
        </w:rPr>
      </w:pPr>
    </w:p>
    <w:p w:rsidR="00C86ACC" w:rsidRPr="006D0278" w:rsidRDefault="008E706C" w:rsidP="00E26811">
      <w:pPr>
        <w:pStyle w:val="Letter"/>
        <w:jc w:val="both"/>
        <w:rPr>
          <w:rFonts w:ascii="Times New Roman" w:hAnsi="Times New Roman"/>
          <w:sz w:val="24"/>
          <w:szCs w:val="24"/>
          <w:lang w:val="nl-NL"/>
        </w:rPr>
      </w:pPr>
      <w:r w:rsidRPr="006D0278">
        <w:rPr>
          <w:rFonts w:ascii="Times New Roman" w:hAnsi="Times New Roman"/>
          <w:sz w:val="24"/>
          <w:szCs w:val="24"/>
          <w:lang w:val="nl-NL"/>
        </w:rPr>
        <w:t xml:space="preserve">Indien de aanvrager niet </w:t>
      </w:r>
      <w:r w:rsidRPr="006D0278">
        <w:rPr>
          <w:rFonts w:ascii="Times New Roman" w:hAnsi="Times New Roman"/>
          <w:b/>
          <w:sz w:val="24"/>
          <w:szCs w:val="24"/>
          <w:lang w:val="nl-NL"/>
        </w:rPr>
        <w:t xml:space="preserve">ingeschreven was </w:t>
      </w:r>
      <w:r w:rsidR="00921B1B">
        <w:rPr>
          <w:rFonts w:ascii="Times New Roman" w:hAnsi="Times New Roman"/>
          <w:b/>
          <w:sz w:val="24"/>
          <w:szCs w:val="24"/>
          <w:lang w:val="nl-NL"/>
        </w:rPr>
        <w:t xml:space="preserve">voor zijn </w:t>
      </w:r>
      <w:r w:rsidRPr="006D0278">
        <w:rPr>
          <w:rFonts w:ascii="Times New Roman" w:hAnsi="Times New Roman"/>
          <w:b/>
          <w:sz w:val="24"/>
          <w:szCs w:val="24"/>
          <w:lang w:val="nl-NL"/>
        </w:rPr>
        <w:t>hoofdverblijf</w:t>
      </w:r>
      <w:r w:rsidRPr="006D0278">
        <w:rPr>
          <w:rFonts w:ascii="Times New Roman" w:hAnsi="Times New Roman"/>
          <w:sz w:val="24"/>
          <w:szCs w:val="24"/>
          <w:lang w:val="nl-NL"/>
        </w:rPr>
        <w:t xml:space="preserve"> op het ogenblik van zijn eerste opname in instelling X, zijn de paragrafen 1 en 3 van artikel 2 van de wet van 2 april 1965 niet van toepassing. De algemene bevoegdheidsregel van artikel 1</w:t>
      </w:r>
      <w:r w:rsidRPr="006D0278">
        <w:rPr>
          <w:rFonts w:ascii="Times New Roman" w:hAnsi="Times New Roman"/>
          <w:bCs/>
          <w:sz w:val="24"/>
          <w:szCs w:val="24"/>
          <w:lang w:val="nl-NL"/>
        </w:rPr>
        <w:t>, 1°, van de wet van 2 april 1965 is dus van toepassing, meer bepaald de gewoonlijke verblijfplaats.</w:t>
      </w:r>
    </w:p>
    <w:p w:rsidR="00C86ACC" w:rsidRPr="006D0278" w:rsidRDefault="00C86ACC" w:rsidP="00C86ACC">
      <w:pPr>
        <w:ind w:left="1800"/>
        <w:jc w:val="both"/>
        <w:rPr>
          <w:lang w:val="nl-NL"/>
        </w:rPr>
      </w:pPr>
    </w:p>
    <w:p w:rsidR="00C86ACC" w:rsidRDefault="008E706C" w:rsidP="00E26811">
      <w:pPr>
        <w:pStyle w:val="BodyTextIndent"/>
        <w:ind w:left="0"/>
        <w:rPr>
          <w:bCs/>
          <w:lang w:val="nl-NL"/>
        </w:rPr>
      </w:pPr>
      <w:r w:rsidRPr="006D0278">
        <w:rPr>
          <w:lang w:val="nl-NL"/>
        </w:rPr>
        <w:t xml:space="preserve">Indien er een </w:t>
      </w:r>
      <w:r w:rsidRPr="006D0278">
        <w:rPr>
          <w:b/>
          <w:lang w:val="nl-NL"/>
        </w:rPr>
        <w:t>onderbreking</w:t>
      </w:r>
      <w:r w:rsidRPr="006D0278">
        <w:rPr>
          <w:lang w:val="nl-NL"/>
        </w:rPr>
        <w:t xml:space="preserve"> is geweest tussen zijn opname in instelling X en Y bevindt de aanvrager zich na deze onderbreking van het verblijf in de toestand bedoeld door artikel 2, §1 </w:t>
      </w:r>
      <w:r w:rsidRPr="006D0278">
        <w:rPr>
          <w:bCs/>
          <w:lang w:val="nl-NL"/>
        </w:rPr>
        <w:t xml:space="preserve">van </w:t>
      </w:r>
      <w:r w:rsidR="00495B93" w:rsidRPr="006D0278">
        <w:rPr>
          <w:bCs/>
          <w:lang w:val="nl-NL"/>
        </w:rPr>
        <w:t xml:space="preserve">de </w:t>
      </w:r>
      <w:r w:rsidRPr="006D0278">
        <w:rPr>
          <w:bCs/>
          <w:lang w:val="nl-NL"/>
        </w:rPr>
        <w:t>wet van 2 april 1965. De territoriale bevoegdheid van het OCMW moet dus bepaald worden overeenkomstig deze specifieke regel, in afwijking van de algemene bevoegdheidsregel. Het OCMW van de gemeente waar de betrokkene als hoofdverblijfplaats was ingeschreven in het bevolkingsregister op het ogenblik van zijn opname in instelling Y is bevoegd.</w:t>
      </w:r>
    </w:p>
    <w:p w:rsidR="00C16399" w:rsidRDefault="00C16399" w:rsidP="00E26811">
      <w:pPr>
        <w:pStyle w:val="BodyTextIndent"/>
        <w:ind w:left="0"/>
        <w:rPr>
          <w:bCs/>
          <w:lang w:val="nl-NL"/>
        </w:rPr>
      </w:pPr>
    </w:p>
    <w:p w:rsidR="00C82CAE" w:rsidRDefault="00C82CAE" w:rsidP="00E26811">
      <w:pPr>
        <w:pStyle w:val="BodyTextIndent"/>
        <w:ind w:left="0"/>
        <w:rPr>
          <w:bCs/>
          <w:lang w:val="nl-NL"/>
        </w:rPr>
      </w:pPr>
    </w:p>
    <w:p w:rsidR="00C82CAE" w:rsidRDefault="00C82CAE" w:rsidP="00E26811">
      <w:pPr>
        <w:pStyle w:val="BodyTextIndent"/>
        <w:ind w:left="0"/>
        <w:rPr>
          <w:bCs/>
          <w:lang w:val="nl-NL"/>
        </w:rPr>
      </w:pPr>
    </w:p>
    <w:p w:rsidR="00C16399" w:rsidRPr="0065737E" w:rsidRDefault="0065737E" w:rsidP="0065737E">
      <w:pPr>
        <w:pStyle w:val="BodyTextIndent"/>
        <w:numPr>
          <w:ilvl w:val="0"/>
          <w:numId w:val="34"/>
        </w:numPr>
        <w:rPr>
          <w:bCs/>
          <w:u w:val="single"/>
          <w:lang w:val="nl-NL"/>
        </w:rPr>
      </w:pPr>
      <w:r w:rsidRPr="0065737E">
        <w:rPr>
          <w:bCs/>
          <w:u w:val="single"/>
          <w:lang w:val="nl-NL"/>
        </w:rPr>
        <w:t>Een onrechtmatige onderbreking van het verblijf in een gevangenis</w:t>
      </w:r>
    </w:p>
    <w:p w:rsidR="00C16399" w:rsidRDefault="00C16399" w:rsidP="00E26811">
      <w:pPr>
        <w:pStyle w:val="BodyTextIndent"/>
        <w:ind w:left="0"/>
        <w:rPr>
          <w:bCs/>
          <w:lang w:val="nl-NL"/>
        </w:rPr>
      </w:pPr>
    </w:p>
    <w:p w:rsidR="00C16399" w:rsidRDefault="00C16399" w:rsidP="00E26811">
      <w:pPr>
        <w:pStyle w:val="BodyTextIndent"/>
        <w:ind w:left="0"/>
        <w:rPr>
          <w:bCs/>
          <w:lang w:val="nl-NL"/>
        </w:rPr>
      </w:pPr>
    </w:p>
    <w:p w:rsidR="00C16399" w:rsidRPr="0065737E" w:rsidRDefault="00C16399" w:rsidP="00E26811">
      <w:pPr>
        <w:pStyle w:val="BodyTextIndent"/>
        <w:ind w:left="0"/>
        <w:rPr>
          <w:lang w:val="nl-NL"/>
        </w:rPr>
      </w:pPr>
      <w:r w:rsidRPr="0065737E">
        <w:rPr>
          <w:lang w:val="nl-NL"/>
        </w:rPr>
        <w:t>Er waren conflicten inzake een onrechtmatige verbreking van het verblijf in een gevangenis en de vraag hierbij of er sprake was van de continuïteitsregel of niet.</w:t>
      </w:r>
    </w:p>
    <w:p w:rsidR="0065737E" w:rsidRPr="00874E04" w:rsidRDefault="0065737E" w:rsidP="00E26811">
      <w:pPr>
        <w:pStyle w:val="BodyTextIndent"/>
        <w:ind w:left="0"/>
        <w:rPr>
          <w:highlight w:val="yellow"/>
          <w:lang w:val="nl-NL"/>
        </w:rPr>
      </w:pPr>
    </w:p>
    <w:p w:rsidR="00C16399" w:rsidRPr="0065737E" w:rsidRDefault="00C16399" w:rsidP="00E26811">
      <w:pPr>
        <w:pStyle w:val="BodyTextIndent"/>
        <w:ind w:left="0"/>
        <w:rPr>
          <w:lang w:val="nl-NL"/>
        </w:rPr>
      </w:pPr>
      <w:r w:rsidRPr="0065737E">
        <w:rPr>
          <w:lang w:val="nl-NL"/>
        </w:rPr>
        <w:t xml:space="preserve">In het eerste geval ontsnapte de steunaanvrager voor enkele dagen uit de gevangenis, waardoor het ging om een onrechtmatige verbreking van het verblijf in de gevangenis. Dit werd niet aanzien als </w:t>
      </w:r>
      <w:r w:rsidR="00145D90" w:rsidRPr="0065737E">
        <w:rPr>
          <w:lang w:val="nl-NL"/>
        </w:rPr>
        <w:t>onderbreking in het verblijf van een instelling van artikel 2 § 1 van de wet van 2 april 1965.</w:t>
      </w:r>
    </w:p>
    <w:p w:rsidR="0065737E" w:rsidRPr="00874E04" w:rsidRDefault="0065737E" w:rsidP="00E26811">
      <w:pPr>
        <w:pStyle w:val="BodyTextIndent"/>
        <w:ind w:left="0"/>
        <w:rPr>
          <w:highlight w:val="yellow"/>
          <w:lang w:val="nl-NL"/>
        </w:rPr>
      </w:pPr>
    </w:p>
    <w:p w:rsidR="00145D90" w:rsidRPr="0065737E" w:rsidRDefault="00145D90" w:rsidP="00E26811">
      <w:pPr>
        <w:pStyle w:val="BodyTextIndent"/>
        <w:ind w:left="0"/>
        <w:rPr>
          <w:lang w:val="nl-NL"/>
        </w:rPr>
      </w:pPr>
      <w:r w:rsidRPr="0065737E">
        <w:rPr>
          <w:lang w:val="nl-NL"/>
        </w:rPr>
        <w:t>In het tweede geval kreeg de steunaanvrager gedurende zijn opname in de gevangenis een aantal keren uitgangsverlof maar keerde niet altijd terug naar de gevangenis op de afgesproken momenten</w:t>
      </w:r>
      <w:r w:rsidR="0065737E" w:rsidRPr="0065737E">
        <w:rPr>
          <w:lang w:val="nl-NL"/>
        </w:rPr>
        <w:t>,</w:t>
      </w:r>
      <w:r w:rsidRPr="0065737E">
        <w:rPr>
          <w:lang w:val="nl-NL"/>
        </w:rPr>
        <w:t xml:space="preserve"> maar </w:t>
      </w:r>
      <w:r w:rsidR="0065737E" w:rsidRPr="0065737E">
        <w:rPr>
          <w:lang w:val="nl-NL"/>
        </w:rPr>
        <w:t xml:space="preserve">wel </w:t>
      </w:r>
      <w:r w:rsidRPr="0065737E">
        <w:rPr>
          <w:lang w:val="nl-NL"/>
        </w:rPr>
        <w:t xml:space="preserve">enkele dagen later. Het niet terugkeren </w:t>
      </w:r>
      <w:r w:rsidR="00874E04" w:rsidRPr="0065737E">
        <w:rPr>
          <w:lang w:val="nl-NL"/>
        </w:rPr>
        <w:t xml:space="preserve">naar de gevangenis </w:t>
      </w:r>
      <w:r w:rsidRPr="0065737E">
        <w:rPr>
          <w:lang w:val="nl-NL"/>
        </w:rPr>
        <w:t>na het uitgangsverlof moet niet beschouwd worden als een onderbreking van verblijf in gevangenis.</w:t>
      </w:r>
    </w:p>
    <w:p w:rsidR="0065737E" w:rsidRPr="00874E04" w:rsidRDefault="0065737E" w:rsidP="00E26811">
      <w:pPr>
        <w:pStyle w:val="BodyTextIndent"/>
        <w:ind w:left="0"/>
        <w:rPr>
          <w:highlight w:val="yellow"/>
          <w:lang w:val="nl-NL"/>
        </w:rPr>
      </w:pPr>
    </w:p>
    <w:p w:rsidR="00593BFD" w:rsidRPr="006D0278" w:rsidRDefault="00D03B04" w:rsidP="00D03B04">
      <w:pPr>
        <w:ind w:left="720"/>
        <w:jc w:val="both"/>
        <w:rPr>
          <w:b/>
          <w:bCs/>
          <w:i/>
          <w:lang w:val="nl-NL"/>
        </w:rPr>
      </w:pPr>
      <w:r w:rsidRPr="006D0278">
        <w:rPr>
          <w:b/>
          <w:bCs/>
          <w:i/>
          <w:lang w:val="nl-NL"/>
        </w:rPr>
        <w:br w:type="page"/>
      </w:r>
    </w:p>
    <w:p w:rsidR="00843780" w:rsidRPr="006D0278" w:rsidRDefault="008E706C" w:rsidP="00A205A8">
      <w:pPr>
        <w:pStyle w:val="Heading2"/>
        <w:ind w:left="357" w:firstLine="0"/>
        <w:rPr>
          <w:sz w:val="28"/>
          <w:lang w:val="nl-NL"/>
        </w:rPr>
      </w:pPr>
      <w:bookmarkStart w:id="47" w:name="_Toc51469039"/>
      <w:bookmarkStart w:id="48" w:name="_Toc70850284"/>
      <w:bookmarkStart w:id="49" w:name="_Toc510775751"/>
      <w:r w:rsidRPr="006D0278">
        <w:rPr>
          <w:sz w:val="28"/>
          <w:lang w:val="nl-NL"/>
        </w:rPr>
        <w:lastRenderedPageBreak/>
        <w:t xml:space="preserve">4. </w:t>
      </w:r>
      <w:bookmarkEnd w:id="47"/>
      <w:bookmarkEnd w:id="48"/>
      <w:r w:rsidRPr="006D0278">
        <w:rPr>
          <w:sz w:val="28"/>
          <w:lang w:val="nl-NL"/>
        </w:rPr>
        <w:t>Conflicten inzake studenten</w:t>
      </w:r>
      <w:bookmarkEnd w:id="49"/>
    </w:p>
    <w:p w:rsidR="00666646" w:rsidRPr="006D0278" w:rsidRDefault="00666646" w:rsidP="00666646">
      <w:pPr>
        <w:rPr>
          <w:lang w:val="nl-NL"/>
        </w:rPr>
      </w:pPr>
    </w:p>
    <w:p w:rsidR="00346A96" w:rsidRPr="006D0278" w:rsidRDefault="00346A96" w:rsidP="00666646">
      <w:pPr>
        <w:rPr>
          <w:lang w:val="nl-NL"/>
        </w:rPr>
      </w:pPr>
    </w:p>
    <w:p w:rsidR="004D1C2F" w:rsidRPr="006D0278" w:rsidRDefault="008E706C" w:rsidP="0069222D">
      <w:pPr>
        <w:pStyle w:val="Heading3"/>
        <w:ind w:left="720" w:firstLine="0"/>
        <w:rPr>
          <w:b/>
          <w:bCs/>
          <w:sz w:val="24"/>
          <w:u w:val="single"/>
          <w:lang w:val="nl-NL"/>
        </w:rPr>
      </w:pPr>
      <w:bookmarkStart w:id="50" w:name="_Toc510775752"/>
      <w:r w:rsidRPr="006D0278">
        <w:rPr>
          <w:b/>
          <w:bCs/>
          <w:sz w:val="24"/>
          <w:u w:val="single"/>
          <w:lang w:val="nl-NL"/>
        </w:rPr>
        <w:t xml:space="preserve">1. Aantal dossiers in </w:t>
      </w:r>
      <w:r w:rsidR="00B55B55" w:rsidRPr="006D0278">
        <w:rPr>
          <w:b/>
          <w:bCs/>
          <w:sz w:val="24"/>
          <w:u w:val="single"/>
          <w:lang w:val="nl-NL"/>
        </w:rPr>
        <w:t>201</w:t>
      </w:r>
      <w:r w:rsidR="00837124">
        <w:rPr>
          <w:b/>
          <w:bCs/>
          <w:sz w:val="24"/>
          <w:u w:val="single"/>
          <w:lang w:val="nl-NL"/>
        </w:rPr>
        <w:t>7</w:t>
      </w:r>
      <w:bookmarkEnd w:id="50"/>
      <w:r w:rsidR="00B55B55" w:rsidRPr="006D0278">
        <w:rPr>
          <w:b/>
          <w:bCs/>
          <w:sz w:val="24"/>
          <w:u w:val="single"/>
          <w:lang w:val="nl-NL"/>
        </w:rPr>
        <w:t xml:space="preserve"> </w:t>
      </w:r>
    </w:p>
    <w:p w:rsidR="004D1C2F" w:rsidRPr="006D0278" w:rsidRDefault="004D1C2F" w:rsidP="004D1C2F">
      <w:pPr>
        <w:pStyle w:val="Heading2"/>
        <w:ind w:firstLine="540"/>
        <w:rPr>
          <w:b w:val="0"/>
          <w:lang w:val="nl-NL"/>
        </w:rPr>
      </w:pPr>
    </w:p>
    <w:p w:rsidR="006E7408" w:rsidRPr="006D0278" w:rsidRDefault="00753508" w:rsidP="006E7408">
      <w:pPr>
        <w:pStyle w:val="Opmaakprofiel1"/>
        <w:ind w:left="720" w:firstLine="720"/>
      </w:pPr>
      <w:r>
        <w:t xml:space="preserve">68 </w:t>
      </w:r>
      <w:r w:rsidR="008E706C" w:rsidRPr="006D0278">
        <w:t xml:space="preserve">dossiers op </w:t>
      </w:r>
      <w:r>
        <w:t>640</w:t>
      </w:r>
      <w:r w:rsidR="00B55B55" w:rsidRPr="006D0278">
        <w:t xml:space="preserve"> </w:t>
      </w:r>
      <w:r>
        <w:t>ontvankelijke dossiers</w:t>
      </w:r>
    </w:p>
    <w:p w:rsidR="0065737E" w:rsidRDefault="008E706C" w:rsidP="006E7408">
      <w:pPr>
        <w:ind w:left="720" w:firstLine="720"/>
        <w:jc w:val="both"/>
        <w:rPr>
          <w:lang w:val="nl-NL"/>
        </w:rPr>
      </w:pPr>
      <w:r w:rsidRPr="006D0278">
        <w:rPr>
          <w:lang w:val="nl-NL"/>
        </w:rPr>
        <w:t xml:space="preserve">Nederlandstalige dossiers: </w:t>
      </w:r>
      <w:r w:rsidR="00753508">
        <w:rPr>
          <w:lang w:val="nl-NL"/>
        </w:rPr>
        <w:t xml:space="preserve">16 </w:t>
      </w:r>
      <w:r w:rsidRPr="006D0278">
        <w:rPr>
          <w:lang w:val="nl-NL"/>
        </w:rPr>
        <w:t xml:space="preserve">op </w:t>
      </w:r>
      <w:r w:rsidR="00753508">
        <w:rPr>
          <w:lang w:val="nl-NL"/>
        </w:rPr>
        <w:t>150</w:t>
      </w:r>
      <w:r w:rsidR="00B55B55" w:rsidRPr="006D0278">
        <w:rPr>
          <w:lang w:val="nl-NL"/>
        </w:rPr>
        <w:t xml:space="preserve"> </w:t>
      </w:r>
      <w:r w:rsidRPr="006D0278">
        <w:rPr>
          <w:lang w:val="nl-NL"/>
        </w:rPr>
        <w:t xml:space="preserve">ontvankelijke dossiers, </w:t>
      </w:r>
    </w:p>
    <w:p w:rsidR="006E7408" w:rsidRDefault="008E706C" w:rsidP="004D1C2F">
      <w:pPr>
        <w:ind w:left="720" w:firstLine="720"/>
        <w:jc w:val="both"/>
        <w:rPr>
          <w:lang w:val="nl-NL"/>
        </w:rPr>
      </w:pPr>
      <w:r w:rsidRPr="006D0278">
        <w:rPr>
          <w:lang w:val="nl-NL"/>
        </w:rPr>
        <w:t xml:space="preserve">Franstalige dossiers: </w:t>
      </w:r>
      <w:r w:rsidR="00753508">
        <w:rPr>
          <w:lang w:val="nl-NL"/>
        </w:rPr>
        <w:t xml:space="preserve">52 </w:t>
      </w:r>
      <w:r w:rsidRPr="006D0278">
        <w:rPr>
          <w:lang w:val="nl-NL"/>
        </w:rPr>
        <w:t xml:space="preserve">op </w:t>
      </w:r>
      <w:r w:rsidR="00753508">
        <w:rPr>
          <w:lang w:val="nl-NL"/>
        </w:rPr>
        <w:t>490</w:t>
      </w:r>
      <w:r w:rsidR="00B55B55" w:rsidRPr="006D0278">
        <w:rPr>
          <w:lang w:val="nl-NL"/>
        </w:rPr>
        <w:t xml:space="preserve"> </w:t>
      </w:r>
      <w:r w:rsidRPr="006D0278">
        <w:rPr>
          <w:lang w:val="nl-NL"/>
        </w:rPr>
        <w:t>ontvankelijke dossiers</w:t>
      </w:r>
      <w:r w:rsidR="0065737E">
        <w:rPr>
          <w:lang w:val="nl-NL"/>
        </w:rPr>
        <w:t>.</w:t>
      </w:r>
    </w:p>
    <w:p w:rsidR="0065737E" w:rsidRPr="006D0278" w:rsidRDefault="0065737E" w:rsidP="004D1C2F">
      <w:pPr>
        <w:ind w:left="720" w:firstLine="720"/>
        <w:jc w:val="both"/>
        <w:rPr>
          <w:highlight w:val="yellow"/>
          <w:lang w:val="nl-NL"/>
        </w:rPr>
      </w:pPr>
    </w:p>
    <w:p w:rsidR="006C2733" w:rsidRPr="006D0278" w:rsidRDefault="000B00D1" w:rsidP="00B45027">
      <w:pPr>
        <w:ind w:left="1440"/>
        <w:jc w:val="both"/>
        <w:rPr>
          <w:lang w:val="nl-NL"/>
        </w:rPr>
      </w:pPr>
      <w:r>
        <w:rPr>
          <w:lang w:val="nl-NL"/>
        </w:rPr>
        <w:t>De conflicten inzake studenten blijven</w:t>
      </w:r>
      <w:r w:rsidR="008E706C" w:rsidRPr="006D0278">
        <w:rPr>
          <w:lang w:val="nl-NL"/>
        </w:rPr>
        <w:t xml:space="preserve"> </w:t>
      </w:r>
      <w:r>
        <w:rPr>
          <w:lang w:val="nl-NL"/>
        </w:rPr>
        <w:t>talrijk</w:t>
      </w:r>
      <w:r w:rsidR="008E706C" w:rsidRPr="006D0278">
        <w:rPr>
          <w:lang w:val="nl-NL"/>
        </w:rPr>
        <w:t xml:space="preserve"> en dit om verschillende redenen:</w:t>
      </w:r>
    </w:p>
    <w:p w:rsidR="006C2733" w:rsidRPr="006D0278" w:rsidRDefault="008E706C" w:rsidP="00DA101F">
      <w:pPr>
        <w:numPr>
          <w:ilvl w:val="0"/>
          <w:numId w:val="3"/>
        </w:numPr>
        <w:jc w:val="both"/>
        <w:rPr>
          <w:lang w:val="nl-NL"/>
        </w:rPr>
      </w:pPr>
      <w:r w:rsidRPr="006D0278">
        <w:rPr>
          <w:lang w:val="nl-NL"/>
        </w:rPr>
        <w:t>de OCMW’s ondervinden moeilijkheden bij de interpretatie van bepaalde sleutelbegrippen zoals:</w:t>
      </w:r>
    </w:p>
    <w:p w:rsidR="006C2733" w:rsidRPr="007B4441" w:rsidRDefault="008E706C" w:rsidP="00DA101F">
      <w:pPr>
        <w:numPr>
          <w:ilvl w:val="1"/>
          <w:numId w:val="3"/>
        </w:numPr>
        <w:jc w:val="both"/>
        <w:rPr>
          <w:lang w:val="fr-BE"/>
        </w:rPr>
      </w:pPr>
      <w:r>
        <w:rPr>
          <w:lang w:val="fr-BE"/>
        </w:rPr>
        <w:t>studies met volledig leerplan;</w:t>
      </w:r>
    </w:p>
    <w:p w:rsidR="006C2733" w:rsidRPr="006D0278" w:rsidRDefault="008E706C" w:rsidP="00DA101F">
      <w:pPr>
        <w:numPr>
          <w:ilvl w:val="1"/>
          <w:numId w:val="3"/>
        </w:numPr>
        <w:jc w:val="both"/>
        <w:rPr>
          <w:lang w:val="nl-NL"/>
        </w:rPr>
      </w:pPr>
      <w:r w:rsidRPr="006D0278">
        <w:rPr>
          <w:lang w:val="nl-NL"/>
        </w:rPr>
        <w:t>de "ononderbroken" duur van de studies;</w:t>
      </w:r>
    </w:p>
    <w:p w:rsidR="006C2733" w:rsidRPr="006D0278" w:rsidRDefault="008E706C" w:rsidP="00DA101F">
      <w:pPr>
        <w:numPr>
          <w:ilvl w:val="0"/>
          <w:numId w:val="3"/>
        </w:numPr>
        <w:rPr>
          <w:lang w:val="nl-NL"/>
        </w:rPr>
      </w:pPr>
      <w:r w:rsidRPr="006D0278">
        <w:rPr>
          <w:lang w:val="nl-NL"/>
        </w:rPr>
        <w:t>de complexiteit van de dossiers;</w:t>
      </w:r>
    </w:p>
    <w:p w:rsidR="006C2733" w:rsidRPr="006D0278" w:rsidRDefault="008E706C" w:rsidP="00DA101F">
      <w:pPr>
        <w:numPr>
          <w:ilvl w:val="0"/>
          <w:numId w:val="3"/>
        </w:numPr>
        <w:jc w:val="both"/>
        <w:rPr>
          <w:lang w:val="nl-NL"/>
        </w:rPr>
      </w:pPr>
      <w:r w:rsidRPr="006D0278">
        <w:rPr>
          <w:lang w:val="nl-NL"/>
        </w:rPr>
        <w:t>er zijn vele onderwijstypes, waar</w:t>
      </w:r>
      <w:r w:rsidR="003B7EF6">
        <w:rPr>
          <w:lang w:val="nl-NL"/>
        </w:rPr>
        <w:t xml:space="preserve"> </w:t>
      </w:r>
      <w:r w:rsidRPr="006D0278">
        <w:rPr>
          <w:lang w:val="nl-NL"/>
        </w:rPr>
        <w:t>door er soms verwarring ontstaat.</w:t>
      </w:r>
    </w:p>
    <w:p w:rsidR="006C2733" w:rsidRPr="006D0278" w:rsidRDefault="006C2733" w:rsidP="006C2733">
      <w:pPr>
        <w:rPr>
          <w:lang w:val="nl-NL"/>
        </w:rPr>
      </w:pPr>
    </w:p>
    <w:p w:rsidR="0069222D" w:rsidRPr="006D0278" w:rsidRDefault="0069222D" w:rsidP="006C2733">
      <w:pPr>
        <w:rPr>
          <w:lang w:val="nl-NL"/>
        </w:rPr>
      </w:pPr>
    </w:p>
    <w:p w:rsidR="003863B5" w:rsidRDefault="008E706C" w:rsidP="0069222D">
      <w:pPr>
        <w:pStyle w:val="Heading3"/>
        <w:numPr>
          <w:ilvl w:val="0"/>
          <w:numId w:val="14"/>
        </w:numPr>
        <w:rPr>
          <w:b/>
          <w:bCs/>
          <w:sz w:val="24"/>
          <w:u w:val="single"/>
        </w:rPr>
      </w:pPr>
      <w:bookmarkStart w:id="51" w:name="_Toc510775753"/>
      <w:r>
        <w:rPr>
          <w:b/>
          <w:bCs/>
          <w:sz w:val="24"/>
          <w:u w:val="single"/>
        </w:rPr>
        <w:t>Wettelijke bepaling</w:t>
      </w:r>
      <w:bookmarkEnd w:id="51"/>
    </w:p>
    <w:p w:rsidR="0069222D" w:rsidRPr="0069222D" w:rsidRDefault="0069222D" w:rsidP="0069222D">
      <w:pPr>
        <w:ind w:left="720"/>
        <w:rPr>
          <w:lang w:val="fr-FR"/>
        </w:rPr>
      </w:pPr>
    </w:p>
    <w:p w:rsidR="003863B5" w:rsidRPr="007B4441" w:rsidRDefault="003863B5" w:rsidP="003863B5">
      <w:pPr>
        <w:ind w:left="1080"/>
        <w:jc w:val="both"/>
        <w:rPr>
          <w:lang w:val="fr-FR"/>
        </w:rPr>
      </w:pPr>
    </w:p>
    <w:p w:rsidR="003863B5" w:rsidRPr="006D0278" w:rsidRDefault="008E706C" w:rsidP="002D2B37">
      <w:pPr>
        <w:pBdr>
          <w:top w:val="dotDotDash" w:sz="4" w:space="1" w:color="auto"/>
          <w:left w:val="dotDotDash" w:sz="4" w:space="4" w:color="auto"/>
          <w:bottom w:val="dotDotDash" w:sz="4" w:space="1" w:color="auto"/>
          <w:right w:val="dotDotDash" w:sz="4" w:space="4" w:color="auto"/>
        </w:pBdr>
        <w:shd w:val="clear" w:color="auto" w:fill="CCFFFF"/>
        <w:ind w:left="1080"/>
        <w:jc w:val="both"/>
        <w:rPr>
          <w:bdr w:val="dashed" w:sz="4" w:space="0" w:color="CCFFFF"/>
          <w:lang w:val="nl-NL"/>
        </w:rPr>
      </w:pPr>
      <w:r w:rsidRPr="006D0278">
        <w:rPr>
          <w:bdr w:val="dashed" w:sz="4" w:space="0" w:color="CCFFFF"/>
          <w:lang w:val="nl-NL"/>
        </w:rPr>
        <w:t>Art. 2, §6, van de wet van 1965 april betreffende het ten laste nemen van de steun verleend door de openbare centra voor maatschappelijk welzijn:</w:t>
      </w:r>
    </w:p>
    <w:p w:rsidR="003863B5" w:rsidRPr="006D0278" w:rsidRDefault="003863B5" w:rsidP="002D2B37">
      <w:pPr>
        <w:pBdr>
          <w:top w:val="dotDotDash" w:sz="4" w:space="1" w:color="auto"/>
          <w:left w:val="dotDotDash" w:sz="4" w:space="4" w:color="auto"/>
          <w:bottom w:val="dotDotDash" w:sz="4" w:space="1" w:color="auto"/>
          <w:right w:val="dotDotDash" w:sz="4" w:space="4" w:color="auto"/>
        </w:pBdr>
        <w:shd w:val="clear" w:color="auto" w:fill="CCFFFF"/>
        <w:ind w:left="1080"/>
        <w:jc w:val="both"/>
        <w:rPr>
          <w:bdr w:val="dashed" w:sz="4" w:space="0" w:color="CCFFFF"/>
          <w:lang w:val="nl-NL"/>
        </w:rPr>
      </w:pPr>
    </w:p>
    <w:p w:rsidR="003863B5" w:rsidRPr="006D0278" w:rsidRDefault="008E706C" w:rsidP="002D2B37">
      <w:pPr>
        <w:pBdr>
          <w:top w:val="dotDotDash" w:sz="4" w:space="1" w:color="auto"/>
          <w:left w:val="dotDotDash" w:sz="4" w:space="4" w:color="auto"/>
          <w:bottom w:val="dotDotDash" w:sz="4" w:space="1" w:color="auto"/>
          <w:right w:val="dotDotDash" w:sz="4" w:space="4" w:color="auto"/>
        </w:pBdr>
        <w:shd w:val="clear" w:color="auto" w:fill="CCFFFF"/>
        <w:ind w:left="1080"/>
        <w:jc w:val="both"/>
        <w:rPr>
          <w:bCs/>
          <w:i/>
          <w:bdr w:val="dashed" w:sz="4" w:space="0" w:color="CCFFFF"/>
          <w:lang w:val="nl-NL"/>
        </w:rPr>
      </w:pPr>
      <w:r w:rsidRPr="006D0278">
        <w:rPr>
          <w:bCs/>
          <w:bdr w:val="dashed" w:sz="4" w:space="0" w:color="CCFFFF"/>
          <w:lang w:val="nl-NL"/>
        </w:rPr>
        <w:t>"</w:t>
      </w:r>
      <w:r w:rsidRPr="006D0278">
        <w:rPr>
          <w:bCs/>
          <w:i/>
          <w:bdr w:val="dashed" w:sz="4" w:space="0" w:color="CCFFFF"/>
          <w:lang w:val="nl-NL"/>
        </w:rPr>
        <w:t>In afwijking van artikel 1, 1°, is het steunverlenend openbaar centrum voor maatschappelijk welzijn van de persoon die een studie volgt in de zin van artikel 11, § 2, a, van de wet van 26 mei 2002 tot instelling van het recht op maatschappelijke integratie, het openbaar centrum voor maatschappelijk welzijn van de gemeente waar de student, op het ogenblik van de aanvraag, zijn inschrijving als hoofdverblijfplaats heeft in het bevolkings- of vreemdelingenregister.</w:t>
      </w:r>
    </w:p>
    <w:p w:rsidR="003863B5" w:rsidRPr="006D0278" w:rsidRDefault="003863B5" w:rsidP="002D2B37">
      <w:pPr>
        <w:pBdr>
          <w:top w:val="dotDotDash" w:sz="4" w:space="1" w:color="auto"/>
          <w:left w:val="dotDotDash" w:sz="4" w:space="4" w:color="auto"/>
          <w:bottom w:val="dotDotDash" w:sz="4" w:space="1" w:color="auto"/>
          <w:right w:val="dotDotDash" w:sz="4" w:space="4" w:color="auto"/>
        </w:pBdr>
        <w:shd w:val="clear" w:color="auto" w:fill="CCFFFF"/>
        <w:ind w:left="1080"/>
        <w:jc w:val="both"/>
        <w:rPr>
          <w:bCs/>
          <w:i/>
          <w:bdr w:val="dashed" w:sz="4" w:space="0" w:color="CCFFFF"/>
          <w:lang w:val="nl-NL"/>
        </w:rPr>
      </w:pPr>
    </w:p>
    <w:p w:rsidR="003863B5" w:rsidRPr="006D0278" w:rsidRDefault="008E706C" w:rsidP="002D2B37">
      <w:pPr>
        <w:pBdr>
          <w:top w:val="dotDotDash" w:sz="4" w:space="1" w:color="auto"/>
          <w:left w:val="dotDotDash" w:sz="4" w:space="4" w:color="auto"/>
          <w:bottom w:val="dotDotDash" w:sz="4" w:space="1" w:color="auto"/>
          <w:right w:val="dotDotDash" w:sz="4" w:space="4" w:color="auto"/>
        </w:pBdr>
        <w:shd w:val="clear" w:color="auto" w:fill="CCFFFF"/>
        <w:ind w:left="1080"/>
        <w:jc w:val="both"/>
        <w:rPr>
          <w:bCs/>
          <w:bdr w:val="dashed" w:sz="4" w:space="0" w:color="CCFFFF"/>
          <w:lang w:val="nl-NL"/>
        </w:rPr>
      </w:pPr>
      <w:r w:rsidRPr="006D0278">
        <w:rPr>
          <w:bCs/>
          <w:i/>
          <w:bdr w:val="dashed" w:sz="4" w:space="0" w:color="CCFFFF"/>
          <w:lang w:val="nl-NL"/>
        </w:rPr>
        <w:t>Dit OCMW blijft bevoegd voor de gehele ononderbroken duur van de studies. </w:t>
      </w:r>
      <w:r w:rsidRPr="006D0278">
        <w:rPr>
          <w:bCs/>
          <w:bdr w:val="dashed" w:sz="4" w:space="0" w:color="CCFFFF"/>
          <w:lang w:val="nl-NL"/>
        </w:rPr>
        <w:t>"</w:t>
      </w:r>
    </w:p>
    <w:p w:rsidR="000C50EC" w:rsidRPr="006D0278" w:rsidRDefault="000C50EC" w:rsidP="00393A06">
      <w:pPr>
        <w:ind w:left="1080"/>
        <w:jc w:val="both"/>
        <w:rPr>
          <w:lang w:val="nl-NL"/>
        </w:rPr>
      </w:pPr>
    </w:p>
    <w:p w:rsidR="003863B5" w:rsidRPr="006D0278" w:rsidRDefault="003863B5" w:rsidP="00393A06">
      <w:pPr>
        <w:ind w:left="1080"/>
        <w:jc w:val="both"/>
        <w:rPr>
          <w:lang w:val="nl-NL"/>
        </w:rPr>
      </w:pPr>
    </w:p>
    <w:p w:rsidR="00C1714D" w:rsidRPr="006D0278" w:rsidRDefault="008E706C" w:rsidP="00C1714D">
      <w:pPr>
        <w:ind w:left="720"/>
        <w:jc w:val="both"/>
        <w:rPr>
          <w:lang w:val="nl-NL"/>
        </w:rPr>
      </w:pPr>
      <w:r w:rsidRPr="006D0278">
        <w:rPr>
          <w:lang w:val="nl-NL"/>
        </w:rPr>
        <w:t xml:space="preserve">De wet voorziet erin dat het OCMW van de gemeente waar de student is ingeschreven, als hoofdverblijfplaats, in het bevolkings- of vreemdelingenregister op het ogenblik dat hij zijn aanvraag indient, bevoegd is. De wet </w:t>
      </w:r>
      <w:r w:rsidR="00495B93" w:rsidRPr="006D0278">
        <w:rPr>
          <w:lang w:val="nl-NL"/>
        </w:rPr>
        <w:t>verduidelijkt</w:t>
      </w:r>
      <w:r w:rsidRPr="006D0278">
        <w:rPr>
          <w:lang w:val="nl-NL"/>
        </w:rPr>
        <w:t xml:space="preserve"> dat dit OCMW bevoegd blijft "voor de gehele ononderbroken duur van de studies."</w:t>
      </w:r>
    </w:p>
    <w:p w:rsidR="00C1714D" w:rsidRPr="006D0278" w:rsidRDefault="00C1714D" w:rsidP="00393A06">
      <w:pPr>
        <w:ind w:left="1080"/>
        <w:jc w:val="both"/>
        <w:rPr>
          <w:lang w:val="nl-NL"/>
        </w:rPr>
      </w:pPr>
    </w:p>
    <w:p w:rsidR="00C1714D" w:rsidRPr="006D0278" w:rsidRDefault="008E706C" w:rsidP="00F96962">
      <w:pPr>
        <w:ind w:left="720"/>
        <w:jc w:val="both"/>
        <w:rPr>
          <w:lang w:val="nl-NL"/>
        </w:rPr>
      </w:pPr>
      <w:r w:rsidRPr="006D0278">
        <w:rPr>
          <w:lang w:val="nl-NL"/>
        </w:rPr>
        <w:t xml:space="preserve">Deze bevoegdheidsregel werd uitgelegd in de omzendbrief van 3 augustus </w:t>
      </w:r>
      <w:r w:rsidR="00495B93" w:rsidRPr="006D0278">
        <w:rPr>
          <w:lang w:val="nl-NL"/>
        </w:rPr>
        <w:t xml:space="preserve">2004 </w:t>
      </w:r>
      <w:r w:rsidRPr="006D0278">
        <w:rPr>
          <w:lang w:val="nl-NL"/>
        </w:rPr>
        <w:t>betreffende het recht op maatschappelijke integratie - studenten en het recht op leefloon.</w:t>
      </w:r>
    </w:p>
    <w:p w:rsidR="00C1714D" w:rsidRPr="006D0278" w:rsidRDefault="00C1714D" w:rsidP="00393A06">
      <w:pPr>
        <w:ind w:left="1080"/>
        <w:jc w:val="both"/>
        <w:rPr>
          <w:lang w:val="nl-NL"/>
        </w:rPr>
      </w:pPr>
    </w:p>
    <w:p w:rsidR="00F96962" w:rsidRPr="006D0278" w:rsidRDefault="00F96962" w:rsidP="00393A06">
      <w:pPr>
        <w:ind w:left="1080"/>
        <w:jc w:val="both"/>
        <w:rPr>
          <w:lang w:val="nl-NL"/>
        </w:rPr>
      </w:pPr>
    </w:p>
    <w:p w:rsidR="003863B5" w:rsidRPr="006D0278" w:rsidRDefault="003863B5" w:rsidP="00393A06">
      <w:pPr>
        <w:ind w:left="1080"/>
        <w:jc w:val="both"/>
        <w:rPr>
          <w:lang w:val="nl-NL"/>
        </w:rPr>
      </w:pPr>
    </w:p>
    <w:p w:rsidR="009803C1" w:rsidRPr="006D0278" w:rsidRDefault="008E706C" w:rsidP="0069222D">
      <w:pPr>
        <w:pStyle w:val="Heading3"/>
        <w:spacing w:before="0" w:after="0"/>
        <w:ind w:firstLine="0"/>
        <w:jc w:val="center"/>
        <w:rPr>
          <w:b/>
          <w:bCs/>
          <w:sz w:val="24"/>
          <w:u w:val="single"/>
          <w:lang w:val="nl-NL"/>
        </w:rPr>
      </w:pPr>
      <w:bookmarkStart w:id="52" w:name="_Toc162863002"/>
      <w:bookmarkStart w:id="53" w:name="_Toc510775754"/>
      <w:r w:rsidRPr="006D0278">
        <w:rPr>
          <w:b/>
          <w:bCs/>
          <w:sz w:val="24"/>
          <w:u w:val="single"/>
          <w:lang w:val="nl-NL"/>
        </w:rPr>
        <w:t>3. Opmerkingen over de toepassing van artikel 2, § 6, van de wet van 2 april 1965</w:t>
      </w:r>
      <w:bookmarkEnd w:id="52"/>
      <w:bookmarkEnd w:id="53"/>
    </w:p>
    <w:p w:rsidR="009803C1" w:rsidRPr="006D0278" w:rsidRDefault="009803C1" w:rsidP="009803C1">
      <w:pPr>
        <w:rPr>
          <w:lang w:val="nl-NL"/>
        </w:rPr>
      </w:pPr>
    </w:p>
    <w:p w:rsidR="0056642D" w:rsidRPr="006D0278" w:rsidRDefault="0056642D" w:rsidP="009803C1">
      <w:pPr>
        <w:rPr>
          <w:lang w:val="nl-NL"/>
        </w:rPr>
      </w:pPr>
    </w:p>
    <w:p w:rsidR="00907123" w:rsidRPr="006D0278" w:rsidRDefault="008E706C" w:rsidP="00BD2403">
      <w:pPr>
        <w:pStyle w:val="Heading4"/>
        <w:ind w:left="720"/>
        <w:rPr>
          <w:lang w:val="nl-NL"/>
        </w:rPr>
      </w:pPr>
      <w:bookmarkStart w:id="54" w:name="_Toc510775755"/>
      <w:r w:rsidRPr="006D0278">
        <w:rPr>
          <w:lang w:val="nl-NL"/>
        </w:rPr>
        <w:lastRenderedPageBreak/>
        <w:t xml:space="preserve">3.1. </w:t>
      </w:r>
      <w:r w:rsidRPr="006D0278">
        <w:rPr>
          <w:u w:val="single"/>
          <w:lang w:val="nl-NL"/>
        </w:rPr>
        <w:t xml:space="preserve">Toepassingsgebied van artikel 2, § 6, van de wet van 2 april </w:t>
      </w:r>
      <w:r w:rsidRPr="006D0278">
        <w:rPr>
          <w:bCs w:val="0"/>
          <w:u w:val="single"/>
          <w:lang w:val="nl-NL"/>
        </w:rPr>
        <w:t>1965</w:t>
      </w:r>
      <w:bookmarkEnd w:id="54"/>
      <w:r w:rsidRPr="006D0278">
        <w:rPr>
          <w:bCs w:val="0"/>
          <w:u w:val="single"/>
          <w:lang w:val="nl-NL"/>
        </w:rPr>
        <w:t xml:space="preserve"> </w:t>
      </w:r>
    </w:p>
    <w:p w:rsidR="0056642D" w:rsidRPr="006D0278" w:rsidRDefault="0056642D" w:rsidP="0056642D">
      <w:pPr>
        <w:ind w:left="1080"/>
        <w:jc w:val="both"/>
        <w:rPr>
          <w:u w:val="single"/>
          <w:lang w:val="nl-NL"/>
        </w:rPr>
      </w:pPr>
    </w:p>
    <w:p w:rsidR="00F50D3D" w:rsidRPr="006D0278" w:rsidRDefault="00F50D3D" w:rsidP="00F50D3D">
      <w:pPr>
        <w:pStyle w:val="Heading5"/>
        <w:ind w:left="360" w:firstLine="720"/>
        <w:rPr>
          <w:rFonts w:ascii="Times New Roman" w:hAnsi="Times New Roman"/>
          <w:b w:val="0"/>
          <w:bCs w:val="0"/>
          <w:u w:val="single"/>
        </w:rPr>
      </w:pPr>
    </w:p>
    <w:p w:rsidR="00F50D3D" w:rsidRPr="006D0278" w:rsidRDefault="008E706C" w:rsidP="006E7408">
      <w:pPr>
        <w:pStyle w:val="Heading5"/>
        <w:ind w:left="540" w:firstLine="720"/>
        <w:rPr>
          <w:rFonts w:ascii="Times New Roman" w:hAnsi="Times New Roman"/>
          <w:bCs w:val="0"/>
        </w:rPr>
      </w:pPr>
      <w:bookmarkStart w:id="55" w:name="_Toc510775756"/>
      <w:r w:rsidRPr="006D0278">
        <w:rPr>
          <w:rFonts w:ascii="Times New Roman" w:hAnsi="Times New Roman"/>
          <w:bCs w:val="0"/>
        </w:rPr>
        <w:t>1) Toepassingsvoorwaarden</w:t>
      </w:r>
      <w:bookmarkEnd w:id="55"/>
    </w:p>
    <w:p w:rsidR="00F50D3D" w:rsidRPr="006D0278" w:rsidRDefault="00F50D3D" w:rsidP="00F50D3D">
      <w:pPr>
        <w:ind w:left="1080"/>
        <w:jc w:val="both"/>
        <w:rPr>
          <w:lang w:val="nl-NL"/>
        </w:rPr>
      </w:pPr>
    </w:p>
    <w:p w:rsidR="00907123" w:rsidRPr="006D0278" w:rsidRDefault="008E706C" w:rsidP="006E7408">
      <w:pPr>
        <w:ind w:left="1260"/>
        <w:jc w:val="both"/>
        <w:rPr>
          <w:lang w:val="nl-NL"/>
        </w:rPr>
      </w:pPr>
      <w:r w:rsidRPr="006D0278">
        <w:rPr>
          <w:lang w:val="nl-NL"/>
        </w:rPr>
        <w:t xml:space="preserve">De specifieke regel voor studenten is van toepassing wanneer de aanvrager de hoedanigheid heeft van student en aan de volgende </w:t>
      </w:r>
      <w:r w:rsidRPr="006D0278">
        <w:rPr>
          <w:u w:val="single"/>
          <w:lang w:val="nl-NL"/>
        </w:rPr>
        <w:t>voorwaarden</w:t>
      </w:r>
      <w:r w:rsidRPr="006D0278">
        <w:rPr>
          <w:lang w:val="nl-NL"/>
        </w:rPr>
        <w:t xml:space="preserve"> voldoet: </w:t>
      </w:r>
    </w:p>
    <w:p w:rsidR="00DA101F" w:rsidRPr="006D0278" w:rsidRDefault="008E706C" w:rsidP="00DA101F">
      <w:pPr>
        <w:numPr>
          <w:ilvl w:val="0"/>
          <w:numId w:val="3"/>
        </w:numPr>
        <w:jc w:val="both"/>
        <w:rPr>
          <w:lang w:val="nl-NL"/>
        </w:rPr>
      </w:pPr>
      <w:r w:rsidRPr="006D0278">
        <w:rPr>
          <w:lang w:val="nl-NL"/>
        </w:rPr>
        <w:t>hij moet meerderjarig en minder dan 25 jaar oud zijn</w:t>
      </w:r>
    </w:p>
    <w:p w:rsidR="00907123" w:rsidRPr="006D0278" w:rsidRDefault="008E706C" w:rsidP="00DA101F">
      <w:pPr>
        <w:numPr>
          <w:ilvl w:val="0"/>
          <w:numId w:val="3"/>
        </w:numPr>
        <w:jc w:val="both"/>
        <w:rPr>
          <w:lang w:val="nl-NL"/>
        </w:rPr>
      </w:pPr>
      <w:r w:rsidRPr="006D0278">
        <w:rPr>
          <w:lang w:val="nl-NL"/>
        </w:rPr>
        <w:t>hij moet zijn ingeschreven in een instelling erkend, georganiseerd of gesubsidieerd door de gemeenschappen om studies met volledig leerplan te volgen</w:t>
      </w:r>
    </w:p>
    <w:p w:rsidR="00325CA5" w:rsidRPr="006D0278" w:rsidRDefault="008E706C" w:rsidP="00DA101F">
      <w:pPr>
        <w:numPr>
          <w:ilvl w:val="0"/>
          <w:numId w:val="3"/>
        </w:numPr>
        <w:jc w:val="both"/>
        <w:rPr>
          <w:lang w:val="nl-NL"/>
        </w:rPr>
      </w:pPr>
      <w:r w:rsidRPr="006D0278">
        <w:rPr>
          <w:bCs/>
          <w:lang w:val="nl-NL"/>
        </w:rPr>
        <w:t>hij moet ingeschreven zijn, als hoofdverblijfplaats, in het bevolkings- of vreemdelingenregister op het ogenblik van zijn steunaanvraag.</w:t>
      </w:r>
    </w:p>
    <w:p w:rsidR="00325CA5" w:rsidRPr="006D0278" w:rsidRDefault="00325CA5" w:rsidP="00325CA5">
      <w:pPr>
        <w:jc w:val="both"/>
        <w:rPr>
          <w:lang w:val="nl-NL"/>
        </w:rPr>
      </w:pPr>
    </w:p>
    <w:p w:rsidR="0056642D" w:rsidRPr="006D0278" w:rsidRDefault="008E706C" w:rsidP="00F00091">
      <w:pPr>
        <w:pStyle w:val="Koptekst1"/>
        <w:ind w:left="1440"/>
        <w:jc w:val="both"/>
        <w:rPr>
          <w:rFonts w:ascii="Times New Roman" w:hAnsi="Times New Roman"/>
          <w:color w:val="000000"/>
          <w:lang w:val="nl-NL"/>
        </w:rPr>
      </w:pPr>
      <w:r w:rsidRPr="006D0278">
        <w:rPr>
          <w:rFonts w:ascii="Times New Roman" w:hAnsi="Times New Roman"/>
          <w:lang w:val="nl-NL"/>
        </w:rPr>
        <w:t>Indien de aanvrager aan een van deze voorwaarden niet beantwoordt, kan deze specifieke regel niet worden toegepast en valt men terug op de algemene bevoegdheidsregel</w:t>
      </w:r>
      <w:r w:rsidRPr="006D0278">
        <w:rPr>
          <w:rFonts w:ascii="Times New Roman" w:hAnsi="Times New Roman"/>
          <w:color w:val="000000"/>
          <w:lang w:val="nl-NL"/>
        </w:rPr>
        <w:t xml:space="preserve"> van artikel 1, 1°, van de wet van 2 april 1965 betreffende het ten laste nemen van de steun verleend door de openbare centra voor maatschappelijk welzijn. In dat geval is het OCMW van de gemeente waar de steunaanvrager gewoonlijk verblijft bevoegd. </w:t>
      </w:r>
    </w:p>
    <w:p w:rsidR="00DA101F" w:rsidRPr="006D0278" w:rsidRDefault="00DA101F" w:rsidP="0056642D">
      <w:pPr>
        <w:ind w:left="1080"/>
        <w:jc w:val="both"/>
        <w:rPr>
          <w:lang w:val="nl-NL"/>
        </w:rPr>
      </w:pPr>
    </w:p>
    <w:p w:rsidR="0056642D" w:rsidRPr="006D0278" w:rsidRDefault="0056642D" w:rsidP="00907123">
      <w:pPr>
        <w:ind w:left="720"/>
        <w:jc w:val="both"/>
        <w:rPr>
          <w:lang w:val="nl-NL"/>
        </w:rPr>
      </w:pPr>
    </w:p>
    <w:p w:rsidR="00F50D3D" w:rsidRPr="0045504A" w:rsidRDefault="008E706C" w:rsidP="006E7408">
      <w:pPr>
        <w:pStyle w:val="Heading5"/>
        <w:ind w:left="720" w:firstLine="720"/>
        <w:rPr>
          <w:rFonts w:ascii="Times New Roman" w:hAnsi="Times New Roman"/>
          <w:bCs w:val="0"/>
          <w:lang w:val="en-US"/>
        </w:rPr>
      </w:pPr>
      <w:bookmarkStart w:id="56" w:name="_Toc510775757"/>
      <w:r w:rsidRPr="0045504A">
        <w:rPr>
          <w:rFonts w:ascii="Times New Roman" w:hAnsi="Times New Roman"/>
          <w:bCs w:val="0"/>
          <w:lang w:val="en-US"/>
        </w:rPr>
        <w:t>2) Studies met volledig leerplan:</w:t>
      </w:r>
      <w:bookmarkEnd w:id="56"/>
    </w:p>
    <w:p w:rsidR="00F50D3D" w:rsidRPr="0045504A" w:rsidRDefault="00F50D3D" w:rsidP="00F50D3D">
      <w:pPr>
        <w:ind w:left="1080"/>
        <w:jc w:val="both"/>
        <w:rPr>
          <w:u w:val="single"/>
          <w:lang w:val="en-US"/>
        </w:rPr>
      </w:pPr>
    </w:p>
    <w:p w:rsidR="00DA101F" w:rsidRPr="006D0278" w:rsidRDefault="008E706C" w:rsidP="006E7408">
      <w:pPr>
        <w:numPr>
          <w:ilvl w:val="0"/>
          <w:numId w:val="18"/>
        </w:numPr>
        <w:jc w:val="both"/>
        <w:rPr>
          <w:lang w:val="nl-NL"/>
        </w:rPr>
      </w:pPr>
      <w:r w:rsidRPr="006D0278">
        <w:rPr>
          <w:u w:val="single"/>
          <w:lang w:val="nl-NL"/>
        </w:rPr>
        <w:t>Worden gelijkgesteld met studies met volledig leerplan</w:t>
      </w:r>
      <w:r w:rsidRPr="006D0278">
        <w:rPr>
          <w:lang w:val="nl-NL"/>
        </w:rPr>
        <w:t xml:space="preserve">: </w:t>
      </w:r>
    </w:p>
    <w:p w:rsidR="00DA101F" w:rsidRPr="006D0278" w:rsidRDefault="008E706C" w:rsidP="00DA101F">
      <w:pPr>
        <w:numPr>
          <w:ilvl w:val="0"/>
          <w:numId w:val="11"/>
        </w:numPr>
        <w:jc w:val="both"/>
        <w:rPr>
          <w:lang w:val="nl-NL"/>
        </w:rPr>
      </w:pPr>
      <w:r w:rsidRPr="006D0278">
        <w:rPr>
          <w:lang w:val="nl-NL"/>
        </w:rPr>
        <w:t xml:space="preserve">De dagopleidingen georganiseerd door het onderwijs voor sociale promotie die leiden tot een overeenstemmend getuigschrift van het onderwijs met volledig leerplan </w:t>
      </w:r>
    </w:p>
    <w:p w:rsidR="00DA101F" w:rsidRPr="0049472A" w:rsidRDefault="0049472A" w:rsidP="00DA101F">
      <w:pPr>
        <w:numPr>
          <w:ilvl w:val="0"/>
          <w:numId w:val="11"/>
        </w:numPr>
        <w:jc w:val="both"/>
        <w:rPr>
          <w:lang w:val="nl-NL"/>
        </w:rPr>
      </w:pPr>
      <w:r w:rsidRPr="0049472A">
        <w:rPr>
          <w:bCs/>
          <w:lang w:val="nl-NL"/>
        </w:rPr>
        <w:t xml:space="preserve">Het deeltijds beroepssecundair </w:t>
      </w:r>
      <w:r>
        <w:rPr>
          <w:bCs/>
          <w:lang w:val="nl-NL"/>
        </w:rPr>
        <w:t xml:space="preserve">onderwijs </w:t>
      </w:r>
    </w:p>
    <w:p w:rsidR="00DA101F" w:rsidRPr="00907123" w:rsidRDefault="008E706C" w:rsidP="00DA101F">
      <w:pPr>
        <w:numPr>
          <w:ilvl w:val="0"/>
          <w:numId w:val="11"/>
        </w:numPr>
        <w:jc w:val="both"/>
        <w:rPr>
          <w:lang w:val="fr-BE"/>
        </w:rPr>
      </w:pPr>
      <w:r>
        <w:rPr>
          <w:lang w:val="fr-FR"/>
        </w:rPr>
        <w:t>Leeropleiding voor de middenstand</w:t>
      </w:r>
    </w:p>
    <w:p w:rsidR="00907123" w:rsidRPr="00790ACF" w:rsidRDefault="00907123" w:rsidP="00907123">
      <w:pPr>
        <w:ind w:left="720"/>
        <w:jc w:val="both"/>
        <w:rPr>
          <w:lang w:val="fr-FR"/>
        </w:rPr>
      </w:pPr>
    </w:p>
    <w:p w:rsidR="00907123" w:rsidRPr="006D0278" w:rsidRDefault="008E706C" w:rsidP="006E7408">
      <w:pPr>
        <w:numPr>
          <w:ilvl w:val="1"/>
          <w:numId w:val="11"/>
        </w:numPr>
        <w:jc w:val="both"/>
        <w:rPr>
          <w:lang w:val="nl-NL"/>
        </w:rPr>
      </w:pPr>
      <w:r w:rsidRPr="006D0278">
        <w:rPr>
          <w:u w:val="single"/>
          <w:lang w:val="nl-NL"/>
        </w:rPr>
        <w:t>Worden niet beschouwd als studies met volledig leerplan</w:t>
      </w:r>
      <w:r w:rsidRPr="006D0278">
        <w:rPr>
          <w:lang w:val="nl-NL"/>
        </w:rPr>
        <w:t>:</w:t>
      </w:r>
    </w:p>
    <w:p w:rsidR="00325CA5" w:rsidRPr="006D0278" w:rsidRDefault="008E706C" w:rsidP="00DA101F">
      <w:pPr>
        <w:numPr>
          <w:ilvl w:val="0"/>
          <w:numId w:val="11"/>
        </w:numPr>
        <w:rPr>
          <w:b/>
          <w:lang w:val="nl-NL"/>
        </w:rPr>
      </w:pPr>
      <w:r w:rsidRPr="006D0278">
        <w:rPr>
          <w:lang w:val="nl-NL"/>
        </w:rPr>
        <w:t>Opleidingen in glijdende uurroosters, avondcursussen.</w:t>
      </w:r>
    </w:p>
    <w:p w:rsidR="00325CA5" w:rsidRPr="006D0278" w:rsidRDefault="008E706C" w:rsidP="00DA101F">
      <w:pPr>
        <w:pStyle w:val="Letter"/>
        <w:numPr>
          <w:ilvl w:val="0"/>
          <w:numId w:val="11"/>
        </w:numPr>
        <w:jc w:val="both"/>
        <w:rPr>
          <w:rFonts w:ascii="Times New Roman" w:hAnsi="Times New Roman"/>
          <w:b/>
          <w:sz w:val="24"/>
          <w:szCs w:val="24"/>
          <w:lang w:val="nl-NL"/>
        </w:rPr>
      </w:pPr>
      <w:r w:rsidRPr="006D0278">
        <w:rPr>
          <w:rFonts w:ascii="Times New Roman" w:hAnsi="Times New Roman"/>
          <w:sz w:val="24"/>
          <w:szCs w:val="24"/>
          <w:lang w:val="nl-NL"/>
        </w:rPr>
        <w:t xml:space="preserve">Cursussen gevolgd als vrije student. </w:t>
      </w:r>
    </w:p>
    <w:p w:rsidR="00325CA5" w:rsidRPr="00D83593" w:rsidRDefault="008E706C" w:rsidP="00DA101F">
      <w:pPr>
        <w:pStyle w:val="Letter"/>
        <w:numPr>
          <w:ilvl w:val="0"/>
          <w:numId w:val="11"/>
        </w:numPr>
        <w:jc w:val="both"/>
        <w:rPr>
          <w:rFonts w:ascii="Times New Roman" w:hAnsi="Times New Roman"/>
          <w:b/>
          <w:sz w:val="24"/>
          <w:szCs w:val="24"/>
          <w:lang w:val="fr-BE"/>
        </w:rPr>
      </w:pPr>
      <w:r>
        <w:rPr>
          <w:rFonts w:ascii="Times New Roman" w:hAnsi="Times New Roman"/>
          <w:sz w:val="24"/>
          <w:szCs w:val="24"/>
          <w:lang w:val="fr-BE"/>
        </w:rPr>
        <w:t>Cursussen per post, afstandsonderwijs.</w:t>
      </w:r>
    </w:p>
    <w:p w:rsidR="00325CA5" w:rsidRPr="006D0278" w:rsidRDefault="008E706C" w:rsidP="00DA101F">
      <w:pPr>
        <w:numPr>
          <w:ilvl w:val="0"/>
          <w:numId w:val="11"/>
        </w:numPr>
        <w:jc w:val="both"/>
        <w:rPr>
          <w:lang w:val="nl-NL"/>
        </w:rPr>
      </w:pPr>
      <w:r w:rsidRPr="006D0278">
        <w:rPr>
          <w:lang w:val="nl-NL"/>
        </w:rPr>
        <w:t>Onderwijs voor sociale promotie, dagonderwijs, dat niet leidt tot een overeenstemmend getuigschrift van het onderwijs met volledig leerplan</w:t>
      </w:r>
    </w:p>
    <w:p w:rsidR="00325CA5" w:rsidRPr="006D0278" w:rsidRDefault="008E706C" w:rsidP="00DA101F">
      <w:pPr>
        <w:numPr>
          <w:ilvl w:val="0"/>
          <w:numId w:val="11"/>
        </w:numPr>
        <w:jc w:val="both"/>
        <w:rPr>
          <w:lang w:val="nl-NL"/>
        </w:rPr>
      </w:pPr>
      <w:r w:rsidRPr="006D0278">
        <w:rPr>
          <w:lang w:val="nl-NL"/>
        </w:rPr>
        <w:t>Een taalopleiding die niet leidt tot een overeenstemmend getuigschrift van het onderwijs met volledig leerplan</w:t>
      </w:r>
    </w:p>
    <w:p w:rsidR="00325CA5" w:rsidRDefault="008E706C" w:rsidP="00DA101F">
      <w:pPr>
        <w:numPr>
          <w:ilvl w:val="0"/>
          <w:numId w:val="11"/>
        </w:numPr>
        <w:jc w:val="both"/>
        <w:rPr>
          <w:lang w:val="fr-BE"/>
        </w:rPr>
      </w:pPr>
      <w:r>
        <w:rPr>
          <w:lang w:val="fr-BE"/>
        </w:rPr>
        <w:t>Kwalificerende opleidingen</w:t>
      </w:r>
    </w:p>
    <w:p w:rsidR="00325CA5" w:rsidRPr="006D0278" w:rsidRDefault="008E706C" w:rsidP="00DA101F">
      <w:pPr>
        <w:numPr>
          <w:ilvl w:val="0"/>
          <w:numId w:val="11"/>
        </w:numPr>
        <w:jc w:val="both"/>
        <w:rPr>
          <w:lang w:val="nl-NL"/>
        </w:rPr>
      </w:pPr>
      <w:r w:rsidRPr="006D0278">
        <w:rPr>
          <w:color w:val="000000"/>
          <w:lang w:val="nl-NL"/>
        </w:rPr>
        <w:t>Studies gevolgd in onderwijsinstellingen in het buitenland</w:t>
      </w:r>
    </w:p>
    <w:p w:rsidR="006E7408" w:rsidRPr="006D0278" w:rsidRDefault="006E7408" w:rsidP="00325CA5">
      <w:pPr>
        <w:ind w:left="720" w:firstLine="360"/>
        <w:jc w:val="both"/>
        <w:rPr>
          <w:lang w:val="nl-NL"/>
        </w:rPr>
      </w:pPr>
    </w:p>
    <w:p w:rsidR="009920D9" w:rsidRDefault="009920D9" w:rsidP="006E7408">
      <w:pPr>
        <w:pStyle w:val="Heading5"/>
        <w:ind w:left="720" w:firstLine="720"/>
        <w:rPr>
          <w:rFonts w:ascii="Times New Roman" w:hAnsi="Times New Roman"/>
        </w:rPr>
      </w:pPr>
    </w:p>
    <w:p w:rsidR="009920D9" w:rsidRPr="009920D9" w:rsidRDefault="009920D9" w:rsidP="009920D9">
      <w:pPr>
        <w:rPr>
          <w:lang w:val="nl-NL"/>
        </w:rPr>
      </w:pPr>
    </w:p>
    <w:p w:rsidR="00E97D0C" w:rsidRPr="001D2CD4" w:rsidRDefault="00E97D0C" w:rsidP="00E97D0C">
      <w:pPr>
        <w:pStyle w:val="Heading5"/>
        <w:ind w:left="720" w:firstLine="720"/>
        <w:rPr>
          <w:rFonts w:ascii="Times New Roman" w:hAnsi="Times New Roman"/>
          <w:b w:val="0"/>
          <w:i w:val="0"/>
        </w:rPr>
      </w:pPr>
      <w:bookmarkStart w:id="57" w:name="_Toc510775763"/>
      <w:r w:rsidRPr="001D2CD4">
        <w:rPr>
          <w:rFonts w:ascii="Times New Roman" w:hAnsi="Times New Roman"/>
          <w:b w:val="0"/>
          <w:i w:val="0"/>
        </w:rPr>
        <w:lastRenderedPageBreak/>
        <w:t>Om over studies met volledig leerplan te kunnen spreken, kan men ervan</w:t>
      </w:r>
      <w:bookmarkEnd w:id="57"/>
      <w:r w:rsidRPr="001D2CD4">
        <w:rPr>
          <w:rFonts w:ascii="Times New Roman" w:hAnsi="Times New Roman"/>
          <w:b w:val="0"/>
          <w:i w:val="0"/>
        </w:rPr>
        <w:t xml:space="preserve"> </w:t>
      </w:r>
    </w:p>
    <w:p w:rsidR="00E97D0C" w:rsidRPr="001D2CD4" w:rsidRDefault="00E97D0C" w:rsidP="00E97D0C">
      <w:pPr>
        <w:pStyle w:val="Heading5"/>
        <w:ind w:left="720" w:firstLine="720"/>
        <w:rPr>
          <w:rFonts w:ascii="Times New Roman" w:hAnsi="Times New Roman"/>
          <w:b w:val="0"/>
          <w:i w:val="0"/>
        </w:rPr>
      </w:pPr>
      <w:bookmarkStart w:id="58" w:name="_Toc510775764"/>
      <w:r w:rsidRPr="001D2CD4">
        <w:rPr>
          <w:rFonts w:ascii="Times New Roman" w:hAnsi="Times New Roman"/>
          <w:b w:val="0"/>
          <w:i w:val="0"/>
        </w:rPr>
        <w:t>uitgaan dat het moet gaan om dagopleidingen die leiden tot een diploma of een</w:t>
      </w:r>
      <w:bookmarkEnd w:id="58"/>
      <w:r w:rsidRPr="001D2CD4">
        <w:rPr>
          <w:rFonts w:ascii="Times New Roman" w:hAnsi="Times New Roman"/>
          <w:b w:val="0"/>
          <w:i w:val="0"/>
        </w:rPr>
        <w:t xml:space="preserve"> </w:t>
      </w:r>
    </w:p>
    <w:p w:rsidR="00E97D0C" w:rsidRPr="001D2CD4" w:rsidRDefault="00E97D0C" w:rsidP="00E97D0C">
      <w:pPr>
        <w:pStyle w:val="Heading5"/>
        <w:ind w:left="720" w:firstLine="720"/>
        <w:rPr>
          <w:rFonts w:ascii="Times New Roman" w:hAnsi="Times New Roman"/>
          <w:b w:val="0"/>
          <w:i w:val="0"/>
        </w:rPr>
      </w:pPr>
      <w:bookmarkStart w:id="59" w:name="_Toc510775765"/>
      <w:r w:rsidRPr="001D2CD4">
        <w:rPr>
          <w:rFonts w:ascii="Times New Roman" w:hAnsi="Times New Roman"/>
          <w:b w:val="0"/>
          <w:i w:val="0"/>
        </w:rPr>
        <w:t>overeenstemmend getuigschrift van het onderwijs met voltijds leerplan.</w:t>
      </w:r>
      <w:bookmarkEnd w:id="59"/>
    </w:p>
    <w:p w:rsidR="00E97D0C" w:rsidRPr="001D2CD4" w:rsidRDefault="00E97D0C" w:rsidP="00E97D0C">
      <w:pPr>
        <w:pStyle w:val="Heading5"/>
        <w:ind w:left="720" w:firstLine="720"/>
        <w:rPr>
          <w:rFonts w:ascii="Times New Roman" w:hAnsi="Times New Roman"/>
          <w:b w:val="0"/>
          <w:i w:val="0"/>
        </w:rPr>
      </w:pPr>
      <w:bookmarkStart w:id="60" w:name="_Toc510775766"/>
      <w:r w:rsidRPr="001D2CD4">
        <w:rPr>
          <w:rFonts w:ascii="Times New Roman" w:hAnsi="Times New Roman"/>
          <w:b w:val="0"/>
          <w:i w:val="0"/>
        </w:rPr>
        <w:t>In het huidige onderwijslandschap kan men hier toe behoren met een beperkt</w:t>
      </w:r>
      <w:bookmarkEnd w:id="60"/>
      <w:r w:rsidRPr="001D2CD4">
        <w:rPr>
          <w:rFonts w:ascii="Times New Roman" w:hAnsi="Times New Roman"/>
          <w:b w:val="0"/>
          <w:i w:val="0"/>
        </w:rPr>
        <w:t xml:space="preserve"> </w:t>
      </w:r>
    </w:p>
    <w:p w:rsidR="00E97D0C" w:rsidRPr="001D2CD4" w:rsidRDefault="00E97D0C" w:rsidP="00E97D0C">
      <w:pPr>
        <w:pStyle w:val="Heading5"/>
        <w:ind w:left="720" w:firstLine="720"/>
        <w:rPr>
          <w:rFonts w:ascii="Times New Roman" w:hAnsi="Times New Roman"/>
          <w:b w:val="0"/>
          <w:i w:val="0"/>
        </w:rPr>
      </w:pPr>
      <w:bookmarkStart w:id="61" w:name="_Toc510775767"/>
      <w:r w:rsidRPr="001D2CD4">
        <w:rPr>
          <w:rFonts w:ascii="Times New Roman" w:hAnsi="Times New Roman"/>
          <w:b w:val="0"/>
          <w:i w:val="0"/>
        </w:rPr>
        <w:t>aantal studiepunten.</w:t>
      </w:r>
      <w:bookmarkEnd w:id="61"/>
      <w:r w:rsidRPr="001D2CD4">
        <w:rPr>
          <w:rFonts w:ascii="Times New Roman" w:hAnsi="Times New Roman"/>
          <w:b w:val="0"/>
          <w:i w:val="0"/>
        </w:rPr>
        <w:t xml:space="preserve"> </w:t>
      </w:r>
    </w:p>
    <w:p w:rsidR="00E97D0C" w:rsidRPr="001D2CD4" w:rsidRDefault="00E97D0C" w:rsidP="00E97D0C">
      <w:pPr>
        <w:pStyle w:val="Heading5"/>
        <w:ind w:left="720" w:firstLine="720"/>
        <w:rPr>
          <w:rFonts w:ascii="Times New Roman" w:hAnsi="Times New Roman"/>
          <w:b w:val="0"/>
          <w:i w:val="0"/>
        </w:rPr>
      </w:pPr>
      <w:bookmarkStart w:id="62" w:name="_Toc510775768"/>
      <w:r w:rsidRPr="001D2CD4">
        <w:rPr>
          <w:rFonts w:ascii="Times New Roman" w:hAnsi="Times New Roman"/>
          <w:b w:val="0"/>
          <w:i w:val="0"/>
        </w:rPr>
        <w:t>Bij twijfel of de dagopleidingen leiden tot een diploma of overeenstemmend</w:t>
      </w:r>
      <w:bookmarkEnd w:id="62"/>
      <w:r w:rsidRPr="001D2CD4">
        <w:rPr>
          <w:rFonts w:ascii="Times New Roman" w:hAnsi="Times New Roman"/>
          <w:b w:val="0"/>
          <w:i w:val="0"/>
        </w:rPr>
        <w:t xml:space="preserve"> </w:t>
      </w:r>
    </w:p>
    <w:p w:rsidR="00F92102" w:rsidRPr="001D2CD4" w:rsidRDefault="00F92102" w:rsidP="00E97D0C">
      <w:pPr>
        <w:pStyle w:val="Heading5"/>
        <w:ind w:left="720" w:firstLine="720"/>
        <w:rPr>
          <w:rFonts w:ascii="Times New Roman" w:hAnsi="Times New Roman"/>
          <w:b w:val="0"/>
          <w:i w:val="0"/>
        </w:rPr>
      </w:pPr>
      <w:bookmarkStart w:id="63" w:name="_Toc510775769"/>
      <w:r w:rsidRPr="001D2CD4">
        <w:rPr>
          <w:rFonts w:ascii="Times New Roman" w:hAnsi="Times New Roman"/>
          <w:b w:val="0"/>
          <w:i w:val="0"/>
        </w:rPr>
        <w:t>g</w:t>
      </w:r>
      <w:r w:rsidR="00E97D0C" w:rsidRPr="001D2CD4">
        <w:rPr>
          <w:rFonts w:ascii="Times New Roman" w:hAnsi="Times New Roman"/>
          <w:b w:val="0"/>
          <w:i w:val="0"/>
        </w:rPr>
        <w:t>etuigschrift</w:t>
      </w:r>
      <w:r w:rsidRPr="001D2CD4">
        <w:rPr>
          <w:rFonts w:ascii="Times New Roman" w:hAnsi="Times New Roman"/>
          <w:b w:val="0"/>
          <w:i w:val="0"/>
        </w:rPr>
        <w:t>, wordt aangeraden om contact op te nemen met de instelling die</w:t>
      </w:r>
      <w:bookmarkEnd w:id="63"/>
      <w:r w:rsidRPr="001D2CD4">
        <w:rPr>
          <w:rFonts w:ascii="Times New Roman" w:hAnsi="Times New Roman"/>
          <w:b w:val="0"/>
          <w:i w:val="0"/>
        </w:rPr>
        <w:t xml:space="preserve"> </w:t>
      </w:r>
    </w:p>
    <w:p w:rsidR="00F92102" w:rsidRPr="001D2CD4" w:rsidRDefault="00F92102" w:rsidP="00E97D0C">
      <w:pPr>
        <w:pStyle w:val="Heading5"/>
        <w:ind w:left="720" w:firstLine="720"/>
        <w:rPr>
          <w:rFonts w:ascii="Times New Roman" w:hAnsi="Times New Roman"/>
          <w:b w:val="0"/>
          <w:i w:val="0"/>
        </w:rPr>
      </w:pPr>
      <w:bookmarkStart w:id="64" w:name="_Toc510775770"/>
      <w:r w:rsidRPr="001D2CD4">
        <w:rPr>
          <w:rFonts w:ascii="Times New Roman" w:hAnsi="Times New Roman"/>
          <w:b w:val="0"/>
          <w:i w:val="0"/>
        </w:rPr>
        <w:t>de opleiding verzorgt en /of met het departement Onderwijs van de Vlaamse</w:t>
      </w:r>
      <w:bookmarkEnd w:id="64"/>
      <w:r w:rsidRPr="001D2CD4">
        <w:rPr>
          <w:rFonts w:ascii="Times New Roman" w:hAnsi="Times New Roman"/>
          <w:b w:val="0"/>
          <w:i w:val="0"/>
        </w:rPr>
        <w:t xml:space="preserve"> </w:t>
      </w:r>
    </w:p>
    <w:p w:rsidR="00F92102" w:rsidRPr="001D2CD4" w:rsidRDefault="00F92102" w:rsidP="00E97D0C">
      <w:pPr>
        <w:pStyle w:val="Heading5"/>
        <w:ind w:left="720" w:firstLine="720"/>
        <w:rPr>
          <w:rFonts w:ascii="Times New Roman" w:hAnsi="Times New Roman"/>
          <w:b w:val="0"/>
          <w:i w:val="0"/>
        </w:rPr>
      </w:pPr>
      <w:bookmarkStart w:id="65" w:name="_Toc510775771"/>
      <w:r w:rsidRPr="001D2CD4">
        <w:rPr>
          <w:rFonts w:ascii="Times New Roman" w:hAnsi="Times New Roman"/>
          <w:b w:val="0"/>
          <w:i w:val="0"/>
        </w:rPr>
        <w:t>Gemeenschap.</w:t>
      </w:r>
      <w:bookmarkEnd w:id="65"/>
      <w:r w:rsidRPr="001D2CD4">
        <w:rPr>
          <w:rFonts w:ascii="Times New Roman" w:hAnsi="Times New Roman"/>
          <w:b w:val="0"/>
          <w:i w:val="0"/>
        </w:rPr>
        <w:t xml:space="preserve"> </w:t>
      </w:r>
    </w:p>
    <w:p w:rsidR="00F92102" w:rsidRPr="001D2CD4" w:rsidRDefault="00F92102" w:rsidP="00E97D0C">
      <w:pPr>
        <w:pStyle w:val="Heading5"/>
        <w:ind w:left="720" w:firstLine="720"/>
        <w:rPr>
          <w:rFonts w:ascii="Times New Roman" w:hAnsi="Times New Roman"/>
          <w:b w:val="0"/>
          <w:i w:val="0"/>
        </w:rPr>
      </w:pPr>
    </w:p>
    <w:p w:rsidR="00F92102" w:rsidRPr="001D2CD4" w:rsidRDefault="00F92102" w:rsidP="00E97D0C">
      <w:pPr>
        <w:pStyle w:val="Heading5"/>
        <w:ind w:left="720" w:firstLine="720"/>
        <w:rPr>
          <w:rFonts w:ascii="Times New Roman" w:hAnsi="Times New Roman"/>
          <w:b w:val="0"/>
          <w:i w:val="0"/>
        </w:rPr>
      </w:pPr>
      <w:bookmarkStart w:id="66" w:name="_Toc510775772"/>
      <w:r w:rsidRPr="001D2CD4">
        <w:rPr>
          <w:rFonts w:ascii="Times New Roman" w:hAnsi="Times New Roman"/>
          <w:b w:val="0"/>
          <w:i w:val="0"/>
        </w:rPr>
        <w:t>Voorbeeld :</w:t>
      </w:r>
      <w:bookmarkEnd w:id="66"/>
    </w:p>
    <w:p w:rsidR="00F92102" w:rsidRPr="001D2CD4" w:rsidRDefault="00F92102" w:rsidP="00E97D0C">
      <w:pPr>
        <w:pStyle w:val="Heading5"/>
        <w:ind w:left="720" w:firstLine="720"/>
        <w:rPr>
          <w:rFonts w:ascii="Times New Roman" w:hAnsi="Times New Roman"/>
          <w:b w:val="0"/>
          <w:i w:val="0"/>
        </w:rPr>
      </w:pPr>
      <w:bookmarkStart w:id="67" w:name="_Toc510775773"/>
      <w:r w:rsidRPr="001D2CD4">
        <w:rPr>
          <w:rFonts w:ascii="Times New Roman" w:hAnsi="Times New Roman"/>
          <w:b w:val="0"/>
          <w:i w:val="0"/>
        </w:rPr>
        <w:t>Betrokkene zit in haar tweede jaar bachelor hotelmanagement. Betrokkene</w:t>
      </w:r>
      <w:bookmarkEnd w:id="67"/>
      <w:r w:rsidRPr="001D2CD4">
        <w:rPr>
          <w:rFonts w:ascii="Times New Roman" w:hAnsi="Times New Roman"/>
          <w:b w:val="0"/>
          <w:i w:val="0"/>
        </w:rPr>
        <w:t xml:space="preserve"> </w:t>
      </w:r>
    </w:p>
    <w:p w:rsidR="00F92102" w:rsidRPr="001D2CD4" w:rsidRDefault="00F92102" w:rsidP="00E97D0C">
      <w:pPr>
        <w:pStyle w:val="Heading5"/>
        <w:ind w:left="720" w:firstLine="720"/>
        <w:rPr>
          <w:rFonts w:ascii="Times New Roman" w:hAnsi="Times New Roman"/>
          <w:b w:val="0"/>
          <w:i w:val="0"/>
        </w:rPr>
      </w:pPr>
      <w:bookmarkStart w:id="68" w:name="_Toc510775774"/>
      <w:r w:rsidRPr="001D2CD4">
        <w:rPr>
          <w:rFonts w:ascii="Times New Roman" w:hAnsi="Times New Roman"/>
          <w:b w:val="0"/>
          <w:i w:val="0"/>
        </w:rPr>
        <w:t>volgt een individueel studieprogramma van 47 studiepunten (betrokkene</w:t>
      </w:r>
      <w:bookmarkEnd w:id="68"/>
    </w:p>
    <w:p w:rsidR="00F92102" w:rsidRPr="001D2CD4" w:rsidRDefault="00F92102" w:rsidP="00E97D0C">
      <w:pPr>
        <w:pStyle w:val="Heading5"/>
        <w:ind w:left="720" w:firstLine="720"/>
        <w:rPr>
          <w:rFonts w:ascii="Times New Roman" w:hAnsi="Times New Roman"/>
          <w:b w:val="0"/>
          <w:i w:val="0"/>
        </w:rPr>
      </w:pPr>
      <w:bookmarkStart w:id="69" w:name="_Toc510775775"/>
      <w:r w:rsidRPr="001D2CD4">
        <w:rPr>
          <w:rFonts w:ascii="Times New Roman" w:hAnsi="Times New Roman"/>
          <w:b w:val="0"/>
          <w:i w:val="0"/>
        </w:rPr>
        <w:t>heeft nog vier vakken uit zijn eerste jaar en volgt al enkele vakken uit het</w:t>
      </w:r>
      <w:bookmarkEnd w:id="69"/>
      <w:r w:rsidRPr="001D2CD4">
        <w:rPr>
          <w:rFonts w:ascii="Times New Roman" w:hAnsi="Times New Roman"/>
          <w:b w:val="0"/>
          <w:i w:val="0"/>
        </w:rPr>
        <w:t xml:space="preserve"> </w:t>
      </w:r>
    </w:p>
    <w:p w:rsidR="00F92102" w:rsidRPr="001D2CD4" w:rsidRDefault="00F92102" w:rsidP="00E97D0C">
      <w:pPr>
        <w:pStyle w:val="Heading5"/>
        <w:ind w:left="720" w:firstLine="720"/>
        <w:rPr>
          <w:rFonts w:ascii="Times New Roman" w:hAnsi="Times New Roman"/>
          <w:b w:val="0"/>
          <w:i w:val="0"/>
        </w:rPr>
      </w:pPr>
      <w:bookmarkStart w:id="70" w:name="_Toc510775776"/>
      <w:r w:rsidRPr="001D2CD4">
        <w:rPr>
          <w:rFonts w:ascii="Times New Roman" w:hAnsi="Times New Roman"/>
          <w:b w:val="0"/>
          <w:i w:val="0"/>
        </w:rPr>
        <w:t>tweede jaar).</w:t>
      </w:r>
      <w:bookmarkEnd w:id="70"/>
      <w:r w:rsidR="00E97D0C" w:rsidRPr="001D2CD4">
        <w:rPr>
          <w:rFonts w:ascii="Times New Roman" w:hAnsi="Times New Roman"/>
          <w:b w:val="0"/>
          <w:i w:val="0"/>
        </w:rPr>
        <w:t xml:space="preserve"> </w:t>
      </w:r>
    </w:p>
    <w:p w:rsidR="00F92102" w:rsidRPr="001D2CD4" w:rsidRDefault="00F92102" w:rsidP="00E97D0C">
      <w:pPr>
        <w:pStyle w:val="Heading5"/>
        <w:ind w:left="720" w:firstLine="720"/>
        <w:rPr>
          <w:rFonts w:ascii="Times New Roman" w:hAnsi="Times New Roman"/>
          <w:b w:val="0"/>
          <w:i w:val="0"/>
        </w:rPr>
      </w:pPr>
      <w:bookmarkStart w:id="71" w:name="_Toc510775777"/>
      <w:r w:rsidRPr="001D2CD4">
        <w:rPr>
          <w:rFonts w:ascii="Times New Roman" w:hAnsi="Times New Roman"/>
          <w:b w:val="0"/>
          <w:i w:val="0"/>
        </w:rPr>
        <w:t>Een voltijds academiejaar telt 60 studiepunten. Is dit dan voldoende met die 47</w:t>
      </w:r>
      <w:bookmarkEnd w:id="71"/>
    </w:p>
    <w:p w:rsidR="00F92102" w:rsidRPr="001D2CD4" w:rsidRDefault="00277024" w:rsidP="00E97D0C">
      <w:pPr>
        <w:pStyle w:val="Heading5"/>
        <w:ind w:left="720" w:firstLine="720"/>
        <w:rPr>
          <w:rFonts w:ascii="Times New Roman" w:hAnsi="Times New Roman"/>
          <w:b w:val="0"/>
          <w:i w:val="0"/>
        </w:rPr>
      </w:pPr>
      <w:bookmarkStart w:id="72" w:name="_Toc510775778"/>
      <w:r w:rsidRPr="001D2CD4">
        <w:rPr>
          <w:rFonts w:ascii="Times New Roman" w:hAnsi="Times New Roman"/>
          <w:b w:val="0"/>
          <w:i w:val="0"/>
        </w:rPr>
        <w:t>s</w:t>
      </w:r>
      <w:r w:rsidR="00F92102" w:rsidRPr="001D2CD4">
        <w:rPr>
          <w:rFonts w:ascii="Times New Roman" w:hAnsi="Times New Roman"/>
          <w:b w:val="0"/>
          <w:i w:val="0"/>
        </w:rPr>
        <w:t>tudiepunten ?</w:t>
      </w:r>
      <w:bookmarkEnd w:id="72"/>
    </w:p>
    <w:p w:rsidR="00F92102" w:rsidRPr="001D2CD4" w:rsidRDefault="00F92102" w:rsidP="00E97D0C">
      <w:pPr>
        <w:pStyle w:val="Heading5"/>
        <w:ind w:left="720" w:firstLine="720"/>
        <w:rPr>
          <w:rFonts w:ascii="Times New Roman" w:hAnsi="Times New Roman"/>
          <w:b w:val="0"/>
          <w:i w:val="0"/>
        </w:rPr>
      </w:pPr>
      <w:bookmarkStart w:id="73" w:name="_Toc510775779"/>
      <w:r w:rsidRPr="001D2CD4">
        <w:rPr>
          <w:rFonts w:ascii="Times New Roman" w:hAnsi="Times New Roman"/>
          <w:b w:val="0"/>
          <w:i w:val="0"/>
        </w:rPr>
        <w:t>In de wetgeving staat niet dat men voltijds naar school moet gaan. Er staat wel</w:t>
      </w:r>
      <w:bookmarkEnd w:id="73"/>
      <w:r w:rsidRPr="001D2CD4">
        <w:rPr>
          <w:rFonts w:ascii="Times New Roman" w:hAnsi="Times New Roman"/>
          <w:b w:val="0"/>
          <w:i w:val="0"/>
        </w:rPr>
        <w:t xml:space="preserve"> </w:t>
      </w:r>
    </w:p>
    <w:p w:rsidR="00F92102" w:rsidRPr="001D2CD4" w:rsidRDefault="00277024" w:rsidP="00E97D0C">
      <w:pPr>
        <w:pStyle w:val="Heading5"/>
        <w:ind w:left="720" w:firstLine="720"/>
        <w:rPr>
          <w:rFonts w:ascii="Times New Roman" w:hAnsi="Times New Roman"/>
          <w:b w:val="0"/>
          <w:i w:val="0"/>
        </w:rPr>
      </w:pPr>
      <w:bookmarkStart w:id="74" w:name="_Toc510775780"/>
      <w:r w:rsidRPr="001D2CD4">
        <w:rPr>
          <w:rFonts w:ascii="Times New Roman" w:hAnsi="Times New Roman"/>
          <w:b w:val="0"/>
          <w:i w:val="0"/>
        </w:rPr>
        <w:t>d</w:t>
      </w:r>
      <w:r w:rsidR="00F92102" w:rsidRPr="001D2CD4">
        <w:rPr>
          <w:rFonts w:ascii="Times New Roman" w:hAnsi="Times New Roman"/>
          <w:b w:val="0"/>
          <w:i w:val="0"/>
        </w:rPr>
        <w:t>at men studies met voltijds leerplan moet volgen, met andere woorden</w:t>
      </w:r>
      <w:bookmarkEnd w:id="74"/>
      <w:r w:rsidR="00F92102" w:rsidRPr="001D2CD4">
        <w:rPr>
          <w:rFonts w:ascii="Times New Roman" w:hAnsi="Times New Roman"/>
          <w:b w:val="0"/>
          <w:i w:val="0"/>
        </w:rPr>
        <w:t xml:space="preserve"> </w:t>
      </w:r>
    </w:p>
    <w:p w:rsidR="00F92102" w:rsidRPr="001D2CD4" w:rsidRDefault="00277024" w:rsidP="00E97D0C">
      <w:pPr>
        <w:pStyle w:val="Heading5"/>
        <w:ind w:left="720" w:firstLine="720"/>
        <w:rPr>
          <w:rFonts w:ascii="Times New Roman" w:hAnsi="Times New Roman"/>
          <w:b w:val="0"/>
          <w:i w:val="0"/>
        </w:rPr>
      </w:pPr>
      <w:bookmarkStart w:id="75" w:name="_Toc510775781"/>
      <w:r w:rsidRPr="001D2CD4">
        <w:rPr>
          <w:rFonts w:ascii="Times New Roman" w:hAnsi="Times New Roman"/>
          <w:b w:val="0"/>
          <w:i w:val="0"/>
        </w:rPr>
        <w:t>s</w:t>
      </w:r>
      <w:r w:rsidR="00F92102" w:rsidRPr="001D2CD4">
        <w:rPr>
          <w:rFonts w:ascii="Times New Roman" w:hAnsi="Times New Roman"/>
          <w:b w:val="0"/>
          <w:i w:val="0"/>
        </w:rPr>
        <w:t>tudies volgen die leiden tot een volwaardig diploma waarbij het aantal</w:t>
      </w:r>
      <w:bookmarkEnd w:id="75"/>
      <w:r w:rsidR="00F92102" w:rsidRPr="001D2CD4">
        <w:rPr>
          <w:rFonts w:ascii="Times New Roman" w:hAnsi="Times New Roman"/>
          <w:b w:val="0"/>
          <w:i w:val="0"/>
        </w:rPr>
        <w:t xml:space="preserve"> </w:t>
      </w:r>
    </w:p>
    <w:p w:rsidR="00277024" w:rsidRPr="001D2CD4" w:rsidRDefault="00277024" w:rsidP="00E97D0C">
      <w:pPr>
        <w:pStyle w:val="Heading5"/>
        <w:ind w:left="720" w:firstLine="720"/>
        <w:rPr>
          <w:rFonts w:ascii="Times New Roman" w:hAnsi="Times New Roman"/>
          <w:b w:val="0"/>
          <w:i w:val="0"/>
        </w:rPr>
      </w:pPr>
      <w:bookmarkStart w:id="76" w:name="_Toc510775782"/>
      <w:r w:rsidRPr="001D2CD4">
        <w:rPr>
          <w:rFonts w:ascii="Times New Roman" w:hAnsi="Times New Roman"/>
          <w:b w:val="0"/>
          <w:i w:val="0"/>
        </w:rPr>
        <w:t>s</w:t>
      </w:r>
      <w:r w:rsidR="00F92102" w:rsidRPr="001D2CD4">
        <w:rPr>
          <w:rFonts w:ascii="Times New Roman" w:hAnsi="Times New Roman"/>
          <w:b w:val="0"/>
          <w:i w:val="0"/>
        </w:rPr>
        <w:t>tudiepunten per jaar dus van geen tel is.</w:t>
      </w:r>
      <w:bookmarkEnd w:id="76"/>
      <w:r w:rsidR="00F92102" w:rsidRPr="001D2CD4">
        <w:rPr>
          <w:rFonts w:ascii="Times New Roman" w:hAnsi="Times New Roman"/>
          <w:b w:val="0"/>
          <w:i w:val="0"/>
        </w:rPr>
        <w:t xml:space="preserve"> </w:t>
      </w:r>
    </w:p>
    <w:p w:rsidR="00277024" w:rsidRPr="001D2CD4" w:rsidRDefault="00277024" w:rsidP="00E97D0C">
      <w:pPr>
        <w:pStyle w:val="Heading5"/>
        <w:ind w:left="720" w:firstLine="720"/>
        <w:rPr>
          <w:rFonts w:ascii="Times New Roman" w:hAnsi="Times New Roman"/>
          <w:b w:val="0"/>
          <w:i w:val="0"/>
        </w:rPr>
      </w:pPr>
      <w:bookmarkStart w:id="77" w:name="_Toc510775783"/>
      <w:r w:rsidRPr="001D2CD4">
        <w:rPr>
          <w:rFonts w:ascii="Times New Roman" w:hAnsi="Times New Roman"/>
          <w:b w:val="0"/>
          <w:i w:val="0"/>
        </w:rPr>
        <w:t>In de geschetste situatie moet betrokkene dus wel degelijk beschouwd worden</w:t>
      </w:r>
      <w:bookmarkEnd w:id="77"/>
      <w:r w:rsidRPr="001D2CD4">
        <w:rPr>
          <w:rFonts w:ascii="Times New Roman" w:hAnsi="Times New Roman"/>
          <w:b w:val="0"/>
          <w:i w:val="0"/>
        </w:rPr>
        <w:t xml:space="preserve"> </w:t>
      </w:r>
    </w:p>
    <w:p w:rsidR="00F722B4" w:rsidRDefault="00277024" w:rsidP="00E97D0C">
      <w:pPr>
        <w:pStyle w:val="Heading5"/>
        <w:ind w:left="720" w:firstLine="720"/>
        <w:rPr>
          <w:rFonts w:ascii="Times New Roman" w:hAnsi="Times New Roman"/>
          <w:b w:val="0"/>
          <w:i w:val="0"/>
        </w:rPr>
      </w:pPr>
      <w:bookmarkStart w:id="78" w:name="_Toc510775784"/>
      <w:r w:rsidRPr="001D2CD4">
        <w:rPr>
          <w:rFonts w:ascii="Times New Roman" w:hAnsi="Times New Roman"/>
          <w:b w:val="0"/>
          <w:i w:val="0"/>
        </w:rPr>
        <w:t>als zijnde iemand die studies met voltijds leerplan volgt.</w:t>
      </w:r>
      <w:bookmarkEnd w:id="78"/>
      <w:r w:rsidR="00F92102">
        <w:rPr>
          <w:rFonts w:ascii="Times New Roman" w:hAnsi="Times New Roman"/>
          <w:b w:val="0"/>
          <w:i w:val="0"/>
        </w:rPr>
        <w:t xml:space="preserve"> </w:t>
      </w:r>
      <w:r w:rsidR="00F722B4">
        <w:rPr>
          <w:rFonts w:ascii="Times New Roman" w:hAnsi="Times New Roman"/>
          <w:b w:val="0"/>
          <w:i w:val="0"/>
        </w:rPr>
        <w:t xml:space="preserve"> </w:t>
      </w:r>
    </w:p>
    <w:p w:rsidR="00F92102" w:rsidRPr="00F92102" w:rsidRDefault="00F92102" w:rsidP="00F92102">
      <w:pPr>
        <w:rPr>
          <w:lang w:val="nl-NL"/>
        </w:rPr>
      </w:pPr>
    </w:p>
    <w:p w:rsidR="00E97D0C" w:rsidRPr="00E97D0C" w:rsidRDefault="00E97D0C" w:rsidP="00E97D0C">
      <w:pPr>
        <w:rPr>
          <w:lang w:val="nl-NL"/>
        </w:rPr>
      </w:pPr>
    </w:p>
    <w:p w:rsidR="00E97D0C" w:rsidRDefault="00E97D0C" w:rsidP="00E97D0C">
      <w:pPr>
        <w:rPr>
          <w:lang w:val="nl-NL"/>
        </w:rPr>
      </w:pPr>
    </w:p>
    <w:p w:rsidR="00E97D0C" w:rsidRDefault="00E97D0C" w:rsidP="00E97D0C">
      <w:pPr>
        <w:rPr>
          <w:lang w:val="nl-NL"/>
        </w:rPr>
      </w:pPr>
    </w:p>
    <w:p w:rsidR="00E97D0C" w:rsidRPr="00E97D0C" w:rsidRDefault="00E97D0C" w:rsidP="00E97D0C">
      <w:pPr>
        <w:rPr>
          <w:lang w:val="nl-NL"/>
        </w:rPr>
      </w:pPr>
    </w:p>
    <w:p w:rsidR="00F722B4" w:rsidRPr="00F722B4" w:rsidRDefault="00F722B4" w:rsidP="00F722B4">
      <w:pPr>
        <w:rPr>
          <w:lang w:val="nl-NL"/>
        </w:rPr>
      </w:pPr>
    </w:p>
    <w:p w:rsidR="00907123" w:rsidRPr="006D0278" w:rsidRDefault="008E706C" w:rsidP="006E7408">
      <w:pPr>
        <w:pStyle w:val="Heading5"/>
        <w:ind w:left="720" w:firstLine="720"/>
        <w:rPr>
          <w:rFonts w:ascii="Times New Roman" w:hAnsi="Times New Roman"/>
        </w:rPr>
      </w:pPr>
      <w:bookmarkStart w:id="79" w:name="_Toc510775785"/>
      <w:r w:rsidRPr="006D0278">
        <w:rPr>
          <w:rFonts w:ascii="Times New Roman" w:hAnsi="Times New Roman"/>
        </w:rPr>
        <w:t>3) De inschrijving in het register</w:t>
      </w:r>
      <w:bookmarkEnd w:id="79"/>
    </w:p>
    <w:p w:rsidR="000308E0" w:rsidRPr="006D0278" w:rsidRDefault="000308E0" w:rsidP="000308E0">
      <w:pPr>
        <w:pStyle w:val="Koptekst1"/>
        <w:ind w:left="1080"/>
        <w:jc w:val="both"/>
        <w:rPr>
          <w:rFonts w:ascii="Times New Roman" w:hAnsi="Times New Roman"/>
          <w:color w:val="000000"/>
          <w:lang w:val="nl-NL"/>
        </w:rPr>
      </w:pPr>
    </w:p>
    <w:p w:rsidR="000308E0" w:rsidRPr="006D0278" w:rsidRDefault="008E706C" w:rsidP="006E7408">
      <w:pPr>
        <w:ind w:left="1440"/>
        <w:rPr>
          <w:b/>
          <w:u w:val="single"/>
          <w:lang w:val="nl-NL"/>
        </w:rPr>
      </w:pPr>
      <w:r w:rsidRPr="006D0278">
        <w:rPr>
          <w:lang w:val="nl-NL"/>
        </w:rPr>
        <w:t>De student moet ingeschreven zijn, als hoofdverblijfplaats, in het bevolkings- of vreemdelingenregister op het ogenblik van zijn steunaanvraag.</w:t>
      </w:r>
    </w:p>
    <w:p w:rsidR="000308E0" w:rsidRPr="006D0278" w:rsidRDefault="000308E0" w:rsidP="000308E0">
      <w:pPr>
        <w:pStyle w:val="Koptekst1"/>
        <w:ind w:left="1080"/>
        <w:jc w:val="both"/>
        <w:rPr>
          <w:rFonts w:ascii="Times New Roman" w:hAnsi="Times New Roman"/>
          <w:color w:val="000000"/>
          <w:lang w:val="nl-NL"/>
        </w:rPr>
      </w:pPr>
    </w:p>
    <w:p w:rsidR="000308E0" w:rsidRPr="006D0278" w:rsidRDefault="008E706C" w:rsidP="00980B85">
      <w:pPr>
        <w:pStyle w:val="Koptekst1"/>
        <w:ind w:left="1440"/>
        <w:jc w:val="both"/>
        <w:rPr>
          <w:rFonts w:ascii="Times New Roman" w:hAnsi="Times New Roman"/>
          <w:color w:val="000000"/>
          <w:lang w:val="nl-NL"/>
        </w:rPr>
      </w:pPr>
      <w:r w:rsidRPr="006D0278">
        <w:rPr>
          <w:rFonts w:ascii="Times New Roman" w:hAnsi="Times New Roman"/>
          <w:color w:val="000000"/>
          <w:lang w:val="nl-NL"/>
        </w:rPr>
        <w:t xml:space="preserve">De in aanmerking te nemen inschrijving moet aan de volgende voorwaarden voldoen: </w:t>
      </w:r>
    </w:p>
    <w:p w:rsidR="00980B85" w:rsidRDefault="00980B85" w:rsidP="00980B85">
      <w:pPr>
        <w:ind w:left="1440"/>
        <w:jc w:val="both"/>
        <w:rPr>
          <w:color w:val="000000"/>
          <w:lang w:val="nl-NL"/>
        </w:rPr>
      </w:pPr>
    </w:p>
    <w:p w:rsidR="00980B85" w:rsidRDefault="00980B85" w:rsidP="00980B85">
      <w:pPr>
        <w:numPr>
          <w:ilvl w:val="0"/>
          <w:numId w:val="27"/>
        </w:numPr>
        <w:jc w:val="both"/>
        <w:rPr>
          <w:color w:val="000000"/>
          <w:lang w:val="nl-NL"/>
        </w:rPr>
      </w:pPr>
      <w:r w:rsidRPr="00980B85">
        <w:rPr>
          <w:color w:val="000000"/>
          <w:lang w:val="nl-NL"/>
        </w:rPr>
        <w:t>De wet verduidelijkt dat het gaat om de inschrijving als "hoofdverblijfplaats". Een inschrijving op een referentieadres komt dus niet in aanmerking.</w:t>
      </w:r>
    </w:p>
    <w:p w:rsidR="00980B85" w:rsidRDefault="00980B85" w:rsidP="00980B85">
      <w:pPr>
        <w:ind w:left="1800"/>
        <w:jc w:val="both"/>
        <w:rPr>
          <w:color w:val="000000"/>
          <w:lang w:val="nl-NL"/>
        </w:rPr>
      </w:pPr>
    </w:p>
    <w:p w:rsidR="00980B85" w:rsidRDefault="00980B85" w:rsidP="00980B85">
      <w:pPr>
        <w:numPr>
          <w:ilvl w:val="0"/>
          <w:numId w:val="27"/>
        </w:numPr>
        <w:jc w:val="both"/>
        <w:rPr>
          <w:color w:val="000000"/>
          <w:lang w:val="nl-NL"/>
        </w:rPr>
      </w:pPr>
      <w:r w:rsidRPr="00980B85">
        <w:rPr>
          <w:color w:val="000000"/>
          <w:lang w:val="nl-NL"/>
        </w:rPr>
        <w:t>De inschrijving moet gebeuren in het bevolkings- of</w:t>
      </w:r>
      <w:r>
        <w:rPr>
          <w:color w:val="000000"/>
          <w:lang w:val="nl-NL"/>
        </w:rPr>
        <w:t xml:space="preserve"> </w:t>
      </w:r>
      <w:r w:rsidRPr="00980B85">
        <w:rPr>
          <w:color w:val="000000"/>
          <w:lang w:val="nl-NL"/>
        </w:rPr>
        <w:t>vreemdelingenregister. Een inschrijving in het wachtregister komt niet in aanmerking.</w:t>
      </w:r>
    </w:p>
    <w:p w:rsidR="00980B85" w:rsidRDefault="00980B85" w:rsidP="00980B85">
      <w:pPr>
        <w:pStyle w:val="ListParagraph"/>
        <w:rPr>
          <w:color w:val="000000"/>
          <w:lang w:val="nl-NL"/>
        </w:rPr>
      </w:pPr>
    </w:p>
    <w:p w:rsidR="000308E0" w:rsidRPr="00980B85" w:rsidRDefault="008E706C" w:rsidP="00980B85">
      <w:pPr>
        <w:numPr>
          <w:ilvl w:val="0"/>
          <w:numId w:val="27"/>
        </w:numPr>
        <w:jc w:val="both"/>
        <w:rPr>
          <w:color w:val="000000"/>
          <w:lang w:val="nl-NL"/>
        </w:rPr>
      </w:pPr>
      <w:r w:rsidRPr="00980B85">
        <w:rPr>
          <w:color w:val="000000"/>
          <w:lang w:val="nl-NL"/>
        </w:rPr>
        <w:t>Het gaat om de gemeente waar de steunaanvrager effectief is ingeschreven, als hoofdverblijfplaats</w:t>
      </w:r>
      <w:r w:rsidRPr="00980B85">
        <w:rPr>
          <w:color w:val="000000"/>
          <w:u w:val="single"/>
          <w:lang w:val="nl-NL"/>
        </w:rPr>
        <w:t xml:space="preserve"> op het ogenblik dat hij zijn aanvraag heeft ingediend</w:t>
      </w:r>
      <w:r w:rsidRPr="00980B85">
        <w:rPr>
          <w:color w:val="000000"/>
          <w:lang w:val="nl-NL"/>
        </w:rPr>
        <w:t xml:space="preserve">. Een inschrijvingsaanvraag als hoofdverblijfplaats in een bepaalde gemeente volstaat niet. </w:t>
      </w:r>
    </w:p>
    <w:p w:rsidR="00980B85" w:rsidRPr="006D0278" w:rsidRDefault="00980B85" w:rsidP="00980B85">
      <w:pPr>
        <w:ind w:left="1800"/>
        <w:jc w:val="both"/>
        <w:rPr>
          <w:color w:val="000000"/>
          <w:lang w:val="nl-NL"/>
        </w:rPr>
      </w:pPr>
    </w:p>
    <w:p w:rsidR="00980B85" w:rsidRPr="00980B85" w:rsidRDefault="00980B85" w:rsidP="00980B85">
      <w:pPr>
        <w:ind w:left="1800"/>
        <w:jc w:val="both"/>
        <w:rPr>
          <w:lang w:val="nl-NL" w:eastAsia="fr-BE"/>
        </w:rPr>
      </w:pPr>
      <w:r w:rsidRPr="00980B85">
        <w:rPr>
          <w:lang w:val="nl-NL" w:eastAsia="fr-BE"/>
        </w:rPr>
        <w:lastRenderedPageBreak/>
        <w:t xml:space="preserve">Een eenvoudige </w:t>
      </w:r>
      <w:r w:rsidRPr="00980B85">
        <w:rPr>
          <w:b/>
          <w:i/>
          <w:lang w:val="nl-NL" w:eastAsia="fr-BE"/>
        </w:rPr>
        <w:t xml:space="preserve">aanvraag tot inschrijving </w:t>
      </w:r>
      <w:r w:rsidRPr="00980B85">
        <w:rPr>
          <w:lang w:val="nl-NL" w:eastAsia="fr-BE"/>
        </w:rPr>
        <w:t xml:space="preserve">of een aanvraag tot adreswijziging </w:t>
      </w:r>
      <w:r w:rsidRPr="00980B85">
        <w:rPr>
          <w:u w:val="dash"/>
          <w:lang w:val="nl-NL" w:eastAsia="fr-BE"/>
        </w:rPr>
        <w:t>zal niet in aanmerking worden genomen</w:t>
      </w:r>
      <w:r w:rsidRPr="00980B85">
        <w:rPr>
          <w:lang w:val="nl-NL" w:eastAsia="fr-BE"/>
        </w:rPr>
        <w:t xml:space="preserve"> vóór de domiciliëring effectief wordt. De datum van aanvraag tot adreswijziging mag niet in aanmerking worden genomen voor de bepaling van het bevoegde OCMW. De officiële inschrijving moet in aanmerking worden genomen voor de bepaling van het bevoegde OCMW. </w:t>
      </w:r>
    </w:p>
    <w:p w:rsidR="00980B85" w:rsidRPr="00980B85" w:rsidRDefault="00980B85" w:rsidP="00980B85">
      <w:pPr>
        <w:ind w:firstLine="360"/>
        <w:jc w:val="both"/>
        <w:rPr>
          <w:lang w:val="nl-NL" w:eastAsia="fr-BE"/>
        </w:rPr>
      </w:pPr>
    </w:p>
    <w:p w:rsidR="00980B85" w:rsidRPr="00980B85" w:rsidRDefault="00980B85" w:rsidP="00980B85">
      <w:pPr>
        <w:ind w:left="1800"/>
        <w:jc w:val="both"/>
        <w:rPr>
          <w:lang w:val="nl-NL" w:eastAsia="fr-BE"/>
        </w:rPr>
      </w:pPr>
      <w:r w:rsidRPr="00980B85">
        <w:rPr>
          <w:lang w:val="nl-NL" w:eastAsia="fr-BE"/>
        </w:rPr>
        <w:t xml:space="preserve">De omzendbrief van de FOD Binnenlandse Zaken van 01/07/2010 houdende de algemene onderrichtingen betreffende het houden van de bevolkingsregisters voorziet erin dat de inschrijvingsdatum in het register in principe de datum is waarop de persoon zijn aanvraag tot adreswijziging heeft ingediend. Deze onderrichtingen betreffende inschrijving met terugwerkende kracht hebben geen invloed op de territoriale bevoegdheid van de OCMW's. De datum van aanvraag tot adreswijziging mag niet in aanmerking worden genomen voor de bepaling van het bevoegde OCMW. De officiële inschrijving op het ogenblik van de aanvraag moet in aanmerking worden genomen voor de bepaling van het bevoegde OCMW. </w:t>
      </w:r>
    </w:p>
    <w:p w:rsidR="00980B85" w:rsidRPr="00980B85" w:rsidRDefault="00980B85" w:rsidP="00980B85">
      <w:pPr>
        <w:ind w:firstLine="360"/>
        <w:jc w:val="both"/>
        <w:rPr>
          <w:lang w:val="nl-NL" w:eastAsia="fr-BE"/>
        </w:rPr>
      </w:pPr>
    </w:p>
    <w:p w:rsidR="00980B85" w:rsidRPr="00980B85" w:rsidRDefault="00980B85" w:rsidP="00980B85">
      <w:pPr>
        <w:ind w:left="1800"/>
        <w:jc w:val="both"/>
        <w:rPr>
          <w:lang w:val="nl-NL" w:eastAsia="fr-BE"/>
        </w:rPr>
      </w:pPr>
      <w:r w:rsidRPr="00980B85">
        <w:rPr>
          <w:lang w:val="nl-NL" w:eastAsia="fr-BE"/>
        </w:rPr>
        <w:t xml:space="preserve">Bij inschrijving met terugwerkende kracht moet, via code IT 251 van het Rijksregister, gekeken worden naar de datum van de bijwerking van de hoofdverblijfplaats. Via deze datum kan men de datum zien waarop de gemeentelijke administratie de officiële inschrijving heeft gedaan in de nieuwe gemeente na de politie-enquête. Code 251 bepaalt de datum waarop de persoon met terugwerkende kracht is ingeschreven in de nieuwe gemeente. Code 251 is een instrument om de territoriale bevoegdheid van het OCMW te bepalen wanneer het criterium dat in aanmerking moet genomen worden de inschrijving in de gemeentelijke register op een bepaald moment is (de dag van de opname in de instelling). </w:t>
      </w:r>
    </w:p>
    <w:p w:rsidR="00F4134F" w:rsidRDefault="00F4134F" w:rsidP="00980B85">
      <w:pPr>
        <w:ind w:left="1080" w:firstLine="720"/>
        <w:rPr>
          <w:i/>
          <w:color w:val="000000"/>
          <w:u w:val="single"/>
          <w:lang w:val="nl-NL" w:eastAsia="fr-FR"/>
        </w:rPr>
      </w:pPr>
    </w:p>
    <w:p w:rsidR="00980B85" w:rsidRPr="00980B85" w:rsidRDefault="00980B85" w:rsidP="00980B85">
      <w:pPr>
        <w:ind w:left="1080" w:firstLine="720"/>
        <w:rPr>
          <w:i/>
          <w:color w:val="000000"/>
          <w:lang w:val="nl-NL" w:eastAsia="fr-FR"/>
        </w:rPr>
      </w:pPr>
      <w:r w:rsidRPr="00980B85">
        <w:rPr>
          <w:i/>
          <w:color w:val="000000"/>
          <w:u w:val="single"/>
          <w:lang w:val="nl-NL" w:eastAsia="fr-FR"/>
        </w:rPr>
        <w:t>Toepassing</w:t>
      </w:r>
      <w:r w:rsidRPr="00980B85">
        <w:rPr>
          <w:i/>
          <w:color w:val="000000"/>
          <w:lang w:val="nl-NL" w:eastAsia="fr-FR"/>
        </w:rPr>
        <w:t xml:space="preserve">: </w:t>
      </w:r>
    </w:p>
    <w:p w:rsidR="00980B85" w:rsidRPr="00980B85" w:rsidRDefault="00980B85" w:rsidP="00980B85">
      <w:pPr>
        <w:ind w:firstLine="360"/>
        <w:rPr>
          <w:color w:val="000000"/>
          <w:lang w:val="nl-NL" w:eastAsia="fr-FR"/>
        </w:rPr>
      </w:pPr>
    </w:p>
    <w:p w:rsidR="00980B85" w:rsidRPr="00980B85" w:rsidRDefault="00980B85" w:rsidP="00980B85">
      <w:pPr>
        <w:numPr>
          <w:ilvl w:val="0"/>
          <w:numId w:val="28"/>
        </w:numPr>
        <w:spacing w:after="200" w:line="276" w:lineRule="auto"/>
        <w:contextualSpacing/>
        <w:jc w:val="both"/>
        <w:rPr>
          <w:color w:val="000000"/>
          <w:lang w:val="nl-NL" w:eastAsia="fr-FR"/>
        </w:rPr>
      </w:pPr>
      <w:r w:rsidRPr="00980B85">
        <w:rPr>
          <w:color w:val="000000"/>
          <w:lang w:val="nl-NL" w:eastAsia="fr-FR"/>
        </w:rPr>
        <w:t>Wanneer de student een</w:t>
      </w:r>
      <w:r w:rsidRPr="00980B85">
        <w:rPr>
          <w:color w:val="000000"/>
          <w:u w:val="dotDotDash"/>
          <w:lang w:val="nl-NL" w:eastAsia="fr-FR"/>
        </w:rPr>
        <w:t xml:space="preserve"> steunaanvraag </w:t>
      </w:r>
      <w:r w:rsidRPr="00980B85">
        <w:rPr>
          <w:color w:val="000000"/>
          <w:lang w:val="nl-NL" w:eastAsia="fr-FR"/>
        </w:rPr>
        <w:t>heeft ingediend die</w:t>
      </w:r>
      <w:r w:rsidRPr="00980B85">
        <w:rPr>
          <w:i/>
          <w:color w:val="000000"/>
          <w:u w:val="dotDotDash"/>
          <w:lang w:val="nl-NL" w:eastAsia="fr-FR"/>
        </w:rPr>
        <w:t xml:space="preserve"> vooraf</w:t>
      </w:r>
      <w:r w:rsidR="00424679">
        <w:rPr>
          <w:i/>
          <w:color w:val="000000"/>
          <w:u w:val="dotDotDash"/>
          <w:lang w:val="nl-NL" w:eastAsia="fr-FR"/>
        </w:rPr>
        <w:t xml:space="preserve"> </w:t>
      </w:r>
      <w:r w:rsidRPr="00980B85">
        <w:rPr>
          <w:i/>
          <w:color w:val="000000"/>
          <w:u w:val="dotDotDash"/>
          <w:lang w:val="nl-NL" w:eastAsia="fr-FR"/>
        </w:rPr>
        <w:t>gaat</w:t>
      </w:r>
      <w:r w:rsidRPr="00980B85">
        <w:rPr>
          <w:color w:val="000000"/>
          <w:u w:val="dotDotDash"/>
          <w:lang w:val="nl-NL" w:eastAsia="fr-FR"/>
        </w:rPr>
        <w:t xml:space="preserve">  aan de datum van bijwerking van de hoofdverblijfplaats</w:t>
      </w:r>
      <w:r w:rsidRPr="00980B85">
        <w:rPr>
          <w:color w:val="000000"/>
          <w:lang w:val="nl-NL" w:eastAsia="fr-FR"/>
        </w:rPr>
        <w:t xml:space="preserve"> (code 251), is het OCMW van de gemeente op het grondgebied waarvan de student gedomicilieerd is op het ogenblik van zijn aanvraag bevoegd en dat OCMW blijft bevoegd tijdens de volledig ononderbroken duur van de studies, zelfs wanneer er alter een inschrijving met terugwerkende kracht is. </w:t>
      </w:r>
    </w:p>
    <w:p w:rsidR="00980B85" w:rsidRPr="00980B85" w:rsidRDefault="00980B85" w:rsidP="00980B85">
      <w:pPr>
        <w:ind w:firstLine="360"/>
        <w:jc w:val="both"/>
        <w:rPr>
          <w:color w:val="000000"/>
          <w:lang w:val="nl-NL" w:eastAsia="fr-FR"/>
        </w:rPr>
      </w:pPr>
    </w:p>
    <w:p w:rsidR="00980B85" w:rsidRPr="00980B85" w:rsidRDefault="00980B85" w:rsidP="00980B85">
      <w:pPr>
        <w:ind w:left="1440" w:firstLine="720"/>
        <w:jc w:val="both"/>
        <w:rPr>
          <w:color w:val="000000"/>
          <w:lang w:val="nl-NL" w:eastAsia="fr-FR"/>
        </w:rPr>
      </w:pPr>
      <w:r w:rsidRPr="00980B85">
        <w:rPr>
          <w:i/>
          <w:color w:val="000000"/>
          <w:u w:val="dotted"/>
          <w:lang w:val="nl-NL" w:eastAsia="fr-FR"/>
        </w:rPr>
        <w:t>Voorbeeld</w:t>
      </w:r>
      <w:r w:rsidRPr="00980B85">
        <w:rPr>
          <w:color w:val="000000"/>
          <w:lang w:val="nl-NL" w:eastAsia="fr-FR"/>
        </w:rPr>
        <w:t xml:space="preserve">: </w:t>
      </w:r>
    </w:p>
    <w:p w:rsidR="00980B85" w:rsidRPr="00980B85" w:rsidRDefault="00980B85" w:rsidP="00980B85">
      <w:pPr>
        <w:ind w:left="1440" w:firstLine="720"/>
        <w:jc w:val="both"/>
        <w:rPr>
          <w:i/>
          <w:color w:val="000000"/>
          <w:lang w:val="nl-NL" w:eastAsia="fr-FR"/>
        </w:rPr>
      </w:pPr>
      <w:r w:rsidRPr="00980B85">
        <w:rPr>
          <w:i/>
          <w:color w:val="000000"/>
          <w:lang w:val="nl-NL" w:eastAsia="fr-FR"/>
        </w:rPr>
        <w:t xml:space="preserve">- De student is gedomicilieerd in gemeente A. </w:t>
      </w:r>
    </w:p>
    <w:p w:rsidR="00980B85" w:rsidRPr="00980B85" w:rsidRDefault="00980B85" w:rsidP="00980B85">
      <w:pPr>
        <w:ind w:left="2160"/>
        <w:jc w:val="both"/>
        <w:rPr>
          <w:i/>
          <w:color w:val="000000"/>
          <w:lang w:val="nl-NL" w:eastAsia="fr-FR"/>
        </w:rPr>
      </w:pPr>
      <w:r w:rsidRPr="00980B85">
        <w:rPr>
          <w:i/>
          <w:color w:val="000000"/>
          <w:lang w:val="nl-NL" w:eastAsia="fr-FR"/>
        </w:rPr>
        <w:t>- Datum van de aanvraag tot adreswijziging voor gemeente B: 18/04/2011</w:t>
      </w:r>
    </w:p>
    <w:p w:rsidR="00980B85" w:rsidRPr="00980B85" w:rsidRDefault="00980B85" w:rsidP="00980B85">
      <w:pPr>
        <w:ind w:left="2160"/>
        <w:jc w:val="both"/>
        <w:rPr>
          <w:i/>
          <w:color w:val="000000"/>
          <w:lang w:val="nl-NL" w:eastAsia="fr-FR"/>
        </w:rPr>
      </w:pPr>
      <w:r w:rsidRPr="00980B85">
        <w:rPr>
          <w:i/>
          <w:color w:val="000000"/>
          <w:lang w:val="nl-NL" w:eastAsia="fr-FR"/>
        </w:rPr>
        <w:t>- Code 251: 29/04/2011: datum waarop hij met terugwerkende kracht is ingeschreven in gemeente B.</w:t>
      </w:r>
    </w:p>
    <w:p w:rsidR="00980B85" w:rsidRPr="00980B85" w:rsidRDefault="00980B85" w:rsidP="00980B85">
      <w:pPr>
        <w:ind w:left="2160"/>
        <w:jc w:val="both"/>
        <w:rPr>
          <w:i/>
          <w:color w:val="000000"/>
          <w:lang w:val="nl-NL" w:eastAsia="fr-FR"/>
        </w:rPr>
      </w:pPr>
      <w:r w:rsidRPr="00980B85">
        <w:rPr>
          <w:i/>
          <w:color w:val="000000"/>
          <w:lang w:val="nl-NL" w:eastAsia="fr-FR"/>
        </w:rPr>
        <w:t>- Datum van de steunaanvraag: 27/04/2011: op deze datum is hij nog steeds gedomicilieerd in gemeente A, want de adreswijziging wordt slechts uitgevoerd op 29/04/11 (code 251).</w:t>
      </w:r>
    </w:p>
    <w:p w:rsidR="00980B85" w:rsidRPr="00980B85" w:rsidRDefault="00980B85" w:rsidP="00980B85">
      <w:pPr>
        <w:ind w:left="2160"/>
        <w:jc w:val="both"/>
        <w:rPr>
          <w:i/>
          <w:color w:val="000000"/>
          <w:lang w:val="nl-NL" w:eastAsia="fr-FR"/>
        </w:rPr>
      </w:pPr>
      <w:r w:rsidRPr="00980B85">
        <w:rPr>
          <w:i/>
          <w:color w:val="000000"/>
          <w:lang w:val="nl-NL" w:eastAsia="fr-FR"/>
        </w:rPr>
        <w:lastRenderedPageBreak/>
        <w:t xml:space="preserve">- Aangezien de student gedomicilieerd is in gemeente A op het ogenblik van zijn steunaanvraag, is het OCMW van A bevoegd. </w:t>
      </w:r>
    </w:p>
    <w:p w:rsidR="00980B85" w:rsidRPr="00980B85" w:rsidRDefault="00980B85" w:rsidP="00980B85">
      <w:pPr>
        <w:ind w:left="2160"/>
        <w:jc w:val="both"/>
        <w:rPr>
          <w:i/>
          <w:color w:val="000000"/>
          <w:lang w:val="nl-NL" w:eastAsia="fr-FR"/>
        </w:rPr>
      </w:pPr>
      <w:r w:rsidRPr="00980B85">
        <w:rPr>
          <w:i/>
          <w:color w:val="000000"/>
          <w:lang w:val="nl-NL" w:eastAsia="fr-FR"/>
        </w:rPr>
        <w:t>- OCMW A blijft bevoegd, zelfs wanneer er later een inschrijving met terugwerkende kracht is in gemeente B op 18/04.</w:t>
      </w:r>
    </w:p>
    <w:p w:rsidR="00980B85" w:rsidRPr="00980B85" w:rsidRDefault="00980B85" w:rsidP="00980B85">
      <w:pPr>
        <w:ind w:left="360"/>
        <w:jc w:val="both"/>
        <w:rPr>
          <w:i/>
          <w:color w:val="000000"/>
          <w:lang w:val="nl-NL" w:eastAsia="fr-FR"/>
        </w:rPr>
      </w:pPr>
    </w:p>
    <w:p w:rsidR="00980B85" w:rsidRPr="00980B85" w:rsidRDefault="00980B85" w:rsidP="00980B85">
      <w:pPr>
        <w:numPr>
          <w:ilvl w:val="0"/>
          <w:numId w:val="28"/>
        </w:numPr>
        <w:spacing w:after="200" w:line="276" w:lineRule="auto"/>
        <w:contextualSpacing/>
        <w:jc w:val="both"/>
        <w:rPr>
          <w:color w:val="000000"/>
          <w:lang w:val="nl-NL" w:eastAsia="fr-FR"/>
        </w:rPr>
      </w:pPr>
      <w:r w:rsidRPr="00980B85">
        <w:rPr>
          <w:color w:val="000000"/>
          <w:lang w:val="nl-NL" w:eastAsia="fr-FR"/>
        </w:rPr>
        <w:t xml:space="preserve">Wanneer de student een </w:t>
      </w:r>
      <w:r w:rsidRPr="00980B85">
        <w:rPr>
          <w:color w:val="000000"/>
          <w:u w:val="dotDash"/>
          <w:lang w:val="nl-NL" w:eastAsia="fr-FR"/>
        </w:rPr>
        <w:t xml:space="preserve">steunaanvraag </w:t>
      </w:r>
      <w:r w:rsidRPr="00980B85">
        <w:rPr>
          <w:color w:val="000000"/>
          <w:lang w:val="nl-NL" w:eastAsia="fr-FR"/>
        </w:rPr>
        <w:t xml:space="preserve">heeft ingediend die </w:t>
      </w:r>
      <w:r w:rsidRPr="00980B85">
        <w:rPr>
          <w:color w:val="000000"/>
          <w:u w:val="dotDash"/>
          <w:lang w:val="nl-NL" w:eastAsia="fr-FR"/>
        </w:rPr>
        <w:t>volgt op de bijwerkingsdatum van de hoofdverblijfplaats (code 251), is het OCMW van de gemeente waar de student gedomicilieerd is op het ogenblik van zijn steunaanvraag bevoegd.</w:t>
      </w:r>
    </w:p>
    <w:p w:rsidR="00980B85" w:rsidRPr="00980B85" w:rsidRDefault="00980B85" w:rsidP="00980B85">
      <w:pPr>
        <w:ind w:firstLine="360"/>
        <w:rPr>
          <w:color w:val="000000"/>
          <w:lang w:val="nl-NL" w:eastAsia="fr-FR"/>
        </w:rPr>
      </w:pPr>
    </w:p>
    <w:p w:rsidR="00980B85" w:rsidRPr="00980B85" w:rsidRDefault="00980B85" w:rsidP="00980B85">
      <w:pPr>
        <w:ind w:left="1440" w:firstLine="720"/>
        <w:jc w:val="both"/>
        <w:rPr>
          <w:color w:val="000000"/>
          <w:lang w:val="nl-NL" w:eastAsia="fr-FR"/>
        </w:rPr>
      </w:pPr>
      <w:r w:rsidRPr="00980B85">
        <w:rPr>
          <w:i/>
          <w:color w:val="000000"/>
          <w:u w:val="dotted"/>
          <w:lang w:val="nl-NL" w:eastAsia="fr-FR"/>
        </w:rPr>
        <w:t>Voorbeeld</w:t>
      </w:r>
      <w:r w:rsidRPr="00980B85">
        <w:rPr>
          <w:color w:val="000000"/>
          <w:lang w:val="nl-NL" w:eastAsia="fr-FR"/>
        </w:rPr>
        <w:t xml:space="preserve">: </w:t>
      </w:r>
    </w:p>
    <w:p w:rsidR="00980B85" w:rsidRPr="00980B85" w:rsidRDefault="00980B85" w:rsidP="00980B85">
      <w:pPr>
        <w:ind w:left="1440" w:firstLine="720"/>
        <w:jc w:val="both"/>
        <w:rPr>
          <w:i/>
          <w:color w:val="000000"/>
          <w:lang w:val="nl-NL" w:eastAsia="fr-FR"/>
        </w:rPr>
      </w:pPr>
      <w:r w:rsidRPr="00980B85">
        <w:rPr>
          <w:i/>
          <w:color w:val="000000"/>
          <w:lang w:val="nl-NL" w:eastAsia="fr-FR"/>
        </w:rPr>
        <w:t xml:space="preserve">- De student is gedomicilieerd in gemeente A. </w:t>
      </w:r>
    </w:p>
    <w:p w:rsidR="00980B85" w:rsidRPr="00980B85" w:rsidRDefault="00980B85" w:rsidP="00980B85">
      <w:pPr>
        <w:ind w:left="2160"/>
        <w:jc w:val="both"/>
        <w:rPr>
          <w:i/>
          <w:color w:val="000000"/>
          <w:lang w:val="nl-NL" w:eastAsia="fr-FR"/>
        </w:rPr>
      </w:pPr>
      <w:r w:rsidRPr="00980B85">
        <w:rPr>
          <w:i/>
          <w:color w:val="000000"/>
          <w:lang w:val="nl-NL" w:eastAsia="fr-FR"/>
        </w:rPr>
        <w:t>- Datum van de aanvraag tot adreswijziging voor gemeente B: 18/04/2011</w:t>
      </w:r>
    </w:p>
    <w:p w:rsidR="00980B85" w:rsidRPr="00980B85" w:rsidRDefault="00980B85" w:rsidP="00980B85">
      <w:pPr>
        <w:ind w:left="2160"/>
        <w:jc w:val="both"/>
        <w:rPr>
          <w:i/>
          <w:color w:val="000000"/>
          <w:lang w:val="nl-NL" w:eastAsia="fr-FR"/>
        </w:rPr>
      </w:pPr>
      <w:r w:rsidRPr="00980B85">
        <w:rPr>
          <w:i/>
          <w:color w:val="000000"/>
          <w:lang w:val="nl-NL" w:eastAsia="fr-FR"/>
        </w:rPr>
        <w:t>- Code 251: 27/04/2011 : datum waarop hij is ingeschreven in gemeente B met terugwerkende kracht</w:t>
      </w:r>
    </w:p>
    <w:p w:rsidR="00980B85" w:rsidRPr="00980B85" w:rsidRDefault="00980B85" w:rsidP="00980B85">
      <w:pPr>
        <w:ind w:left="2160"/>
        <w:jc w:val="both"/>
        <w:rPr>
          <w:i/>
          <w:color w:val="000000"/>
          <w:lang w:val="nl-NL" w:eastAsia="fr-FR"/>
        </w:rPr>
      </w:pPr>
      <w:r w:rsidRPr="00980B85">
        <w:rPr>
          <w:i/>
          <w:color w:val="000000"/>
          <w:lang w:val="nl-NL" w:eastAsia="fr-FR"/>
        </w:rPr>
        <w:t>- Datum van de steunaanvraag: 30/04/2011: op deze datum is hij nog steeds gedomicilieerd in gemeente B. De adreswijziging wordt slechts uitgevoerd op 27/04 (code 251).</w:t>
      </w:r>
    </w:p>
    <w:p w:rsidR="00980B85" w:rsidRPr="00980B85" w:rsidRDefault="00980B85" w:rsidP="00980B85">
      <w:pPr>
        <w:ind w:left="2160"/>
        <w:jc w:val="both"/>
        <w:rPr>
          <w:color w:val="000000"/>
          <w:lang w:val="nl-NL"/>
        </w:rPr>
      </w:pPr>
      <w:r w:rsidRPr="00980B85">
        <w:rPr>
          <w:i/>
          <w:color w:val="000000"/>
          <w:lang w:val="nl-NL" w:eastAsia="fr-FR"/>
        </w:rPr>
        <w:t>- Aangezien de student gedomicilieerd is in gemeente B op het ogenblik van zijn steunaanvraag, is het OCMW van B bevoegd.</w:t>
      </w:r>
    </w:p>
    <w:p w:rsidR="00980B85" w:rsidRPr="00980B85" w:rsidRDefault="00980B85" w:rsidP="00980B85">
      <w:pPr>
        <w:spacing w:after="200" w:line="276" w:lineRule="auto"/>
        <w:jc w:val="both"/>
        <w:rPr>
          <w:rFonts w:ascii="Calibri" w:eastAsia="Calibri" w:hAnsi="Calibri"/>
          <w:sz w:val="22"/>
          <w:szCs w:val="22"/>
          <w:lang w:val="nl-NL"/>
        </w:rPr>
      </w:pPr>
    </w:p>
    <w:p w:rsidR="0056642D" w:rsidRPr="00980B85" w:rsidRDefault="0056642D" w:rsidP="000308E0">
      <w:pPr>
        <w:jc w:val="both"/>
        <w:rPr>
          <w:color w:val="000000"/>
          <w:lang w:val="nl-NL"/>
        </w:rPr>
      </w:pPr>
    </w:p>
    <w:p w:rsidR="00F50D3D" w:rsidRPr="00980B85" w:rsidRDefault="008E706C" w:rsidP="006E7408">
      <w:pPr>
        <w:pStyle w:val="Heading5"/>
        <w:ind w:left="720" w:firstLine="720"/>
        <w:rPr>
          <w:rFonts w:ascii="Times New Roman" w:hAnsi="Times New Roman"/>
        </w:rPr>
      </w:pPr>
      <w:bookmarkStart w:id="80" w:name="_Toc510775786"/>
      <w:r w:rsidRPr="00980B85">
        <w:rPr>
          <w:rFonts w:ascii="Times New Roman" w:hAnsi="Times New Roman"/>
        </w:rPr>
        <w:t>4) Andere opmerkingen</w:t>
      </w:r>
      <w:bookmarkEnd w:id="80"/>
    </w:p>
    <w:p w:rsidR="00FD1AF6" w:rsidRPr="00980B85" w:rsidRDefault="00FD1AF6" w:rsidP="00F50D3D">
      <w:pPr>
        <w:pStyle w:val="Letter"/>
        <w:ind w:left="720"/>
        <w:jc w:val="both"/>
        <w:rPr>
          <w:lang w:val="nl-NL"/>
        </w:rPr>
      </w:pPr>
    </w:p>
    <w:p w:rsidR="0056642D" w:rsidRPr="006D0278" w:rsidRDefault="008E706C" w:rsidP="006E7408">
      <w:pPr>
        <w:pStyle w:val="Letter"/>
        <w:ind w:left="1440"/>
        <w:jc w:val="both"/>
        <w:rPr>
          <w:lang w:val="nl-NL"/>
        </w:rPr>
      </w:pPr>
      <w:r w:rsidRPr="006D0278">
        <w:rPr>
          <w:rFonts w:ascii="Times New Roman" w:hAnsi="Times New Roman"/>
          <w:sz w:val="24"/>
          <w:szCs w:val="24"/>
          <w:lang w:val="nl-NL"/>
        </w:rPr>
        <w:t xml:space="preserve">Deze regel is van toepassing voor de toekenning van het </w:t>
      </w:r>
      <w:r w:rsidRPr="006D0278">
        <w:rPr>
          <w:rFonts w:ascii="Times New Roman" w:hAnsi="Times New Roman"/>
          <w:sz w:val="24"/>
          <w:szCs w:val="24"/>
          <w:u w:val="single"/>
          <w:lang w:val="nl-NL"/>
        </w:rPr>
        <w:t>leefloon en/of van alle vormen van maatschappelijke dienstverlening</w:t>
      </w:r>
      <w:r w:rsidRPr="006D0278">
        <w:rPr>
          <w:rFonts w:ascii="Times New Roman" w:hAnsi="Times New Roman"/>
          <w:sz w:val="24"/>
          <w:szCs w:val="24"/>
          <w:lang w:val="nl-NL"/>
        </w:rPr>
        <w:t>. Hij is van toepassing op studenten die recht</w:t>
      </w:r>
      <w:r w:rsidR="00495B93">
        <w:rPr>
          <w:rFonts w:ascii="Times New Roman" w:hAnsi="Times New Roman"/>
          <w:sz w:val="24"/>
          <w:szCs w:val="24"/>
          <w:lang w:val="nl-NL"/>
        </w:rPr>
        <w:t xml:space="preserve"> </w:t>
      </w:r>
      <w:r w:rsidRPr="006D0278">
        <w:rPr>
          <w:rFonts w:ascii="Times New Roman" w:hAnsi="Times New Roman"/>
          <w:sz w:val="24"/>
          <w:szCs w:val="24"/>
          <w:lang w:val="nl-NL"/>
        </w:rPr>
        <w:t xml:space="preserve">hebben op zowel het recht op maatschappelijke integratie als op het recht op </w:t>
      </w:r>
      <w:r w:rsidR="00495B93">
        <w:rPr>
          <w:rFonts w:ascii="Times New Roman" w:hAnsi="Times New Roman"/>
          <w:sz w:val="24"/>
          <w:szCs w:val="24"/>
          <w:lang w:val="nl-NL"/>
        </w:rPr>
        <w:t xml:space="preserve">individuele </w:t>
      </w:r>
      <w:r w:rsidRPr="006D0278">
        <w:rPr>
          <w:rFonts w:ascii="Times New Roman" w:hAnsi="Times New Roman"/>
          <w:sz w:val="24"/>
          <w:szCs w:val="24"/>
          <w:lang w:val="nl-NL"/>
        </w:rPr>
        <w:t>maatschappelijke dienstverlening.</w:t>
      </w:r>
    </w:p>
    <w:p w:rsidR="0056642D" w:rsidRPr="006D0278" w:rsidRDefault="0056642D" w:rsidP="0056642D">
      <w:pPr>
        <w:ind w:left="1440"/>
        <w:jc w:val="both"/>
        <w:rPr>
          <w:lang w:val="nl-NL"/>
        </w:rPr>
      </w:pPr>
    </w:p>
    <w:p w:rsidR="0056642D" w:rsidRPr="006D0278" w:rsidRDefault="008E706C" w:rsidP="00F00091">
      <w:pPr>
        <w:ind w:left="1440"/>
        <w:jc w:val="both"/>
        <w:rPr>
          <w:lang w:val="nl-NL"/>
        </w:rPr>
      </w:pPr>
      <w:r w:rsidRPr="006D0278">
        <w:rPr>
          <w:lang w:val="nl-NL"/>
        </w:rPr>
        <w:t>De</w:t>
      </w:r>
      <w:r w:rsidRPr="006D0278">
        <w:rPr>
          <w:u w:val="single"/>
          <w:lang w:val="nl-NL"/>
        </w:rPr>
        <w:t xml:space="preserve"> specifieke bevoegdheidsregel voor de studenten krijgt voorrang op de andere regels </w:t>
      </w:r>
      <w:r w:rsidRPr="006D0278">
        <w:rPr>
          <w:lang w:val="nl-NL"/>
        </w:rPr>
        <w:t xml:space="preserve">(bijvoorbeeld: een student die dakloos is of die in een erkend opvangtehuis </w:t>
      </w:r>
      <w:r w:rsidR="00495B93" w:rsidRPr="006D0278">
        <w:rPr>
          <w:lang w:val="nl-NL"/>
        </w:rPr>
        <w:t xml:space="preserve">verblijft). </w:t>
      </w:r>
    </w:p>
    <w:p w:rsidR="0056642D" w:rsidRPr="006D0278" w:rsidRDefault="008E706C" w:rsidP="00F00091">
      <w:pPr>
        <w:ind w:left="1440"/>
        <w:jc w:val="both"/>
        <w:rPr>
          <w:lang w:val="nl-NL"/>
        </w:rPr>
      </w:pPr>
      <w:r w:rsidRPr="006D0278">
        <w:rPr>
          <w:lang w:val="nl-NL"/>
        </w:rPr>
        <w:t>In antwoord op een parlementaire vraag</w:t>
      </w:r>
      <w:r w:rsidR="0056642D" w:rsidRPr="00BE42C4">
        <w:rPr>
          <w:rStyle w:val="FootnoteReference"/>
          <w:lang w:val="fr-BE"/>
        </w:rPr>
        <w:footnoteReference w:id="2"/>
      </w:r>
      <w:r w:rsidR="00921B1B">
        <w:rPr>
          <w:lang w:val="nl-NL"/>
        </w:rPr>
        <w:t xml:space="preserve"> </w:t>
      </w:r>
      <w:r w:rsidRPr="006D0278">
        <w:rPr>
          <w:lang w:val="nl-NL"/>
        </w:rPr>
        <w:t>antwoordde de minister dat de bevoegdheidsregel voor studenten prioritair is.</w:t>
      </w:r>
    </w:p>
    <w:p w:rsidR="0056642D" w:rsidRPr="006D0278" w:rsidRDefault="0056642D" w:rsidP="0056642D">
      <w:pPr>
        <w:jc w:val="both"/>
        <w:rPr>
          <w:lang w:val="nl-NL"/>
        </w:rPr>
      </w:pPr>
    </w:p>
    <w:p w:rsidR="00907123" w:rsidRPr="006D0278" w:rsidRDefault="00907123" w:rsidP="009803C1">
      <w:pPr>
        <w:jc w:val="both"/>
        <w:rPr>
          <w:lang w:val="nl-NL"/>
        </w:rPr>
      </w:pPr>
    </w:p>
    <w:p w:rsidR="009803C1" w:rsidRPr="006D0278" w:rsidRDefault="008E706C" w:rsidP="00BD2403">
      <w:pPr>
        <w:pStyle w:val="Heading4"/>
        <w:rPr>
          <w:bCs w:val="0"/>
          <w:u w:val="single"/>
          <w:lang w:val="nl-NL"/>
        </w:rPr>
      </w:pPr>
      <w:bookmarkStart w:id="81" w:name="_Toc510775787"/>
      <w:r w:rsidRPr="006D0278">
        <w:rPr>
          <w:bCs w:val="0"/>
          <w:u w:val="single"/>
          <w:lang w:val="nl-NL"/>
        </w:rPr>
        <w:t>3.2. De regel van de continuïteit  van de bevoegdheid</w:t>
      </w:r>
      <w:bookmarkEnd w:id="81"/>
      <w:r w:rsidRPr="006D0278">
        <w:rPr>
          <w:bCs w:val="0"/>
          <w:u w:val="single"/>
          <w:lang w:val="nl-NL"/>
        </w:rPr>
        <w:t xml:space="preserve"> </w:t>
      </w:r>
    </w:p>
    <w:p w:rsidR="0091166D" w:rsidRPr="006D0278" w:rsidRDefault="0091166D" w:rsidP="0091166D">
      <w:pPr>
        <w:ind w:left="1800"/>
        <w:jc w:val="both"/>
        <w:rPr>
          <w:lang w:val="nl-NL"/>
        </w:rPr>
      </w:pPr>
    </w:p>
    <w:p w:rsidR="00734A2D" w:rsidRPr="00A35068" w:rsidRDefault="008E706C" w:rsidP="00A35068">
      <w:pPr>
        <w:pStyle w:val="Heading5"/>
        <w:ind w:firstLine="360"/>
        <w:rPr>
          <w:rFonts w:ascii="Times New Roman" w:hAnsi="Times New Roman" w:cs="Times New Roman"/>
        </w:rPr>
      </w:pPr>
      <w:bookmarkStart w:id="82" w:name="_Toc510775788"/>
      <w:r w:rsidRPr="00A35068">
        <w:rPr>
          <w:rFonts w:ascii="Times New Roman" w:hAnsi="Times New Roman" w:cs="Times New Roman"/>
        </w:rPr>
        <w:t>1) De bevoegdheidscontinuïteit van het OCMW van oorspong</w:t>
      </w:r>
      <w:bookmarkEnd w:id="82"/>
    </w:p>
    <w:p w:rsidR="00734A2D" w:rsidRPr="006D0278" w:rsidRDefault="00734A2D" w:rsidP="0091166D">
      <w:pPr>
        <w:ind w:left="1800"/>
        <w:jc w:val="both"/>
        <w:rPr>
          <w:lang w:val="nl-NL"/>
        </w:rPr>
      </w:pPr>
    </w:p>
    <w:p w:rsidR="009803C1" w:rsidRPr="006D0278" w:rsidRDefault="008E706C" w:rsidP="00DA101F">
      <w:pPr>
        <w:numPr>
          <w:ilvl w:val="0"/>
          <w:numId w:val="12"/>
        </w:numPr>
        <w:jc w:val="both"/>
        <w:rPr>
          <w:lang w:val="nl-NL"/>
        </w:rPr>
      </w:pPr>
      <w:r w:rsidRPr="006D0278">
        <w:rPr>
          <w:lang w:val="nl-NL"/>
        </w:rPr>
        <w:t>Het OCMW dat bevoegd was om de eerste steunaanvraag van een student te onderzoeken, blijft bevoegd voor de volledige ononderbroken duur van de studies van de betrokkene, zelfs indien dit OCMW geen steun had toegekend aan de betrokkene en de toekenning van steun ten gronde had geweigerd, zelfs wanneer de betrokkene verandert van verblijfplaatsen en domicilie tijdens de studies.</w:t>
      </w:r>
    </w:p>
    <w:p w:rsidR="00734A2D" w:rsidRPr="006D0278" w:rsidRDefault="00734A2D" w:rsidP="00734A2D">
      <w:pPr>
        <w:ind w:left="720"/>
        <w:jc w:val="both"/>
        <w:rPr>
          <w:lang w:val="nl-NL"/>
        </w:rPr>
      </w:pPr>
    </w:p>
    <w:p w:rsidR="00734A2D" w:rsidRPr="00C82CAE" w:rsidRDefault="008E706C" w:rsidP="004E0970">
      <w:pPr>
        <w:numPr>
          <w:ilvl w:val="0"/>
          <w:numId w:val="12"/>
        </w:numPr>
        <w:jc w:val="both"/>
        <w:rPr>
          <w:lang w:val="nl-NL"/>
        </w:rPr>
      </w:pPr>
      <w:r w:rsidRPr="00C82CAE">
        <w:rPr>
          <w:lang w:val="nl-NL"/>
        </w:rPr>
        <w:lastRenderedPageBreak/>
        <w:t>Het is niet vereist dat het OCMW de steun effectief heeft toegekend op het ogenblik van de aanvraag, om bevoegd te worden voor de gehele duur van de studies. Het volstaat dat er een aanvraag van de student was waarna het O.C.M.W. dat bevoegd was op grond van de specifieke bevoegdheidsregel voor studenten ofwel</w:t>
      </w:r>
      <w:r w:rsidR="00C82CAE" w:rsidRPr="00C82CAE">
        <w:rPr>
          <w:lang w:val="nl-NL"/>
        </w:rPr>
        <w:t xml:space="preserve"> </w:t>
      </w:r>
      <w:r w:rsidRPr="00C82CAE">
        <w:rPr>
          <w:lang w:val="nl-NL"/>
        </w:rPr>
        <w:t xml:space="preserve">steun toekende ofwel steun weigerde. Dit centrum zal bevoegd blijven voor de gehele ononderbroken duur van de studies. </w:t>
      </w:r>
      <w:r w:rsidRPr="00C82CAE">
        <w:rPr>
          <w:rFonts w:cs="NAJNLA+Tahoma"/>
          <w:color w:val="000000"/>
          <w:lang w:val="nl-NL"/>
        </w:rPr>
        <w:t>Het spreekt vanzelf dat de betrokkene zijn recht op maatschappelijke integratie verliest tijdens zijn studies omwille van een gewijzigde situatie, bijvoorbeeld verwerven van een inkomen, en het vervolgens terugkrijgt. Er moet een onderscheid gemaakt worden tussen de bepaling van de bevoegdheid en het onderzoek van de aanvraag ten gronde, dit wil zeggen van het al dan niet toekennen van het recht op maatschappelijke integratie.</w:t>
      </w:r>
    </w:p>
    <w:p w:rsidR="0091166D" w:rsidRPr="006D0278" w:rsidRDefault="0091166D" w:rsidP="0091166D">
      <w:pPr>
        <w:ind w:left="2160"/>
        <w:jc w:val="both"/>
        <w:rPr>
          <w:lang w:val="nl-NL"/>
        </w:rPr>
      </w:pPr>
    </w:p>
    <w:p w:rsidR="009803C1" w:rsidRPr="006D0278" w:rsidRDefault="008E706C" w:rsidP="00DA101F">
      <w:pPr>
        <w:numPr>
          <w:ilvl w:val="0"/>
          <w:numId w:val="12"/>
        </w:numPr>
        <w:jc w:val="both"/>
        <w:rPr>
          <w:lang w:val="nl-NL"/>
        </w:rPr>
      </w:pPr>
      <w:r w:rsidRPr="006D0278">
        <w:rPr>
          <w:lang w:val="nl-NL"/>
        </w:rPr>
        <w:t>Het feit dat de betrokkene van verblijfplaats en van domicilie wijzigt tijdens de studies wijzigt niet de bevoegdheid.</w:t>
      </w:r>
    </w:p>
    <w:p w:rsidR="0091166D" w:rsidRPr="006D0278" w:rsidRDefault="0091166D" w:rsidP="0091166D">
      <w:pPr>
        <w:pStyle w:val="ListParagraph"/>
        <w:rPr>
          <w:lang w:val="nl-NL"/>
        </w:rPr>
      </w:pPr>
    </w:p>
    <w:p w:rsidR="00734A2D" w:rsidRPr="006D0278" w:rsidRDefault="008E706C" w:rsidP="00DA101F">
      <w:pPr>
        <w:pStyle w:val="ListParagraph"/>
        <w:numPr>
          <w:ilvl w:val="0"/>
          <w:numId w:val="12"/>
        </w:numPr>
        <w:jc w:val="both"/>
        <w:rPr>
          <w:lang w:val="nl-NL"/>
        </w:rPr>
      </w:pPr>
      <w:r w:rsidRPr="006D0278">
        <w:rPr>
          <w:bCs/>
          <w:lang w:val="nl-NL"/>
        </w:rPr>
        <w:t xml:space="preserve">Indien OCMW X het studieproject van de betrokkene niet aanvaardt, maar wanneer die beslist om zijn studies voort te zetten, behoudt de betrokkene zijn hoedanigheid van student met volledig leerplan. Het is niet omdat OCMW X het project van de betrokkene om de studies verder te zetten heeft geweigerd dat die zijn hoedanigheid als student verlies en dat de specifieke </w:t>
      </w:r>
      <w:r w:rsidR="00495B93" w:rsidRPr="006D0278">
        <w:rPr>
          <w:bCs/>
          <w:lang w:val="nl-NL"/>
        </w:rPr>
        <w:t>bevoegdheidsregel</w:t>
      </w:r>
      <w:r w:rsidRPr="006D0278">
        <w:rPr>
          <w:bCs/>
          <w:lang w:val="nl-NL"/>
        </w:rPr>
        <w:t xml:space="preserve"> voor </w:t>
      </w:r>
      <w:r w:rsidR="00495B93" w:rsidRPr="006D0278">
        <w:rPr>
          <w:bCs/>
          <w:lang w:val="nl-NL"/>
        </w:rPr>
        <w:t>studenten</w:t>
      </w:r>
      <w:r w:rsidRPr="006D0278">
        <w:rPr>
          <w:bCs/>
          <w:lang w:val="nl-NL"/>
        </w:rPr>
        <w:t xml:space="preserve"> niet meer van toepassing is. OCMW X dat bevoegd was en dat de steun aan de student heeft toegekend, blijft bevoegd voor de gehele ononderbroken duur van de studies van de betrokkene.</w:t>
      </w:r>
    </w:p>
    <w:p w:rsidR="00FD1AF6" w:rsidRPr="006D0278" w:rsidRDefault="00FD1AF6" w:rsidP="00734A2D">
      <w:pPr>
        <w:pStyle w:val="ListParagraph"/>
        <w:rPr>
          <w:lang w:val="nl-NL"/>
        </w:rPr>
      </w:pPr>
    </w:p>
    <w:p w:rsidR="00734A2D" w:rsidRPr="00AF62C3" w:rsidRDefault="008E706C" w:rsidP="00AF62C3">
      <w:pPr>
        <w:pStyle w:val="Heading5"/>
        <w:ind w:firstLine="720"/>
        <w:rPr>
          <w:rFonts w:ascii="Times New Roman" w:hAnsi="Times New Roman" w:cs="Times New Roman"/>
        </w:rPr>
      </w:pPr>
      <w:bookmarkStart w:id="83" w:name="_Toc510775789"/>
      <w:r w:rsidRPr="00AF62C3">
        <w:rPr>
          <w:rFonts w:ascii="Times New Roman" w:hAnsi="Times New Roman" w:cs="Times New Roman"/>
        </w:rPr>
        <w:t>2) Toepassingsvoorwaarden van de regel van de bevoegdheidscontinuïteit</w:t>
      </w:r>
      <w:bookmarkEnd w:id="83"/>
    </w:p>
    <w:p w:rsidR="00734A2D" w:rsidRPr="006D0278" w:rsidRDefault="00734A2D" w:rsidP="00734A2D">
      <w:pPr>
        <w:tabs>
          <w:tab w:val="left" w:pos="-720"/>
        </w:tabs>
        <w:suppressAutoHyphens/>
        <w:ind w:left="720"/>
        <w:jc w:val="both"/>
        <w:rPr>
          <w:lang w:val="nl-NL"/>
        </w:rPr>
      </w:pPr>
    </w:p>
    <w:p w:rsidR="00734A2D" w:rsidRPr="006D0278" w:rsidRDefault="008E706C" w:rsidP="00BD2403">
      <w:pPr>
        <w:pStyle w:val="Letter"/>
        <w:ind w:left="720"/>
        <w:jc w:val="both"/>
        <w:rPr>
          <w:rFonts w:ascii="Times New Roman" w:hAnsi="Times New Roman"/>
          <w:sz w:val="24"/>
          <w:szCs w:val="24"/>
          <w:lang w:val="nl-NL"/>
        </w:rPr>
      </w:pPr>
      <w:r w:rsidRPr="006D0278">
        <w:rPr>
          <w:rFonts w:ascii="Times New Roman" w:hAnsi="Times New Roman"/>
          <w:sz w:val="24"/>
          <w:lang w:val="nl-NL"/>
        </w:rPr>
        <w:t xml:space="preserve">De </w:t>
      </w:r>
      <w:r w:rsidR="00495B93" w:rsidRPr="006D0278">
        <w:rPr>
          <w:rFonts w:ascii="Times New Roman" w:hAnsi="Times New Roman"/>
          <w:sz w:val="24"/>
          <w:lang w:val="nl-NL"/>
        </w:rPr>
        <w:t>bevoegdheidsregel</w:t>
      </w:r>
      <w:r w:rsidRPr="006D0278">
        <w:rPr>
          <w:rFonts w:ascii="Times New Roman" w:hAnsi="Times New Roman"/>
          <w:sz w:val="24"/>
          <w:lang w:val="nl-NL"/>
        </w:rPr>
        <w:t xml:space="preserve"> voor studenten is van toepassing wanneer de aanvrager, op het ogenblik van de eerste steunaanvraag, studies met volledig leerplan volgde en voor zijn hoofdverblijf ingeschreven was in het bevolkings- of vreemdelingenregister. </w:t>
      </w:r>
    </w:p>
    <w:p w:rsidR="00734A2D" w:rsidRPr="006D0278" w:rsidRDefault="00734A2D" w:rsidP="00734A2D">
      <w:pPr>
        <w:pStyle w:val="Letter"/>
        <w:ind w:left="720"/>
        <w:jc w:val="both"/>
        <w:rPr>
          <w:rFonts w:ascii="Times New Roman" w:hAnsi="Times New Roman"/>
          <w:sz w:val="24"/>
          <w:szCs w:val="24"/>
          <w:lang w:val="nl-NL"/>
        </w:rPr>
      </w:pPr>
    </w:p>
    <w:p w:rsidR="00734A2D" w:rsidRPr="006D0278" w:rsidRDefault="008E706C" w:rsidP="00BD2403">
      <w:pPr>
        <w:pStyle w:val="ListParagraph"/>
        <w:ind w:left="720"/>
        <w:jc w:val="both"/>
        <w:rPr>
          <w:lang w:val="nl-NL"/>
        </w:rPr>
      </w:pPr>
      <w:r w:rsidRPr="006D0278">
        <w:rPr>
          <w:lang w:val="nl-NL"/>
        </w:rPr>
        <w:t>De specifieke bevoegdheidsregel voor studenten van dit artikel is enkel van toepassing wanneer de aanvrager deze twee voorwaarden vervulde op het ogenblik van zijn eerste steunaanvraag.</w:t>
      </w:r>
    </w:p>
    <w:p w:rsidR="0091166D" w:rsidRPr="006D0278" w:rsidRDefault="0091166D" w:rsidP="00734A2D">
      <w:pPr>
        <w:ind w:left="2160"/>
        <w:jc w:val="both"/>
        <w:rPr>
          <w:lang w:val="nl-NL"/>
        </w:rPr>
      </w:pPr>
    </w:p>
    <w:p w:rsidR="00734A2D" w:rsidRPr="006D0278" w:rsidRDefault="00734A2D" w:rsidP="0091166D">
      <w:pPr>
        <w:ind w:left="2160"/>
        <w:jc w:val="both"/>
        <w:rPr>
          <w:lang w:val="nl-NL"/>
        </w:rPr>
      </w:pPr>
    </w:p>
    <w:p w:rsidR="00734A2D" w:rsidRPr="00AF62C3" w:rsidRDefault="008E706C" w:rsidP="00AF62C3">
      <w:pPr>
        <w:pStyle w:val="Heading5"/>
        <w:ind w:firstLine="720"/>
        <w:rPr>
          <w:rFonts w:ascii="Times New Roman" w:hAnsi="Times New Roman" w:cs="Times New Roman"/>
        </w:rPr>
      </w:pPr>
      <w:bookmarkStart w:id="84" w:name="_Toc510775790"/>
      <w:r w:rsidRPr="00AF62C3">
        <w:rPr>
          <w:rFonts w:ascii="Times New Roman" w:hAnsi="Times New Roman" w:cs="Times New Roman"/>
        </w:rPr>
        <w:t>3) Onderbreking van de studies</w:t>
      </w:r>
      <w:bookmarkEnd w:id="84"/>
    </w:p>
    <w:p w:rsidR="00734A2D" w:rsidRPr="006D0278" w:rsidRDefault="00734A2D" w:rsidP="00734A2D">
      <w:pPr>
        <w:rPr>
          <w:lang w:val="nl-NL"/>
        </w:rPr>
      </w:pPr>
    </w:p>
    <w:p w:rsidR="00F40033" w:rsidRPr="006D0278" w:rsidRDefault="008E706C" w:rsidP="00BD2403">
      <w:pPr>
        <w:ind w:left="720"/>
        <w:jc w:val="both"/>
        <w:rPr>
          <w:rFonts w:cs="NAJNLA+Tahoma"/>
          <w:color w:val="000000"/>
          <w:lang w:val="nl-NL"/>
        </w:rPr>
      </w:pPr>
      <w:r w:rsidRPr="006D0278">
        <w:rPr>
          <w:lang w:val="nl-NL"/>
        </w:rPr>
        <w:t>De student die studies met volledig leerplan volgt, behoudt zonder onderbreking zijn hoedanigheid van student tot op het ogenblik dat hij zijn studies beëindigt of onderbreekt, of hij laat weten dat hij zijn studies niet wil verder</w:t>
      </w:r>
      <w:r w:rsidR="00495B93">
        <w:rPr>
          <w:lang w:val="nl-NL"/>
        </w:rPr>
        <w:t xml:space="preserve"> </w:t>
      </w:r>
      <w:r w:rsidRPr="006D0278">
        <w:rPr>
          <w:lang w:val="nl-NL"/>
        </w:rPr>
        <w:t>zetten of objectieve elementen aantonen dat het zijn bedoeling is om zijn studies stop te zetten.</w:t>
      </w:r>
    </w:p>
    <w:p w:rsidR="00734A2D" w:rsidRPr="006D0278" w:rsidRDefault="00734A2D" w:rsidP="00734A2D">
      <w:pPr>
        <w:jc w:val="both"/>
        <w:rPr>
          <w:rFonts w:ascii="Verdana" w:hAnsi="Verdana"/>
          <w:lang w:val="nl-NL"/>
        </w:rPr>
      </w:pPr>
    </w:p>
    <w:p w:rsidR="00734A2D" w:rsidRPr="006D0278" w:rsidRDefault="008E706C" w:rsidP="00BD2403">
      <w:pPr>
        <w:ind w:left="720"/>
        <w:jc w:val="both"/>
        <w:rPr>
          <w:rFonts w:cs="NAJNLA+Tahoma"/>
          <w:color w:val="000000"/>
          <w:lang w:val="nl-NL"/>
        </w:rPr>
      </w:pPr>
      <w:r w:rsidRPr="006D0278">
        <w:rPr>
          <w:rFonts w:cs="NAJNLA+Tahoma"/>
          <w:color w:val="000000"/>
          <w:lang w:val="nl-NL"/>
        </w:rPr>
        <w:t>De lopende studies worden niet onderbroken door verlofperiodes en schoolvakanties. De steunaanvrager behoudt zij</w:t>
      </w:r>
      <w:r w:rsidR="00495B93">
        <w:rPr>
          <w:rFonts w:cs="NAJNLA+Tahoma"/>
          <w:color w:val="000000"/>
          <w:lang w:val="nl-NL"/>
        </w:rPr>
        <w:t>n</w:t>
      </w:r>
      <w:r w:rsidRPr="006D0278">
        <w:rPr>
          <w:rFonts w:cs="NAJNLA+Tahoma"/>
          <w:color w:val="000000"/>
          <w:lang w:val="nl-NL"/>
        </w:rPr>
        <w:t xml:space="preserve"> hoedanigheid van student tijdens de verlofperiode tussen twee opeenvolgende school- of universitaire jaren van zijn studies.</w:t>
      </w:r>
    </w:p>
    <w:p w:rsidR="00734A2D" w:rsidRPr="006D0278" w:rsidRDefault="00734A2D" w:rsidP="00734A2D">
      <w:pPr>
        <w:jc w:val="both"/>
        <w:rPr>
          <w:rFonts w:ascii="Verdana" w:hAnsi="Verdana"/>
          <w:lang w:val="nl-NL"/>
        </w:rPr>
      </w:pPr>
    </w:p>
    <w:p w:rsidR="00734A2D" w:rsidRPr="006D0278" w:rsidRDefault="008E706C" w:rsidP="00BD2403">
      <w:pPr>
        <w:ind w:left="720"/>
        <w:jc w:val="both"/>
        <w:rPr>
          <w:rFonts w:ascii="Verdana" w:hAnsi="Verdana"/>
          <w:lang w:val="nl-NL"/>
        </w:rPr>
      </w:pPr>
      <w:r w:rsidRPr="006D0278">
        <w:rPr>
          <w:rFonts w:cs="NAJNLA+Tahoma"/>
          <w:color w:val="000000"/>
          <w:lang w:val="nl-NL"/>
        </w:rPr>
        <w:t>De lopende studies worden evenmin onderbroken wanneer de student tijdelijk geen studies kan volgen omwille van zijn gezondheidstoestand, op voorwaarde dat hij ingeschreven blijft voor het lopende school- of universitaire jaar.</w:t>
      </w:r>
    </w:p>
    <w:p w:rsidR="00734A2D" w:rsidRPr="006D0278" w:rsidRDefault="00734A2D" w:rsidP="0091166D">
      <w:pPr>
        <w:ind w:left="2160"/>
        <w:jc w:val="both"/>
        <w:rPr>
          <w:lang w:val="nl-NL"/>
        </w:rPr>
      </w:pPr>
    </w:p>
    <w:p w:rsidR="009803C1" w:rsidRPr="006D0278" w:rsidRDefault="008E706C" w:rsidP="00BD2403">
      <w:pPr>
        <w:ind w:left="720"/>
        <w:jc w:val="both"/>
        <w:rPr>
          <w:i/>
          <w:sz w:val="22"/>
          <w:szCs w:val="22"/>
          <w:lang w:val="nl-NL"/>
        </w:rPr>
      </w:pPr>
      <w:r w:rsidRPr="006D0278">
        <w:rPr>
          <w:lang w:val="nl-NL"/>
        </w:rPr>
        <w:lastRenderedPageBreak/>
        <w:t>Zoals de voorbereidende werkzaamheden van het ontwerp van wet betreffende het recht op maatschappelijke integratie hebben verduidelijkt: "</w:t>
      </w:r>
      <w:r w:rsidRPr="006D0278">
        <w:rPr>
          <w:i/>
          <w:lang w:val="nl-NL"/>
        </w:rPr>
        <w:t>Zolang de persoon zijn studies sinds de aanvraag niet heeft stopgezet is er sprake van een ononderbroken studie. Periodes van ziekte, zittenblijven, heroriënteringen staan het feit van een ononderbroken studie niet in de weg.</w:t>
      </w:r>
      <w:r w:rsidRPr="006D0278">
        <w:rPr>
          <w:lang w:val="nl-NL"/>
        </w:rPr>
        <w:t xml:space="preserve">” </w:t>
      </w:r>
      <w:r w:rsidRPr="006D0278">
        <w:rPr>
          <w:i/>
          <w:sz w:val="22"/>
          <w:szCs w:val="22"/>
          <w:lang w:val="nl-NL"/>
        </w:rPr>
        <w:t xml:space="preserve">De Kamer 2001-2002, DOC 50, 1603/001, p.40). </w:t>
      </w:r>
    </w:p>
    <w:p w:rsidR="00734A2D" w:rsidRPr="006D0278" w:rsidRDefault="00734A2D" w:rsidP="00734A2D">
      <w:pPr>
        <w:jc w:val="both"/>
        <w:rPr>
          <w:i/>
          <w:sz w:val="22"/>
          <w:szCs w:val="22"/>
          <w:lang w:val="nl-NL"/>
        </w:rPr>
      </w:pPr>
    </w:p>
    <w:p w:rsidR="00734A2D" w:rsidRPr="006D0278" w:rsidRDefault="008E706C" w:rsidP="00BD2403">
      <w:pPr>
        <w:ind w:left="720"/>
        <w:jc w:val="both"/>
        <w:rPr>
          <w:rFonts w:ascii="Verdana" w:hAnsi="Verdana"/>
          <w:lang w:val="nl-NL"/>
        </w:rPr>
      </w:pPr>
      <w:r w:rsidRPr="006D0278">
        <w:rPr>
          <w:rFonts w:cs="NAJNLA+Tahoma"/>
          <w:color w:val="000000"/>
          <w:lang w:val="nl-NL"/>
        </w:rPr>
        <w:t>De student die een school- of academiejaar beëindigt, blijft student tenzij hij niet verder wil studeren, ofwel doordat de betrokkene dit zelf te kennen geeft, ofwel doordat dit door objectieve elementen wordt aangetoond, bijvoorbeeld de inschrijving als werkzoekende.</w:t>
      </w:r>
    </w:p>
    <w:p w:rsidR="00734A2D" w:rsidRPr="006D0278" w:rsidRDefault="00734A2D" w:rsidP="00734A2D">
      <w:pPr>
        <w:jc w:val="both"/>
        <w:rPr>
          <w:rFonts w:ascii="Verdana" w:hAnsi="Verdana"/>
          <w:lang w:val="nl-NL"/>
        </w:rPr>
      </w:pPr>
    </w:p>
    <w:p w:rsidR="00F40033" w:rsidRPr="006D0278" w:rsidRDefault="008E706C" w:rsidP="00BD2403">
      <w:pPr>
        <w:ind w:left="720"/>
        <w:jc w:val="both"/>
        <w:rPr>
          <w:rFonts w:cs="NAJNLA+Tahoma"/>
          <w:color w:val="000000"/>
          <w:lang w:val="nl-NL"/>
        </w:rPr>
      </w:pPr>
      <w:r w:rsidRPr="006D0278">
        <w:rPr>
          <w:rFonts w:cs="NAJNLA+Tahoma"/>
          <w:color w:val="000000"/>
          <w:lang w:val="nl-NL"/>
        </w:rPr>
        <w:t xml:space="preserve"> De student die een lopende studie voortijdig beëindigt - doordat hij dat zelf te kennen geeft of doordat dit door objectieve elementen wordt aangetoond, bijvoorbeeld de inschrijving als werkzoekende - verliest de hoedanigheid van student, ook al beschikt hij nog over een inschrijving in een onderwijsinstelling.</w:t>
      </w:r>
    </w:p>
    <w:p w:rsidR="00F40033" w:rsidRPr="006D0278" w:rsidRDefault="00F40033" w:rsidP="00734A2D">
      <w:pPr>
        <w:jc w:val="both"/>
        <w:rPr>
          <w:lang w:val="nl-NL"/>
        </w:rPr>
      </w:pPr>
    </w:p>
    <w:p w:rsidR="00734A2D" w:rsidRPr="006D0278" w:rsidRDefault="008E706C" w:rsidP="00BD2403">
      <w:pPr>
        <w:ind w:left="720"/>
        <w:jc w:val="both"/>
        <w:rPr>
          <w:lang w:val="nl-NL"/>
        </w:rPr>
      </w:pPr>
      <w:r w:rsidRPr="006D0278">
        <w:rPr>
          <w:lang w:val="nl-NL"/>
        </w:rPr>
        <w:t>Wanneer de student zijn studies stopzet tijdens het jaar en ze het volgende jaar hervat, is er dan onderbreking van de studies? Alles hangt af van de omstandigheden. Opdat er onderbreking is van de studies, moet, de persoon de studies, in principe, hebben stopgezet om iets anders te gaan doen en vervolgens besloten hebben om ze te hervatten na een min of meer lange periode.</w:t>
      </w:r>
    </w:p>
    <w:p w:rsidR="006073AB" w:rsidRPr="006D0278" w:rsidRDefault="006073AB" w:rsidP="00734A2D">
      <w:pPr>
        <w:jc w:val="both"/>
        <w:rPr>
          <w:lang w:val="nl-NL"/>
        </w:rPr>
      </w:pPr>
    </w:p>
    <w:p w:rsidR="00C82CAE" w:rsidRDefault="00C82CAE" w:rsidP="00BD2403">
      <w:pPr>
        <w:ind w:left="720"/>
        <w:jc w:val="both"/>
        <w:rPr>
          <w:lang w:val="nl-NL"/>
        </w:rPr>
      </w:pPr>
    </w:p>
    <w:p w:rsidR="006073AB" w:rsidRPr="006D0278" w:rsidRDefault="008E706C" w:rsidP="00BD2403">
      <w:pPr>
        <w:ind w:left="720"/>
        <w:jc w:val="both"/>
        <w:rPr>
          <w:lang w:val="nl-NL"/>
        </w:rPr>
      </w:pPr>
      <w:r w:rsidRPr="006D0278">
        <w:rPr>
          <w:lang w:val="nl-NL"/>
        </w:rPr>
        <w:t xml:space="preserve">Indien de student stopt met het volgen van een opleiding, maar werkelijk de bedoeling heeft om de studies met volledig leerplan verder te zetten en zich wil omscholen, verliest hij zijn hoedanigheid van student niet. Er moet nagegaan worden of de aanvrager werkelijk de bedoeling heeft om zijn studies verder te </w:t>
      </w:r>
      <w:r w:rsidR="00495B93" w:rsidRPr="006D0278">
        <w:rPr>
          <w:lang w:val="nl-NL"/>
        </w:rPr>
        <w:t xml:space="preserve">zetten. </w:t>
      </w:r>
      <w:r w:rsidRPr="006D0278">
        <w:rPr>
          <w:lang w:val="nl-NL"/>
        </w:rPr>
        <w:t>Men moet hem voldoende tijd laten om een andere opleiding te zoeken, om hem toe te laten zich te herscholen. Het OCMW kan geval per geval de wil onderzoeken van de student om zijn studies al dan niet verder te zetten.</w:t>
      </w:r>
    </w:p>
    <w:p w:rsidR="006073AB" w:rsidRPr="006D0278" w:rsidRDefault="006073AB" w:rsidP="00734A2D">
      <w:pPr>
        <w:jc w:val="both"/>
        <w:rPr>
          <w:lang w:val="nl-NL"/>
        </w:rPr>
      </w:pPr>
    </w:p>
    <w:p w:rsidR="00F40033" w:rsidRPr="006D0278" w:rsidRDefault="008E706C" w:rsidP="00BD2403">
      <w:pPr>
        <w:ind w:left="720"/>
        <w:jc w:val="both"/>
        <w:rPr>
          <w:lang w:val="nl-NL"/>
        </w:rPr>
      </w:pPr>
      <w:r w:rsidRPr="006D0278">
        <w:rPr>
          <w:lang w:val="nl-NL"/>
        </w:rPr>
        <w:t>Bij onderbreking van de studies wordt de territoriale bevoegdheid geregeld door het algemene principe van het steunverlenend centrum</w:t>
      </w:r>
      <w:r w:rsidR="00495B93" w:rsidRPr="006D0278">
        <w:rPr>
          <w:lang w:val="nl-NL"/>
        </w:rPr>
        <w:t>: het</w:t>
      </w:r>
      <w:r w:rsidRPr="006D0278">
        <w:rPr>
          <w:lang w:val="nl-NL"/>
        </w:rPr>
        <w:t xml:space="preserve"> OCMW van de gewoonlijke en effectieve verblijfplaats op het ogenblik van de aanvraag is bevoegd.</w:t>
      </w:r>
    </w:p>
    <w:p w:rsidR="00F40033" w:rsidRPr="006D0278" w:rsidRDefault="00F40033" w:rsidP="00F40033">
      <w:pPr>
        <w:jc w:val="both"/>
        <w:rPr>
          <w:lang w:val="nl-NL"/>
        </w:rPr>
      </w:pPr>
    </w:p>
    <w:p w:rsidR="009803C1" w:rsidRPr="006D0278" w:rsidRDefault="008E706C" w:rsidP="00BD2403">
      <w:pPr>
        <w:ind w:left="720"/>
        <w:jc w:val="both"/>
        <w:rPr>
          <w:b/>
          <w:lang w:val="nl-NL"/>
        </w:rPr>
      </w:pPr>
      <w:r w:rsidRPr="006D0278">
        <w:rPr>
          <w:lang w:val="nl-NL"/>
        </w:rPr>
        <w:t xml:space="preserve">Wanneer de betrokkene zijn studies heeft onderbroken, verliest hij zijn hoedanigheid van student tot op het ogenblik dat hij zijn studies met volledig leerplan effectief heeft hervat. De continuïteitsregel is niet van toepassing. De specifieke bevoegdheidsregel voor studenten zal van toepassing zijn wanneer de betrokken zijn </w:t>
      </w:r>
      <w:r w:rsidR="00495B93" w:rsidRPr="006D0278">
        <w:rPr>
          <w:lang w:val="nl-NL"/>
        </w:rPr>
        <w:t>studies</w:t>
      </w:r>
      <w:r w:rsidRPr="006D0278">
        <w:rPr>
          <w:lang w:val="nl-NL"/>
        </w:rPr>
        <w:t xml:space="preserve"> met volledig leerplan zal hebben hervat.</w:t>
      </w:r>
    </w:p>
    <w:p w:rsidR="0091166D" w:rsidRDefault="0091166D" w:rsidP="00F55CB0">
      <w:pPr>
        <w:ind w:left="1440"/>
        <w:jc w:val="both"/>
        <w:rPr>
          <w:lang w:val="nl-NL"/>
        </w:rPr>
      </w:pPr>
    </w:p>
    <w:p w:rsidR="003F1927" w:rsidRDefault="003F1927" w:rsidP="00F55CB0">
      <w:pPr>
        <w:ind w:left="1440"/>
        <w:jc w:val="both"/>
        <w:rPr>
          <w:lang w:val="nl-NL"/>
        </w:rPr>
      </w:pPr>
    </w:p>
    <w:p w:rsidR="003F1927" w:rsidRPr="003F1927" w:rsidRDefault="003F1927" w:rsidP="003F1927">
      <w:pPr>
        <w:pStyle w:val="Heading5"/>
        <w:numPr>
          <w:ilvl w:val="0"/>
          <w:numId w:val="10"/>
        </w:numPr>
        <w:rPr>
          <w:rFonts w:ascii="Times New Roman" w:hAnsi="Times New Roman" w:cs="Times New Roman"/>
        </w:rPr>
      </w:pPr>
      <w:bookmarkStart w:id="85" w:name="_Toc510775791"/>
      <w:r w:rsidRPr="003F1927">
        <w:rPr>
          <w:rFonts w:ascii="Times New Roman" w:hAnsi="Times New Roman" w:cs="Times New Roman"/>
        </w:rPr>
        <w:t>Bijzonder geval</w:t>
      </w:r>
      <w:bookmarkEnd w:id="85"/>
    </w:p>
    <w:p w:rsidR="003F1927" w:rsidRDefault="003F1927" w:rsidP="00F55CB0">
      <w:pPr>
        <w:ind w:left="1440"/>
        <w:jc w:val="both"/>
        <w:rPr>
          <w:lang w:val="nl-NL"/>
        </w:rPr>
      </w:pPr>
    </w:p>
    <w:p w:rsidR="003C0F48" w:rsidRPr="00A2305F" w:rsidRDefault="003C0F48" w:rsidP="003C0F48">
      <w:pPr>
        <w:ind w:left="720"/>
        <w:jc w:val="both"/>
        <w:rPr>
          <w:lang w:val="nl-NL"/>
        </w:rPr>
      </w:pPr>
      <w:r w:rsidRPr="00A2305F">
        <w:rPr>
          <w:lang w:val="nl-NL"/>
        </w:rPr>
        <w:t>Het gaat om de situatie waarin een p</w:t>
      </w:r>
      <w:r w:rsidRPr="00A2305F">
        <w:rPr>
          <w:u w:val="single"/>
          <w:lang w:val="nl-NL"/>
        </w:rPr>
        <w:t>ersoon die eerder een steunaanvraag heeft ingediend als student met volledig leerplan zijn statuut van student met volledig leerplan verliest en een beroep indient bij de bevoegde overheid om zijn statuut van student met volledig leerplan terug te krijgen.</w:t>
      </w:r>
    </w:p>
    <w:p w:rsidR="003C0F48" w:rsidRPr="00A2305F" w:rsidRDefault="003C0F48" w:rsidP="003C0F48">
      <w:pPr>
        <w:ind w:left="720"/>
        <w:jc w:val="both"/>
        <w:rPr>
          <w:lang w:val="nl-NL"/>
        </w:rPr>
      </w:pPr>
    </w:p>
    <w:p w:rsidR="003C0F48" w:rsidRPr="00A2305F" w:rsidRDefault="003C0F48" w:rsidP="003C0F48">
      <w:pPr>
        <w:ind w:left="720"/>
        <w:jc w:val="both"/>
        <w:rPr>
          <w:lang w:val="nl-NL"/>
        </w:rPr>
      </w:pPr>
      <w:r w:rsidRPr="00A2305F">
        <w:rPr>
          <w:lang w:val="nl-NL"/>
        </w:rPr>
        <w:lastRenderedPageBreak/>
        <w:t>In dit bijzonder geval moet er een onderscheid worden gemaakt in functie van het moment waarop de steunaanvraag wordt ingediend:</w:t>
      </w:r>
    </w:p>
    <w:p w:rsidR="003C0F48" w:rsidRPr="00A2305F" w:rsidRDefault="003C0F48" w:rsidP="003C0F48">
      <w:pPr>
        <w:ind w:left="720"/>
        <w:jc w:val="both"/>
        <w:rPr>
          <w:lang w:val="nl-NL"/>
        </w:rPr>
      </w:pPr>
    </w:p>
    <w:p w:rsidR="003C0F48" w:rsidRPr="00A2305F" w:rsidRDefault="003C0F48" w:rsidP="003C0F48">
      <w:pPr>
        <w:ind w:left="720"/>
        <w:jc w:val="both"/>
        <w:rPr>
          <w:lang w:val="nl-NL"/>
        </w:rPr>
      </w:pPr>
      <w:r w:rsidRPr="00A2305F">
        <w:rPr>
          <w:lang w:val="nl-NL"/>
        </w:rPr>
        <w:t xml:space="preserve">1. De aanvraag wordt ingediend tijdens het beroep: </w:t>
      </w:r>
    </w:p>
    <w:p w:rsidR="003C0F48" w:rsidRPr="00A2305F" w:rsidRDefault="003C0F48" w:rsidP="003C0F48">
      <w:pPr>
        <w:ind w:left="720"/>
        <w:jc w:val="both"/>
        <w:rPr>
          <w:lang w:val="nl-NL"/>
        </w:rPr>
      </w:pPr>
      <w:r w:rsidRPr="00A2305F">
        <w:rPr>
          <w:lang w:val="nl-NL"/>
        </w:rPr>
        <w:t xml:space="preserve">In dit geval moet ervan </w:t>
      </w:r>
      <w:r>
        <w:rPr>
          <w:lang w:val="nl-NL"/>
        </w:rPr>
        <w:t xml:space="preserve">worden </w:t>
      </w:r>
      <w:r w:rsidRPr="00A2305F">
        <w:rPr>
          <w:lang w:val="nl-NL"/>
        </w:rPr>
        <w:t>uitgegaan dat de persoon niet meer het statuut heeft van student met volledig leerplan en de specifieke regel voor studenten kan niet worden toegepast. Om het bevoegde OCMW te bepalen moet, bijgevolg, de algemene bevoegdheidsregel worden toegepast, tenzij een andere specifieke regel (bijvoorbeeld de regel voorzien in artikel 2, §1 van de wet van 2 april 1965 voor personen die in bepaalde soorten instellingen verblijven) kan worden toegepast.</w:t>
      </w:r>
    </w:p>
    <w:p w:rsidR="003C0F48" w:rsidRPr="00A2305F" w:rsidRDefault="003C0F48" w:rsidP="003C0F48">
      <w:pPr>
        <w:jc w:val="both"/>
        <w:rPr>
          <w:lang w:val="nl-NL"/>
        </w:rPr>
      </w:pPr>
    </w:p>
    <w:p w:rsidR="003C0F48" w:rsidRPr="00A2305F" w:rsidRDefault="003C0F48" w:rsidP="003C0F48">
      <w:pPr>
        <w:ind w:left="720"/>
        <w:jc w:val="both"/>
        <w:rPr>
          <w:lang w:val="nl-NL"/>
        </w:rPr>
      </w:pPr>
      <w:r w:rsidRPr="00A2305F">
        <w:rPr>
          <w:lang w:val="nl-NL"/>
        </w:rPr>
        <w:t>2. De aanvraag wordt ingediend na het beroep en dat is positief:</w:t>
      </w:r>
    </w:p>
    <w:p w:rsidR="003C0F48" w:rsidRPr="00A2305F" w:rsidRDefault="003C0F48" w:rsidP="003C0F48">
      <w:pPr>
        <w:ind w:left="720"/>
        <w:jc w:val="both"/>
        <w:rPr>
          <w:lang w:val="nl-NL"/>
        </w:rPr>
      </w:pPr>
      <w:r w:rsidRPr="00A2305F">
        <w:rPr>
          <w:lang w:val="nl-NL"/>
        </w:rPr>
        <w:t xml:space="preserve">Op het ogenblik dat de persoon zijn steunaanvraag indient, wordt zijn statuut van student met volledig leerplan geldig met terugwerkende kracht. In dat geval moet </w:t>
      </w:r>
      <w:r>
        <w:rPr>
          <w:lang w:val="nl-NL"/>
        </w:rPr>
        <w:t xml:space="preserve">worden aangenomen </w:t>
      </w:r>
      <w:r w:rsidRPr="00A2305F">
        <w:rPr>
          <w:lang w:val="nl-NL"/>
        </w:rPr>
        <w:t>dat de betrokkene steeds student met volledig leerplan is geweest en hij zijn/haar studies nooit heeft onderbroken.</w:t>
      </w:r>
    </w:p>
    <w:p w:rsidR="003C0F48" w:rsidRPr="00A2305F" w:rsidRDefault="003C0F48" w:rsidP="003C0F48">
      <w:pPr>
        <w:ind w:left="720"/>
        <w:jc w:val="both"/>
        <w:rPr>
          <w:lang w:val="nl-NL"/>
        </w:rPr>
      </w:pPr>
    </w:p>
    <w:p w:rsidR="003C0F48" w:rsidRPr="00A2305F" w:rsidRDefault="003C0F48" w:rsidP="003C0F48">
      <w:pPr>
        <w:ind w:left="720"/>
        <w:jc w:val="both"/>
        <w:rPr>
          <w:lang w:val="nl-NL"/>
        </w:rPr>
      </w:pPr>
      <w:r w:rsidRPr="00A2305F">
        <w:rPr>
          <w:lang w:val="nl-NL"/>
        </w:rPr>
        <w:t xml:space="preserve">Opmerking: wanneer de beslissing van het beroep negatief is, moet natuurlijk </w:t>
      </w:r>
      <w:r>
        <w:rPr>
          <w:lang w:val="nl-NL"/>
        </w:rPr>
        <w:t xml:space="preserve">aangenomen </w:t>
      </w:r>
      <w:r w:rsidRPr="00A2305F">
        <w:rPr>
          <w:lang w:val="nl-NL"/>
        </w:rPr>
        <w:t>worden dat de betrokkene zijn statuut van student met volledig leerplan verliest vanaf de dag waarop de instelling die de opleiding organiseert zijn/haar erkenning als student met volledig leerplan heeft stopgezet.</w:t>
      </w:r>
    </w:p>
    <w:p w:rsidR="003C0F48" w:rsidRPr="00A2305F" w:rsidRDefault="003C0F48" w:rsidP="003C0F48">
      <w:pPr>
        <w:ind w:left="720"/>
        <w:jc w:val="both"/>
        <w:rPr>
          <w:lang w:val="nl-NL"/>
        </w:rPr>
      </w:pPr>
    </w:p>
    <w:p w:rsidR="003F1927" w:rsidRDefault="003F1927">
      <w:pPr>
        <w:rPr>
          <w:i/>
          <w:u w:val="dash"/>
          <w:lang w:val="nl-NL"/>
        </w:rPr>
      </w:pPr>
    </w:p>
    <w:p w:rsidR="003C0F48" w:rsidRPr="00A2305F" w:rsidRDefault="003C0F48" w:rsidP="003C0F48">
      <w:pPr>
        <w:ind w:left="720"/>
        <w:jc w:val="both"/>
        <w:rPr>
          <w:lang w:val="nl-NL"/>
        </w:rPr>
      </w:pPr>
      <w:r w:rsidRPr="00A2305F">
        <w:rPr>
          <w:i/>
          <w:u w:val="dash"/>
          <w:lang w:val="nl-NL"/>
        </w:rPr>
        <w:t>Voorbeeld</w:t>
      </w:r>
      <w:r w:rsidRPr="00A2305F">
        <w:rPr>
          <w:i/>
          <w:lang w:val="nl-NL"/>
        </w:rPr>
        <w:t>:</w:t>
      </w:r>
      <w:r w:rsidRPr="00A2305F">
        <w:rPr>
          <w:lang w:val="nl-NL"/>
        </w:rPr>
        <w:t xml:space="preserve"> </w:t>
      </w:r>
    </w:p>
    <w:p w:rsidR="003C0F48" w:rsidRPr="00A2305F" w:rsidRDefault="003C0F48" w:rsidP="003C0F48">
      <w:pPr>
        <w:ind w:left="720"/>
        <w:jc w:val="both"/>
        <w:rPr>
          <w:i/>
          <w:lang w:val="nl-NL"/>
        </w:rPr>
      </w:pPr>
    </w:p>
    <w:p w:rsidR="003C0F48" w:rsidRPr="00A2305F" w:rsidRDefault="003C0F48" w:rsidP="003C0F48">
      <w:pPr>
        <w:ind w:left="720"/>
        <w:jc w:val="both"/>
        <w:rPr>
          <w:i/>
          <w:lang w:val="nl-NL"/>
        </w:rPr>
      </w:pPr>
      <w:r w:rsidRPr="00A2305F">
        <w:rPr>
          <w:i/>
          <w:lang w:val="nl-NL"/>
        </w:rPr>
        <w:t>Een student, die steun ontvangt van OCMW A, verlies</w:t>
      </w:r>
      <w:r>
        <w:rPr>
          <w:i/>
          <w:lang w:val="nl-NL"/>
        </w:rPr>
        <w:t>t</w:t>
      </w:r>
      <w:r w:rsidRPr="00A2305F">
        <w:rPr>
          <w:i/>
          <w:lang w:val="nl-NL"/>
        </w:rPr>
        <w:t xml:space="preserve"> zijn statuut van student met volledig leerplan ingevolge teveel ongewettigde afwezigheden. Tot dan ontving de student steun vanwege het OCMW van gemeente A, aangezien hij, op het ogenblik van zijn eerste steunaanvraag, als student met volledig leerplan, als hoofdverblijf was ingeschreven in het bevolkingsregister van gemeente A.</w:t>
      </w:r>
    </w:p>
    <w:p w:rsidR="003C0F48" w:rsidRPr="00A2305F" w:rsidRDefault="003C0F48" w:rsidP="003C0F48">
      <w:pPr>
        <w:ind w:left="720"/>
        <w:jc w:val="both"/>
        <w:rPr>
          <w:i/>
          <w:lang w:val="nl-NL"/>
        </w:rPr>
      </w:pPr>
    </w:p>
    <w:p w:rsidR="003C0F48" w:rsidRPr="00A2305F" w:rsidRDefault="003C0F48" w:rsidP="003C0F48">
      <w:pPr>
        <w:ind w:left="720"/>
        <w:jc w:val="both"/>
        <w:rPr>
          <w:i/>
          <w:lang w:val="nl-NL"/>
        </w:rPr>
      </w:pPr>
      <w:r w:rsidRPr="00A2305F">
        <w:rPr>
          <w:i/>
          <w:lang w:val="nl-NL"/>
        </w:rPr>
        <w:t xml:space="preserve">Naar aanleiding van het verlies </w:t>
      </w:r>
      <w:r>
        <w:rPr>
          <w:i/>
          <w:lang w:val="nl-NL"/>
        </w:rPr>
        <w:t xml:space="preserve">van </w:t>
      </w:r>
      <w:r w:rsidRPr="00A2305F">
        <w:rPr>
          <w:i/>
          <w:lang w:val="nl-NL"/>
        </w:rPr>
        <w:t xml:space="preserve">zijn statuut van student onderzoekt het OCMW van gemeente A het dossier van deze persoon opnieuw, stelt vast dat hij geen student met volledig leerplan meer is en voortaan verblijft in gemeente B. Het OCMW van gemeente A beslist om de toegekende steun aan deze persoon te beëindigen en verwijst hem door naar het OCMW van zijn verblijfplaats, ofwel het OCMW van gemeente B. </w:t>
      </w:r>
    </w:p>
    <w:p w:rsidR="003C0F48" w:rsidRPr="00A2305F" w:rsidRDefault="003C0F48" w:rsidP="003C0F48">
      <w:pPr>
        <w:ind w:left="720"/>
        <w:jc w:val="both"/>
        <w:rPr>
          <w:i/>
          <w:lang w:val="nl-NL"/>
        </w:rPr>
      </w:pPr>
    </w:p>
    <w:p w:rsidR="003C0F48" w:rsidRPr="00A2305F" w:rsidRDefault="003C0F48" w:rsidP="003C0F48">
      <w:pPr>
        <w:ind w:left="720"/>
        <w:jc w:val="both"/>
        <w:rPr>
          <w:i/>
          <w:lang w:val="nl-NL"/>
        </w:rPr>
      </w:pPr>
      <w:r w:rsidRPr="00A2305F">
        <w:rPr>
          <w:i/>
          <w:lang w:val="nl-NL"/>
        </w:rPr>
        <w:t>Wanneer mijnheer zich aanbiedt bij het OCMW van gemeente B deelt hij de maatschappelijk werker mee dat hij een beroep heeft ingediend bij de Franse Gemeenschap om zijn statuut van student met volledig leerplan met terugwerkende kracht terug te krijgen.</w:t>
      </w:r>
    </w:p>
    <w:p w:rsidR="003C0F48" w:rsidRPr="00A2305F" w:rsidRDefault="003C0F48" w:rsidP="003C0F48">
      <w:pPr>
        <w:ind w:left="720"/>
        <w:jc w:val="both"/>
        <w:rPr>
          <w:i/>
          <w:lang w:val="nl-NL"/>
        </w:rPr>
      </w:pPr>
    </w:p>
    <w:p w:rsidR="003C0F48" w:rsidRPr="00A2305F" w:rsidRDefault="003C0F48" w:rsidP="003C0F48">
      <w:pPr>
        <w:ind w:left="720"/>
        <w:jc w:val="both"/>
        <w:rPr>
          <w:i/>
          <w:lang w:val="nl-NL"/>
        </w:rPr>
      </w:pPr>
      <w:r w:rsidRPr="00A2305F">
        <w:rPr>
          <w:i/>
          <w:lang w:val="nl-NL"/>
        </w:rPr>
        <w:t xml:space="preserve">In dat geval zal het OCMW van gemeente </w:t>
      </w:r>
      <w:r>
        <w:rPr>
          <w:i/>
          <w:lang w:val="nl-NL"/>
        </w:rPr>
        <w:t>B</w:t>
      </w:r>
      <w:r w:rsidRPr="00A2305F">
        <w:rPr>
          <w:i/>
          <w:lang w:val="nl-NL"/>
        </w:rPr>
        <w:t xml:space="preserve"> bevoegd zijn om de steunaanvraag van deze persoon te onderzoeken, aangezien hij, op het ogenblik van zijn steunaanvraag, geen student met volledig leerplan meer is en gewoonlijk verblijft op het grondgebied van gemeente B. </w:t>
      </w:r>
    </w:p>
    <w:p w:rsidR="003C0F48" w:rsidRPr="00A2305F" w:rsidRDefault="003C0F48" w:rsidP="003C0F48">
      <w:pPr>
        <w:ind w:left="720"/>
        <w:jc w:val="both"/>
        <w:rPr>
          <w:i/>
          <w:lang w:val="nl-NL"/>
        </w:rPr>
      </w:pPr>
    </w:p>
    <w:p w:rsidR="003C0F48" w:rsidRPr="00A2305F" w:rsidRDefault="003C0F48" w:rsidP="003C0F48">
      <w:pPr>
        <w:ind w:left="720"/>
        <w:jc w:val="both"/>
        <w:rPr>
          <w:i/>
          <w:lang w:val="nl-NL"/>
        </w:rPr>
      </w:pPr>
      <w:r w:rsidRPr="00A2305F">
        <w:rPr>
          <w:i/>
          <w:lang w:val="nl-NL"/>
        </w:rPr>
        <w:t xml:space="preserve">Wanneer de betrokkene later zijn statuut van student met volledig leerplan terugkrijgt, zal het OCMW van gemeente A opnieuw het bevoegde OCMW worden, aangezien </w:t>
      </w:r>
      <w:r>
        <w:rPr>
          <w:i/>
          <w:lang w:val="nl-NL"/>
        </w:rPr>
        <w:lastRenderedPageBreak/>
        <w:t>aangenomen m</w:t>
      </w:r>
      <w:r w:rsidRPr="00A2305F">
        <w:rPr>
          <w:i/>
          <w:lang w:val="nl-NL"/>
        </w:rPr>
        <w:t>oet worden dat de betrokkene nooit gestopt is als student met volledig leerplan.</w:t>
      </w:r>
    </w:p>
    <w:p w:rsidR="003C0F48" w:rsidRPr="00A2305F" w:rsidRDefault="003C0F48" w:rsidP="003C0F48">
      <w:pPr>
        <w:ind w:left="720"/>
        <w:jc w:val="both"/>
        <w:rPr>
          <w:i/>
          <w:lang w:val="nl-NL"/>
        </w:rPr>
      </w:pPr>
    </w:p>
    <w:p w:rsidR="003C0F48" w:rsidRPr="00A2305F" w:rsidRDefault="003C0F48" w:rsidP="003C0F48">
      <w:pPr>
        <w:ind w:left="720"/>
        <w:jc w:val="both"/>
        <w:rPr>
          <w:i/>
          <w:lang w:val="nl-NL"/>
        </w:rPr>
      </w:pPr>
      <w:r w:rsidRPr="00A2305F">
        <w:rPr>
          <w:i/>
          <w:lang w:val="nl-NL"/>
        </w:rPr>
        <w:t xml:space="preserve">Nochtans kan de steun toegekend door het OCMW van gemeente B tussen het ogenblik van de steunaanvraag en het ogenblik waarop de betrokkene zijn statuut van student met volledig leerplan heeft teruggekregen niet </w:t>
      </w:r>
      <w:r>
        <w:rPr>
          <w:i/>
          <w:lang w:val="nl-NL"/>
        </w:rPr>
        <w:t xml:space="preserve">worden </w:t>
      </w:r>
      <w:r w:rsidRPr="00A2305F">
        <w:rPr>
          <w:i/>
          <w:lang w:val="nl-NL"/>
        </w:rPr>
        <w:t xml:space="preserve">teruggevorderd door het OCMW van gemeente B bij </w:t>
      </w:r>
      <w:r>
        <w:rPr>
          <w:i/>
          <w:lang w:val="nl-NL"/>
        </w:rPr>
        <w:t xml:space="preserve">het </w:t>
      </w:r>
      <w:r w:rsidRPr="00A2305F">
        <w:rPr>
          <w:i/>
          <w:lang w:val="nl-NL"/>
        </w:rPr>
        <w:t>OCMW van gemeente A.</w:t>
      </w:r>
    </w:p>
    <w:p w:rsidR="003C0F48" w:rsidRPr="00A2305F" w:rsidRDefault="003C0F48" w:rsidP="003C0F48">
      <w:pPr>
        <w:rPr>
          <w:lang w:val="nl-NL"/>
        </w:rPr>
      </w:pPr>
    </w:p>
    <w:p w:rsidR="00F55CB0" w:rsidRPr="006D0278" w:rsidRDefault="00F55CB0" w:rsidP="009803C1">
      <w:pPr>
        <w:ind w:left="1080"/>
        <w:rPr>
          <w:b/>
          <w:lang w:val="nl-NL"/>
        </w:rPr>
      </w:pPr>
    </w:p>
    <w:p w:rsidR="00F55CB0" w:rsidRPr="006D0278" w:rsidRDefault="00F55CB0" w:rsidP="009803C1">
      <w:pPr>
        <w:ind w:left="1080"/>
        <w:rPr>
          <w:b/>
          <w:lang w:val="nl-NL"/>
        </w:rPr>
      </w:pPr>
    </w:p>
    <w:bookmarkEnd w:id="6"/>
    <w:bookmarkEnd w:id="7"/>
    <w:p w:rsidR="00571417" w:rsidRPr="006D0278" w:rsidRDefault="00571417" w:rsidP="00F96962">
      <w:pPr>
        <w:ind w:left="1080"/>
        <w:rPr>
          <w:lang w:val="nl-NL"/>
        </w:rPr>
      </w:pPr>
    </w:p>
    <w:p w:rsidR="00452184" w:rsidRPr="006D0278" w:rsidRDefault="0090319E" w:rsidP="0013358E">
      <w:pPr>
        <w:rPr>
          <w:lang w:val="nl-NL"/>
        </w:rPr>
      </w:pPr>
      <w:r w:rsidRPr="006D0278">
        <w:rPr>
          <w:lang w:val="nl-NL"/>
        </w:rPr>
        <w:br w:type="page"/>
      </w:r>
    </w:p>
    <w:p w:rsidR="00843780" w:rsidRPr="006D0278" w:rsidRDefault="008E706C" w:rsidP="00BD2403">
      <w:pPr>
        <w:pStyle w:val="Heading2"/>
        <w:ind w:left="357" w:firstLine="0"/>
        <w:rPr>
          <w:sz w:val="28"/>
          <w:szCs w:val="32"/>
          <w:lang w:val="nl-NL"/>
        </w:rPr>
      </w:pPr>
      <w:bookmarkStart w:id="86" w:name="_Toc51469042"/>
      <w:bookmarkStart w:id="87" w:name="_Toc70850287"/>
      <w:bookmarkStart w:id="88" w:name="_Toc510775792"/>
      <w:r w:rsidRPr="006D0278">
        <w:rPr>
          <w:sz w:val="28"/>
          <w:szCs w:val="32"/>
          <w:lang w:val="nl-NL"/>
        </w:rPr>
        <w:lastRenderedPageBreak/>
        <w:t xml:space="preserve">5. </w:t>
      </w:r>
      <w:bookmarkEnd w:id="86"/>
      <w:bookmarkEnd w:id="87"/>
      <w:r w:rsidRPr="006D0278">
        <w:rPr>
          <w:sz w:val="28"/>
          <w:szCs w:val="32"/>
          <w:lang w:val="nl-NL"/>
        </w:rPr>
        <w:t>Conflicten inzake asielzoekers en personen die een opvangstructuur verlaten</w:t>
      </w:r>
      <w:bookmarkEnd w:id="88"/>
    </w:p>
    <w:p w:rsidR="0067158C" w:rsidRPr="006D0278" w:rsidRDefault="0067158C" w:rsidP="0067158C">
      <w:pPr>
        <w:rPr>
          <w:lang w:val="nl-NL"/>
        </w:rPr>
      </w:pPr>
    </w:p>
    <w:p w:rsidR="00852ACF" w:rsidRPr="006D0278" w:rsidRDefault="00852ACF" w:rsidP="0067158C">
      <w:pPr>
        <w:rPr>
          <w:lang w:val="nl-NL"/>
        </w:rPr>
      </w:pPr>
    </w:p>
    <w:p w:rsidR="00852ACF" w:rsidRPr="006D0278" w:rsidRDefault="008E706C" w:rsidP="00852ACF">
      <w:pPr>
        <w:ind w:left="720"/>
        <w:jc w:val="both"/>
        <w:rPr>
          <w:lang w:val="nl-NL"/>
        </w:rPr>
      </w:pPr>
      <w:r w:rsidRPr="006D0278">
        <w:rPr>
          <w:lang w:val="nl-NL"/>
        </w:rPr>
        <w:t xml:space="preserve">De territoriale bevoegdheid van de OCMW's voor asielzoekers wordt bepaald door de specifieke bevoegdheidsregels van de artikelen 2, §5, en 2, §8, van de wet van 2 april 1965 betreffende het ten laste nemen van de steun verleend door de openbare centra voor maatschappelijk welzijn. </w:t>
      </w:r>
    </w:p>
    <w:p w:rsidR="00852ACF" w:rsidRPr="006D0278" w:rsidRDefault="00852ACF" w:rsidP="0067158C">
      <w:pPr>
        <w:rPr>
          <w:lang w:val="nl-NL"/>
        </w:rPr>
      </w:pPr>
    </w:p>
    <w:p w:rsidR="00EF6BB2" w:rsidRPr="006D0278" w:rsidRDefault="008E706C" w:rsidP="00BD2403">
      <w:pPr>
        <w:pStyle w:val="Heading3"/>
        <w:rPr>
          <w:b/>
          <w:bCs/>
          <w:sz w:val="24"/>
          <w:u w:val="single"/>
          <w:lang w:val="nl-NL"/>
        </w:rPr>
      </w:pPr>
      <w:bookmarkStart w:id="89" w:name="_Toc510775793"/>
      <w:r w:rsidRPr="006D0278">
        <w:rPr>
          <w:b/>
          <w:bCs/>
          <w:sz w:val="24"/>
          <w:u w:val="single"/>
          <w:lang w:val="nl-NL"/>
        </w:rPr>
        <w:t xml:space="preserve">1. Aantal dossiers in </w:t>
      </w:r>
      <w:r w:rsidR="00B55B55" w:rsidRPr="006D0278">
        <w:rPr>
          <w:b/>
          <w:bCs/>
          <w:sz w:val="24"/>
          <w:u w:val="single"/>
          <w:lang w:val="nl-NL"/>
        </w:rPr>
        <w:t>201</w:t>
      </w:r>
      <w:r w:rsidR="0049472A">
        <w:rPr>
          <w:b/>
          <w:bCs/>
          <w:sz w:val="24"/>
          <w:u w:val="single"/>
          <w:lang w:val="nl-NL"/>
        </w:rPr>
        <w:t>7</w:t>
      </w:r>
      <w:bookmarkEnd w:id="89"/>
      <w:r w:rsidR="00B55B55" w:rsidRPr="006D0278">
        <w:rPr>
          <w:b/>
          <w:bCs/>
          <w:sz w:val="24"/>
          <w:u w:val="single"/>
          <w:lang w:val="nl-NL"/>
        </w:rPr>
        <w:t xml:space="preserve"> </w:t>
      </w:r>
    </w:p>
    <w:p w:rsidR="005B0531" w:rsidRPr="006D0278" w:rsidRDefault="005B0531" w:rsidP="000B588B">
      <w:pPr>
        <w:ind w:left="720" w:firstLine="720"/>
        <w:jc w:val="both"/>
        <w:rPr>
          <w:lang w:val="nl-NL"/>
        </w:rPr>
      </w:pPr>
    </w:p>
    <w:p w:rsidR="006E7408" w:rsidRPr="006D0278" w:rsidRDefault="00C1435E" w:rsidP="00330DAC">
      <w:pPr>
        <w:pStyle w:val="Opmaakprofiel1"/>
        <w:ind w:left="720" w:firstLine="720"/>
      </w:pPr>
      <w:r>
        <w:t xml:space="preserve">3 </w:t>
      </w:r>
      <w:r w:rsidR="008E706C" w:rsidRPr="006D0278">
        <w:t xml:space="preserve">dossiers op </w:t>
      </w:r>
      <w:r>
        <w:t>640</w:t>
      </w:r>
      <w:r w:rsidR="00B55B55" w:rsidRPr="006D0278">
        <w:t xml:space="preserve"> </w:t>
      </w:r>
      <w:r>
        <w:t>ontvankelijke dossiers</w:t>
      </w:r>
    </w:p>
    <w:p w:rsidR="006E7408" w:rsidRPr="006D0278" w:rsidRDefault="008E706C" w:rsidP="00330DAC">
      <w:pPr>
        <w:ind w:left="720" w:firstLine="720"/>
        <w:jc w:val="both"/>
        <w:rPr>
          <w:lang w:val="nl-NL"/>
        </w:rPr>
      </w:pPr>
      <w:r w:rsidRPr="006D0278">
        <w:rPr>
          <w:lang w:val="nl-NL"/>
        </w:rPr>
        <w:t xml:space="preserve">Nederlandstalige dossiers: </w:t>
      </w:r>
      <w:r w:rsidR="00C1435E">
        <w:rPr>
          <w:lang w:val="nl-NL"/>
        </w:rPr>
        <w:t xml:space="preserve">0 </w:t>
      </w:r>
      <w:r w:rsidRPr="006D0278">
        <w:rPr>
          <w:lang w:val="nl-NL"/>
        </w:rPr>
        <w:t xml:space="preserve">op </w:t>
      </w:r>
      <w:r w:rsidR="00C1435E">
        <w:rPr>
          <w:lang w:val="nl-NL"/>
        </w:rPr>
        <w:t>150</w:t>
      </w:r>
      <w:r w:rsidR="00B55B55" w:rsidRPr="006D0278">
        <w:rPr>
          <w:lang w:val="nl-NL"/>
        </w:rPr>
        <w:t xml:space="preserve"> </w:t>
      </w:r>
      <w:r w:rsidR="00CC26BF">
        <w:rPr>
          <w:lang w:val="nl-NL"/>
        </w:rPr>
        <w:t xml:space="preserve">ontvankelijke dossiers, </w:t>
      </w:r>
    </w:p>
    <w:p w:rsidR="006E7408" w:rsidRPr="006D0278" w:rsidRDefault="008E706C" w:rsidP="00330DAC">
      <w:pPr>
        <w:ind w:left="720" w:firstLine="720"/>
        <w:jc w:val="both"/>
        <w:rPr>
          <w:highlight w:val="yellow"/>
          <w:lang w:val="nl-NL"/>
        </w:rPr>
      </w:pPr>
      <w:r w:rsidRPr="006D0278">
        <w:rPr>
          <w:lang w:val="nl-NL"/>
        </w:rPr>
        <w:t xml:space="preserve">Franstalige dossiers: </w:t>
      </w:r>
      <w:r w:rsidR="00C1435E">
        <w:rPr>
          <w:lang w:val="nl-NL"/>
        </w:rPr>
        <w:t xml:space="preserve">3 </w:t>
      </w:r>
      <w:r w:rsidRPr="006D0278">
        <w:rPr>
          <w:lang w:val="nl-NL"/>
        </w:rPr>
        <w:t xml:space="preserve">op </w:t>
      </w:r>
      <w:r w:rsidR="00C1435E">
        <w:rPr>
          <w:lang w:val="nl-NL"/>
        </w:rPr>
        <w:t>490</w:t>
      </w:r>
      <w:r w:rsidR="00B55B55" w:rsidRPr="006D0278">
        <w:rPr>
          <w:lang w:val="nl-NL"/>
        </w:rPr>
        <w:t xml:space="preserve"> </w:t>
      </w:r>
      <w:r w:rsidRPr="006D0278">
        <w:rPr>
          <w:lang w:val="nl-NL"/>
        </w:rPr>
        <w:t xml:space="preserve">ontvankelijke dossiers, </w:t>
      </w:r>
    </w:p>
    <w:p w:rsidR="006E7408" w:rsidRDefault="006E7408" w:rsidP="00330DAC">
      <w:pPr>
        <w:ind w:left="900"/>
        <w:jc w:val="both"/>
        <w:rPr>
          <w:lang w:val="nl-NL"/>
        </w:rPr>
      </w:pPr>
    </w:p>
    <w:p w:rsidR="0090319E" w:rsidRPr="006D0278" w:rsidRDefault="00980B85" w:rsidP="00BF4C67">
      <w:pPr>
        <w:ind w:left="1440"/>
        <w:jc w:val="both"/>
        <w:rPr>
          <w:lang w:val="nl-NL"/>
        </w:rPr>
      </w:pPr>
      <w:r w:rsidRPr="00980B85">
        <w:rPr>
          <w:lang w:val="nl-NL"/>
        </w:rPr>
        <w:t xml:space="preserve">In </w:t>
      </w:r>
      <w:r w:rsidR="00B55B55" w:rsidRPr="00980B85">
        <w:rPr>
          <w:lang w:val="nl-NL"/>
        </w:rPr>
        <w:t>201</w:t>
      </w:r>
      <w:r w:rsidR="00753508">
        <w:rPr>
          <w:lang w:val="nl-NL"/>
        </w:rPr>
        <w:t>7</w:t>
      </w:r>
      <w:r w:rsidR="00B55B55" w:rsidRPr="00980B85">
        <w:rPr>
          <w:lang w:val="nl-NL"/>
        </w:rPr>
        <w:t xml:space="preserve"> </w:t>
      </w:r>
      <w:r w:rsidRPr="00980B85">
        <w:rPr>
          <w:lang w:val="nl-NL"/>
        </w:rPr>
        <w:t xml:space="preserve">is het aantal dossiers met betrekking tot de asielzoekers </w:t>
      </w:r>
      <w:r w:rsidR="00B55B55">
        <w:rPr>
          <w:lang w:val="nl-NL"/>
        </w:rPr>
        <w:t xml:space="preserve">verder </w:t>
      </w:r>
      <w:r w:rsidR="00753508">
        <w:rPr>
          <w:lang w:val="nl-NL"/>
        </w:rPr>
        <w:t>verminderd</w:t>
      </w:r>
      <w:r w:rsidR="000B00D1">
        <w:rPr>
          <w:lang w:val="nl-NL"/>
        </w:rPr>
        <w:t>.</w:t>
      </w:r>
    </w:p>
    <w:p w:rsidR="0090319E" w:rsidRPr="006D0278" w:rsidRDefault="0090319E" w:rsidP="00571417">
      <w:pPr>
        <w:ind w:left="900"/>
        <w:jc w:val="both"/>
        <w:rPr>
          <w:lang w:val="nl-NL"/>
        </w:rPr>
      </w:pPr>
    </w:p>
    <w:p w:rsidR="00B42A88" w:rsidRPr="006D0278" w:rsidRDefault="008E706C" w:rsidP="00955BB0">
      <w:pPr>
        <w:pStyle w:val="Heading3"/>
        <w:ind w:left="720" w:firstLine="0"/>
        <w:jc w:val="both"/>
        <w:rPr>
          <w:b/>
          <w:bCs/>
          <w:i/>
          <w:sz w:val="24"/>
          <w:u w:val="single"/>
          <w:lang w:val="nl-NL"/>
        </w:rPr>
      </w:pPr>
      <w:bookmarkStart w:id="90" w:name="_Toc510775794"/>
      <w:r w:rsidRPr="006D0278">
        <w:rPr>
          <w:b/>
          <w:bCs/>
          <w:sz w:val="24"/>
          <w:u w:val="single"/>
          <w:lang w:val="nl-NL"/>
        </w:rPr>
        <w:t>2. De bevoegdheidsregel van artikel 2, §5, van de wet van 1965 april betreffende het ten laste nemen van de steun verleend door de openbare centra voor maatschappelijk welzijn</w:t>
      </w:r>
      <w:bookmarkEnd w:id="90"/>
    </w:p>
    <w:p w:rsidR="007F3E05" w:rsidRDefault="007F3E05" w:rsidP="00EF2DFE">
      <w:pPr>
        <w:ind w:left="720"/>
        <w:rPr>
          <w:lang w:val="nl-NL"/>
        </w:rPr>
      </w:pPr>
    </w:p>
    <w:p w:rsidR="00EF2DFE" w:rsidRPr="006D0278" w:rsidRDefault="00EF2DFE" w:rsidP="00EF2DFE">
      <w:pPr>
        <w:ind w:left="720"/>
        <w:jc w:val="both"/>
        <w:rPr>
          <w:bCs/>
          <w:lang w:val="nl-NL"/>
        </w:rPr>
      </w:pPr>
    </w:p>
    <w:p w:rsidR="00A353AD" w:rsidRPr="006D0278" w:rsidRDefault="008E706C" w:rsidP="00BD2403">
      <w:pPr>
        <w:pStyle w:val="Heading4"/>
        <w:ind w:left="900"/>
        <w:rPr>
          <w:bCs w:val="0"/>
          <w:lang w:val="nl-NL"/>
        </w:rPr>
      </w:pPr>
      <w:bookmarkStart w:id="91" w:name="_Toc510775795"/>
      <w:r w:rsidRPr="006D0278">
        <w:rPr>
          <w:bCs w:val="0"/>
          <w:lang w:val="nl-NL"/>
        </w:rPr>
        <w:t>1. Wettelijke bepaling</w:t>
      </w:r>
      <w:bookmarkEnd w:id="91"/>
    </w:p>
    <w:p w:rsidR="00A353AD" w:rsidRPr="006D0278" w:rsidRDefault="00A353AD" w:rsidP="00A353AD">
      <w:pPr>
        <w:ind w:left="1080"/>
        <w:jc w:val="both"/>
        <w:rPr>
          <w:bCs/>
          <w:lang w:val="nl-NL"/>
        </w:rPr>
      </w:pPr>
    </w:p>
    <w:p w:rsidR="00EF2DFE" w:rsidRPr="006D0278" w:rsidRDefault="008E706C" w:rsidP="006E7408">
      <w:pPr>
        <w:ind w:left="1260"/>
        <w:jc w:val="both"/>
        <w:rPr>
          <w:lang w:val="nl-NL"/>
        </w:rPr>
      </w:pPr>
      <w:r w:rsidRPr="006D0278">
        <w:rPr>
          <w:bCs/>
          <w:lang w:val="nl-NL"/>
        </w:rPr>
        <w:t>Artikel 2, §5, van de wet van 2 april 1965</w:t>
      </w:r>
      <w:r w:rsidR="00EF2DFE">
        <w:rPr>
          <w:rStyle w:val="FootnoteReference"/>
          <w:bCs/>
          <w:lang w:val="fr-BE"/>
        </w:rPr>
        <w:footnoteReference w:id="3"/>
      </w:r>
      <w:r w:rsidR="007F3E05">
        <w:rPr>
          <w:bCs/>
          <w:lang w:val="nl-NL"/>
        </w:rPr>
        <w:t xml:space="preserve"> </w:t>
      </w:r>
      <w:r w:rsidRPr="006D0278">
        <w:rPr>
          <w:bCs/>
          <w:lang w:val="nl-NL"/>
        </w:rPr>
        <w:t xml:space="preserve">werd gewijzigd door artikel 164 van de wet houdende diverse bepalingen van 29 december 2010 (Belgisch Staatsblad van 31.12.2010 - Ed. 3) en bepaalt voortaan dat: </w:t>
      </w:r>
    </w:p>
    <w:p w:rsidR="00EF2DFE" w:rsidRPr="006D0278" w:rsidRDefault="00EF2DFE" w:rsidP="00EF2DFE">
      <w:pPr>
        <w:ind w:left="720"/>
        <w:rPr>
          <w:lang w:val="nl-NL"/>
        </w:rPr>
      </w:pPr>
    </w:p>
    <w:p w:rsidR="005B0531" w:rsidRPr="006D0278" w:rsidRDefault="008E706C" w:rsidP="00CE4544">
      <w:pPr>
        <w:pBdr>
          <w:top w:val="dotDotDash" w:sz="4" w:space="1" w:color="auto"/>
          <w:left w:val="dotDotDash" w:sz="4" w:space="4" w:color="auto"/>
          <w:bottom w:val="dotDotDash" w:sz="4" w:space="1" w:color="auto"/>
          <w:right w:val="dotDotDash" w:sz="4" w:space="4" w:color="auto"/>
        </w:pBdr>
        <w:shd w:val="clear" w:color="auto" w:fill="CCFFFF"/>
        <w:ind w:left="1440"/>
        <w:jc w:val="both"/>
        <w:rPr>
          <w:lang w:val="nl-NL"/>
        </w:rPr>
      </w:pPr>
      <w:r w:rsidRPr="006D0278">
        <w:rPr>
          <w:lang w:val="nl-NL"/>
        </w:rPr>
        <w:t>Art. 2, §5, van de wet van 1965 april betreffende het ten laste nemen van de steun verleend door de openbare centra voor maatschappelijk welzijn:</w:t>
      </w:r>
    </w:p>
    <w:p w:rsidR="00225991" w:rsidRPr="006D0278" w:rsidRDefault="008E706C" w:rsidP="00CE4544">
      <w:pPr>
        <w:pBdr>
          <w:top w:val="dotDotDash" w:sz="4" w:space="1" w:color="auto"/>
          <w:left w:val="dotDotDash" w:sz="4" w:space="4" w:color="auto"/>
          <w:bottom w:val="dotDotDash" w:sz="4" w:space="1" w:color="auto"/>
          <w:right w:val="dotDotDash" w:sz="4" w:space="4" w:color="auto"/>
        </w:pBdr>
        <w:shd w:val="clear" w:color="auto" w:fill="CCFFFF"/>
        <w:ind w:left="1440"/>
        <w:jc w:val="both"/>
        <w:rPr>
          <w:bCs/>
          <w:i/>
          <w:lang w:val="nl-NL"/>
        </w:rPr>
      </w:pPr>
      <w:r w:rsidRPr="006D0278">
        <w:rPr>
          <w:bCs/>
          <w:lang w:val="nl-NL"/>
        </w:rPr>
        <w:t>"</w:t>
      </w:r>
      <w:r w:rsidRPr="006D0278">
        <w:rPr>
          <w:bCs/>
          <w:i/>
          <w:lang w:val="nl-NL"/>
        </w:rPr>
        <w:t xml:space="preserve">In afwijking van artikel 1, 1°, is bevoegd om maatschappelijke dienstverlening aan een kandidaat-vluchteling of aan een persoon die van de tijdelijke bescherming geniet in het kader van de massale toestroom van ontheemden toe te kennen, het openbaar centrum voor maatschappelijk welzijn: </w:t>
      </w:r>
    </w:p>
    <w:p w:rsidR="00EF2DFE" w:rsidRPr="006D0278" w:rsidRDefault="008E706C" w:rsidP="00DA101F">
      <w:pPr>
        <w:numPr>
          <w:ilvl w:val="0"/>
          <w:numId w:val="13"/>
        </w:numPr>
        <w:pBdr>
          <w:top w:val="dotDotDash" w:sz="4" w:space="1" w:color="auto"/>
          <w:left w:val="dotDotDash" w:sz="4" w:space="4" w:color="auto"/>
          <w:bottom w:val="dotDotDash" w:sz="4" w:space="1" w:color="auto"/>
          <w:right w:val="dotDotDash" w:sz="4" w:space="4" w:color="auto"/>
        </w:pBdr>
        <w:shd w:val="clear" w:color="auto" w:fill="CCFFFF"/>
        <w:jc w:val="both"/>
        <w:rPr>
          <w:bCs/>
          <w:i/>
          <w:lang w:val="nl-NL"/>
        </w:rPr>
      </w:pPr>
      <w:r w:rsidRPr="006D0278">
        <w:rPr>
          <w:bCs/>
          <w:i/>
          <w:lang w:val="nl-NL"/>
        </w:rPr>
        <w:t>van de gemeente waar hij in het wachtregister is ingeschreven</w:t>
      </w:r>
      <w:r w:rsidRPr="00BF4C67">
        <w:rPr>
          <w:bCs/>
          <w:i/>
          <w:u w:val="single"/>
          <w:lang w:val="nl-NL"/>
        </w:rPr>
        <w:t>, voor zover deze inschrijving niet het adres van de Dienst Vreemdelingenzaken of het Commissariaat-generaal voor de Vluchtelingen en de Staatlozen betreft</w:t>
      </w:r>
      <w:r w:rsidRPr="006D0278">
        <w:rPr>
          <w:bCs/>
          <w:i/>
          <w:lang w:val="nl-NL"/>
        </w:rPr>
        <w:t>, of</w:t>
      </w:r>
    </w:p>
    <w:p w:rsidR="001653F7" w:rsidRPr="006D0278" w:rsidRDefault="008E706C" w:rsidP="00CE4544">
      <w:pPr>
        <w:pBdr>
          <w:top w:val="dotDotDash" w:sz="4" w:space="1" w:color="auto"/>
          <w:left w:val="dotDotDash" w:sz="4" w:space="4" w:color="auto"/>
          <w:bottom w:val="dotDotDash" w:sz="4" w:space="1" w:color="auto"/>
          <w:right w:val="dotDotDash" w:sz="4" w:space="4" w:color="auto"/>
        </w:pBdr>
        <w:shd w:val="clear" w:color="auto" w:fill="CCFFFF"/>
        <w:ind w:left="1440"/>
        <w:jc w:val="both"/>
        <w:rPr>
          <w:bCs/>
          <w:i/>
          <w:lang w:val="nl-NL"/>
        </w:rPr>
      </w:pPr>
      <w:r w:rsidRPr="006D0278">
        <w:rPr>
          <w:bCs/>
          <w:i/>
          <w:lang w:val="nl-NL"/>
        </w:rPr>
        <w:t xml:space="preserve"> b) van de gemeente waar hij in de bevolkingsregister of in het vreemdelingenregister is ingeschreven.</w:t>
      </w:r>
    </w:p>
    <w:p w:rsidR="005B0531" w:rsidRPr="006D0278" w:rsidRDefault="005B0531" w:rsidP="00CE4544">
      <w:pPr>
        <w:pBdr>
          <w:top w:val="dotDotDash" w:sz="4" w:space="1" w:color="auto"/>
          <w:left w:val="dotDotDash" w:sz="4" w:space="4" w:color="auto"/>
          <w:bottom w:val="dotDotDash" w:sz="4" w:space="1" w:color="auto"/>
          <w:right w:val="dotDotDash" w:sz="4" w:space="4" w:color="auto"/>
        </w:pBdr>
        <w:shd w:val="clear" w:color="auto" w:fill="CCFFFF"/>
        <w:ind w:left="1440"/>
        <w:jc w:val="both"/>
        <w:rPr>
          <w:bCs/>
          <w:i/>
          <w:lang w:val="nl-NL"/>
        </w:rPr>
      </w:pPr>
    </w:p>
    <w:p w:rsidR="005B0531" w:rsidRPr="006D0278" w:rsidRDefault="008E706C" w:rsidP="00CE4544">
      <w:pPr>
        <w:pBdr>
          <w:top w:val="dotDotDash" w:sz="4" w:space="1" w:color="auto"/>
          <w:left w:val="dotDotDash" w:sz="4" w:space="4" w:color="auto"/>
          <w:bottom w:val="dotDotDash" w:sz="4" w:space="1" w:color="auto"/>
          <w:right w:val="dotDotDash" w:sz="4" w:space="4" w:color="auto"/>
        </w:pBdr>
        <w:shd w:val="clear" w:color="auto" w:fill="CCFFFF"/>
        <w:ind w:left="1440"/>
        <w:jc w:val="both"/>
        <w:rPr>
          <w:bCs/>
          <w:i/>
          <w:lang w:val="nl-NL"/>
        </w:rPr>
      </w:pPr>
      <w:r w:rsidRPr="006D0278">
        <w:rPr>
          <w:bCs/>
          <w:i/>
          <w:lang w:val="nl-NL"/>
        </w:rPr>
        <w:t xml:space="preserve">Wanneer verschillende gemeenten vermeld zijn in de inschrijving van een kandidaat-vluchteling of van een persoon die van de tijdelijke bescherming </w:t>
      </w:r>
      <w:r w:rsidRPr="006D0278">
        <w:rPr>
          <w:bCs/>
          <w:i/>
          <w:lang w:val="nl-NL"/>
        </w:rPr>
        <w:lastRenderedPageBreak/>
        <w:t>geniet in het kader van de massale toestroom van ontheemden is het openbaar centrum voor maatschappelijk welzijn van de gemeente aangeduid als verplichte plaats van inschrijving, bevoegd om hem maatschappelijke dienstverlening toe te kennen.</w:t>
      </w:r>
    </w:p>
    <w:p w:rsidR="005B0531" w:rsidRPr="006D0278" w:rsidRDefault="005B0531" w:rsidP="00CE4544">
      <w:pPr>
        <w:pBdr>
          <w:top w:val="dotDotDash" w:sz="4" w:space="1" w:color="auto"/>
          <w:left w:val="dotDotDash" w:sz="4" w:space="4" w:color="auto"/>
          <w:bottom w:val="dotDotDash" w:sz="4" w:space="1" w:color="auto"/>
          <w:right w:val="dotDotDash" w:sz="4" w:space="4" w:color="auto"/>
        </w:pBdr>
        <w:shd w:val="clear" w:color="auto" w:fill="CCFFFF"/>
        <w:ind w:left="1440"/>
        <w:jc w:val="both"/>
        <w:rPr>
          <w:bCs/>
          <w:i/>
          <w:lang w:val="nl-NL"/>
        </w:rPr>
      </w:pPr>
    </w:p>
    <w:p w:rsidR="005B0531" w:rsidRPr="006D0278" w:rsidRDefault="008E706C" w:rsidP="00CE4544">
      <w:pPr>
        <w:pBdr>
          <w:top w:val="dotDotDash" w:sz="4" w:space="1" w:color="auto"/>
          <w:left w:val="dotDotDash" w:sz="4" w:space="4" w:color="auto"/>
          <w:bottom w:val="dotDotDash" w:sz="4" w:space="1" w:color="auto"/>
          <w:right w:val="dotDotDash" w:sz="4" w:space="4" w:color="auto"/>
        </w:pBdr>
        <w:shd w:val="clear" w:color="auto" w:fill="CCFFFF"/>
        <w:ind w:left="1440"/>
        <w:jc w:val="both"/>
        <w:rPr>
          <w:bCs/>
          <w:i/>
          <w:lang w:val="nl-NL"/>
        </w:rPr>
      </w:pPr>
      <w:r w:rsidRPr="006D0278">
        <w:rPr>
          <w:bCs/>
          <w:i/>
          <w:lang w:val="nl-NL"/>
        </w:rPr>
        <w:t xml:space="preserve">Niettegenstaande het behoud van de aanduiding van een verplichte plaats van inschrijving houdt deze territoriale bevoegdheid op wanneer: </w:t>
      </w:r>
    </w:p>
    <w:p w:rsidR="005B0531" w:rsidRPr="006D0278" w:rsidRDefault="008E706C" w:rsidP="00DA101F">
      <w:pPr>
        <w:numPr>
          <w:ilvl w:val="0"/>
          <w:numId w:val="2"/>
        </w:numPr>
        <w:pBdr>
          <w:top w:val="dotDotDash" w:sz="4" w:space="1" w:color="auto"/>
          <w:left w:val="dotDotDash" w:sz="4" w:space="4" w:color="auto"/>
          <w:bottom w:val="dotDotDash" w:sz="4" w:space="1" w:color="auto"/>
          <w:right w:val="dotDotDash" w:sz="4" w:space="4" w:color="auto"/>
        </w:pBdr>
        <w:shd w:val="clear" w:color="auto" w:fill="CCFFFF"/>
        <w:tabs>
          <w:tab w:val="clear" w:pos="1800"/>
          <w:tab w:val="num" w:pos="720"/>
        </w:tabs>
        <w:jc w:val="both"/>
        <w:rPr>
          <w:bCs/>
          <w:i/>
          <w:lang w:val="nl-NL"/>
        </w:rPr>
      </w:pPr>
      <w:r w:rsidRPr="006D0278">
        <w:rPr>
          <w:bCs/>
          <w:i/>
          <w:lang w:val="nl-NL"/>
        </w:rPr>
        <w:t xml:space="preserve">ofwel de asielprocedure beëindigd is door het verstrijken van de beroepstermijn tegen een beslissing van het Commissariaat-generaal voor Vluchtelingen en Staatlozen of van de Vaste Beroepscommissie voor Vluchtelingen of ingevolge het arrest tot verwerping van het beroep tot nietigverklaring bij de Raad van State tegen een beslissing van het Commissariaat-generaal voor Vluchtelingen en Staatlozen of van de Vaste Beroepscommissie voor Vluchtelingen; </w:t>
      </w:r>
    </w:p>
    <w:p w:rsidR="005B0531" w:rsidRPr="006D0278" w:rsidRDefault="008E706C" w:rsidP="00DA101F">
      <w:pPr>
        <w:numPr>
          <w:ilvl w:val="0"/>
          <w:numId w:val="2"/>
        </w:numPr>
        <w:pBdr>
          <w:top w:val="dotDotDash" w:sz="4" w:space="1" w:color="auto"/>
          <w:left w:val="dotDotDash" w:sz="4" w:space="4" w:color="auto"/>
          <w:bottom w:val="dotDotDash" w:sz="4" w:space="1" w:color="auto"/>
          <w:right w:val="dotDotDash" w:sz="4" w:space="4" w:color="auto"/>
        </w:pBdr>
        <w:shd w:val="clear" w:color="auto" w:fill="CCFFFF"/>
        <w:tabs>
          <w:tab w:val="clear" w:pos="1800"/>
          <w:tab w:val="num" w:pos="720"/>
        </w:tabs>
        <w:jc w:val="both"/>
        <w:rPr>
          <w:bCs/>
          <w:lang w:val="nl-NL"/>
        </w:rPr>
      </w:pPr>
      <w:r w:rsidRPr="006D0278">
        <w:rPr>
          <w:bCs/>
          <w:i/>
          <w:lang w:val="nl-NL"/>
        </w:rPr>
        <w:t>ofwel de tijdelijke bescherming van de ontheemden is beëindigd.</w:t>
      </w:r>
      <w:r w:rsidRPr="006D0278">
        <w:rPr>
          <w:bCs/>
          <w:lang w:val="nl-NL"/>
        </w:rPr>
        <w:t>"</w:t>
      </w:r>
    </w:p>
    <w:p w:rsidR="002024FC" w:rsidRPr="006D0278" w:rsidRDefault="002024FC" w:rsidP="00F87B86">
      <w:pPr>
        <w:ind w:left="180"/>
        <w:jc w:val="both"/>
        <w:rPr>
          <w:lang w:val="nl-NL"/>
        </w:rPr>
      </w:pPr>
    </w:p>
    <w:p w:rsidR="00BD2403" w:rsidRPr="006D0278" w:rsidRDefault="00BD2403" w:rsidP="00A353AD">
      <w:pPr>
        <w:ind w:left="1068"/>
        <w:jc w:val="both"/>
        <w:rPr>
          <w:iCs/>
          <w:u w:val="single"/>
          <w:lang w:val="nl-NL" w:eastAsia="fr-FR"/>
        </w:rPr>
      </w:pPr>
    </w:p>
    <w:p w:rsidR="00A353AD" w:rsidRPr="006D0278" w:rsidRDefault="008E706C" w:rsidP="00BD2403">
      <w:pPr>
        <w:pStyle w:val="Heading4"/>
        <w:ind w:left="540"/>
        <w:jc w:val="both"/>
        <w:rPr>
          <w:bCs w:val="0"/>
          <w:lang w:val="nl-NL" w:eastAsia="fr-FR"/>
        </w:rPr>
      </w:pPr>
      <w:bookmarkStart w:id="92" w:name="_Toc510775796"/>
      <w:r w:rsidRPr="006D0278">
        <w:rPr>
          <w:bCs w:val="0"/>
          <w:lang w:val="nl-NL" w:eastAsia="fr-FR"/>
        </w:rPr>
        <w:t>2. Opmerkingen over de toepassing van artikel 2, § 5, van de wet van 2 april 1965</w:t>
      </w:r>
      <w:bookmarkEnd w:id="92"/>
    </w:p>
    <w:p w:rsidR="00A353AD" w:rsidRPr="006D0278" w:rsidRDefault="00A353AD" w:rsidP="00A353AD">
      <w:pPr>
        <w:ind w:left="1080"/>
        <w:jc w:val="both"/>
        <w:rPr>
          <w:iCs/>
          <w:u w:val="single"/>
          <w:lang w:val="nl-NL" w:eastAsia="fr-FR"/>
        </w:rPr>
      </w:pPr>
    </w:p>
    <w:p w:rsidR="00F00091" w:rsidRPr="006D0278" w:rsidRDefault="008E706C" w:rsidP="00BD2403">
      <w:pPr>
        <w:ind w:left="720"/>
        <w:jc w:val="both"/>
        <w:rPr>
          <w:lang w:val="nl-NL"/>
        </w:rPr>
      </w:pPr>
      <w:r w:rsidRPr="006D0278">
        <w:rPr>
          <w:lang w:val="nl-NL"/>
        </w:rPr>
        <w:t>Wanneer een</w:t>
      </w:r>
      <w:r w:rsidR="007F3E05">
        <w:rPr>
          <w:lang w:val="nl-NL"/>
        </w:rPr>
        <w:t xml:space="preserve"> </w:t>
      </w:r>
      <w:r w:rsidRPr="006D0278">
        <w:rPr>
          <w:u w:val="single"/>
          <w:lang w:val="nl-NL"/>
        </w:rPr>
        <w:t>opvangstructuur wordt aangeduid als verplichte</w:t>
      </w:r>
      <w:r w:rsidR="007F3E05">
        <w:rPr>
          <w:u w:val="single"/>
          <w:lang w:val="nl-NL"/>
        </w:rPr>
        <w:t xml:space="preserve"> </w:t>
      </w:r>
      <w:r w:rsidRPr="006D0278">
        <w:rPr>
          <w:lang w:val="nl-NL"/>
        </w:rPr>
        <w:t xml:space="preserve">inschrijvingsplaats (code 207) kan de asielzoeker enkel steun krijgen in deze opvangstructuur. Het OCMW is dus niet bevoegd om steun toe te kennen (artikel 57ter van de organieke wet van 08/07/1976 betreffende de OCMW's). </w:t>
      </w:r>
    </w:p>
    <w:p w:rsidR="00F00091" w:rsidRPr="006D0278" w:rsidRDefault="00F00091" w:rsidP="00F00091">
      <w:pPr>
        <w:jc w:val="both"/>
        <w:rPr>
          <w:bCs/>
          <w:spacing w:val="-1"/>
          <w:lang w:val="nl-NL"/>
        </w:rPr>
      </w:pPr>
    </w:p>
    <w:p w:rsidR="00F00091" w:rsidRPr="006D0278" w:rsidRDefault="008E706C" w:rsidP="00F00091">
      <w:pPr>
        <w:ind w:left="720"/>
        <w:jc w:val="both"/>
        <w:rPr>
          <w:spacing w:val="-1"/>
          <w:lang w:val="nl-NL"/>
        </w:rPr>
      </w:pPr>
      <w:r w:rsidRPr="006D0278">
        <w:rPr>
          <w:bCs/>
          <w:spacing w:val="-1"/>
          <w:lang w:val="nl-NL"/>
        </w:rPr>
        <w:t>Wanneer een</w:t>
      </w:r>
      <w:r w:rsidR="007F3E05">
        <w:rPr>
          <w:bCs/>
          <w:spacing w:val="-1"/>
          <w:lang w:val="nl-NL"/>
        </w:rPr>
        <w:t xml:space="preserve"> </w:t>
      </w:r>
      <w:r w:rsidRPr="006D0278">
        <w:rPr>
          <w:bCs/>
          <w:spacing w:val="-1"/>
          <w:u w:val="single"/>
          <w:lang w:val="nl-NL"/>
        </w:rPr>
        <w:t xml:space="preserve">OCMW werd aangeduid als </w:t>
      </w:r>
      <w:r w:rsidR="007F3E05" w:rsidRPr="006D0278">
        <w:rPr>
          <w:bCs/>
          <w:spacing w:val="-1"/>
          <w:u w:val="single"/>
          <w:lang w:val="nl-NL"/>
        </w:rPr>
        <w:t>verplichte</w:t>
      </w:r>
      <w:r w:rsidRPr="006D0278">
        <w:rPr>
          <w:bCs/>
          <w:spacing w:val="-1"/>
          <w:u w:val="single"/>
          <w:lang w:val="nl-NL"/>
        </w:rPr>
        <w:t xml:space="preserve"> inschrijvingsplaats</w:t>
      </w:r>
      <w:r w:rsidRPr="006D0278">
        <w:rPr>
          <w:bCs/>
          <w:spacing w:val="-1"/>
          <w:lang w:val="nl-NL"/>
        </w:rPr>
        <w:t xml:space="preserve"> (code 207) is dit OCMW, dat code 207 kreeg aangeduide, bevoegd om de steun toe te kennen.</w:t>
      </w:r>
    </w:p>
    <w:p w:rsidR="00F00091" w:rsidRPr="006D0278" w:rsidRDefault="00F00091" w:rsidP="00F00091">
      <w:pPr>
        <w:jc w:val="both"/>
        <w:rPr>
          <w:lang w:val="nl-NL"/>
        </w:rPr>
      </w:pPr>
    </w:p>
    <w:p w:rsidR="00F00091" w:rsidRPr="006D0278" w:rsidRDefault="008E706C" w:rsidP="00F00091">
      <w:pPr>
        <w:ind w:left="720"/>
        <w:jc w:val="both"/>
        <w:rPr>
          <w:lang w:val="nl-NL"/>
        </w:rPr>
      </w:pPr>
      <w:r w:rsidRPr="006D0278">
        <w:rPr>
          <w:lang w:val="nl-NL"/>
        </w:rPr>
        <w:t>Indien er geen</w:t>
      </w:r>
      <w:r w:rsidRPr="006D0278">
        <w:rPr>
          <w:u w:val="single"/>
          <w:lang w:val="nl-NL"/>
        </w:rPr>
        <w:t xml:space="preserve"> aanduiding is van de</w:t>
      </w:r>
      <w:r w:rsidRPr="006D0278">
        <w:rPr>
          <w:bCs/>
          <w:spacing w:val="-1"/>
          <w:u w:val="single"/>
          <w:lang w:val="nl-NL"/>
        </w:rPr>
        <w:t xml:space="preserve"> verplichte inschrijvingsplaats</w:t>
      </w:r>
      <w:r w:rsidRPr="006D0278">
        <w:rPr>
          <w:bCs/>
          <w:spacing w:val="-1"/>
          <w:lang w:val="nl-NL"/>
        </w:rPr>
        <w:t xml:space="preserve"> (code 207) is het OCMW van de gemeente waar de asielzoeker is ingeschreven in het wachtregister bevoegd om de steun toe te kennen (artikel 2, §5, van de wet van 2 april 1965).</w:t>
      </w:r>
    </w:p>
    <w:p w:rsidR="00F00091" w:rsidRPr="006D0278" w:rsidRDefault="00F00091" w:rsidP="00F00091">
      <w:pPr>
        <w:ind w:left="708"/>
        <w:jc w:val="both"/>
        <w:rPr>
          <w:lang w:val="nl-NL"/>
        </w:rPr>
      </w:pPr>
    </w:p>
    <w:p w:rsidR="002911AC" w:rsidRPr="006D0278" w:rsidRDefault="002911AC" w:rsidP="00BD2403">
      <w:pPr>
        <w:pStyle w:val="Heading5"/>
        <w:ind w:left="720" w:firstLine="720"/>
        <w:rPr>
          <w:rFonts w:ascii="Times New Roman" w:hAnsi="Times New Roman"/>
          <w:iCs w:val="0"/>
          <w:u w:val="single"/>
          <w:lang w:eastAsia="fr-FR"/>
        </w:rPr>
      </w:pPr>
    </w:p>
    <w:p w:rsidR="00A353AD" w:rsidRPr="006D0278" w:rsidRDefault="008E706C" w:rsidP="00BD2403">
      <w:pPr>
        <w:pStyle w:val="Heading5"/>
        <w:ind w:left="720" w:firstLine="720"/>
        <w:rPr>
          <w:rFonts w:ascii="Times New Roman" w:hAnsi="Times New Roman"/>
          <w:iCs w:val="0"/>
          <w:u w:val="single"/>
          <w:lang w:eastAsia="fr-FR"/>
        </w:rPr>
      </w:pPr>
      <w:bookmarkStart w:id="93" w:name="_Toc510775797"/>
      <w:r w:rsidRPr="006D0278">
        <w:rPr>
          <w:rFonts w:ascii="Times New Roman" w:hAnsi="Times New Roman"/>
          <w:iCs w:val="0"/>
          <w:u w:val="single"/>
          <w:lang w:eastAsia="fr-FR"/>
        </w:rPr>
        <w:t>2.1. De inschrijving in het wachtregister</w:t>
      </w:r>
      <w:bookmarkEnd w:id="93"/>
    </w:p>
    <w:p w:rsidR="00EF2DFE" w:rsidRPr="006D0278" w:rsidRDefault="00EF2DFE" w:rsidP="00F87B86">
      <w:pPr>
        <w:ind w:left="180"/>
        <w:jc w:val="both"/>
        <w:rPr>
          <w:lang w:val="nl-NL"/>
        </w:rPr>
      </w:pPr>
    </w:p>
    <w:p w:rsidR="00A353AD" w:rsidRPr="006D0278" w:rsidRDefault="008E706C" w:rsidP="00A353AD">
      <w:pPr>
        <w:ind w:left="708"/>
        <w:jc w:val="both"/>
        <w:rPr>
          <w:lang w:val="nl-NL" w:eastAsia="fr-FR"/>
        </w:rPr>
      </w:pPr>
      <w:r w:rsidRPr="006D0278">
        <w:rPr>
          <w:lang w:val="nl-NL" w:eastAsia="fr-FR"/>
        </w:rPr>
        <w:t xml:space="preserve">Wanneer geen enkel OCMW of opvangstructuur voor asielzoekers werd aangeduid als verplichte inschrijvingsplaats (in code 257) voor de asielzoeker, is </w:t>
      </w:r>
      <w:r w:rsidRPr="006D0278">
        <w:rPr>
          <w:bCs/>
          <w:u w:val="single"/>
          <w:lang w:val="nl-NL"/>
        </w:rPr>
        <w:t>het OCMW van de gemeente waar de betrokkene is ingeschreven in het wachtregister</w:t>
      </w:r>
      <w:r w:rsidRPr="006D0278">
        <w:rPr>
          <w:lang w:val="nl-NL" w:eastAsia="fr-FR"/>
        </w:rPr>
        <w:t xml:space="preserve"> bevoegd om de steun toe te kennen (financiële maatschappelijke hulp, eerste huur, enz.).</w:t>
      </w:r>
    </w:p>
    <w:p w:rsidR="00EF2DFE" w:rsidRPr="006D0278" w:rsidRDefault="00EF2DFE" w:rsidP="00F87B86">
      <w:pPr>
        <w:ind w:left="180"/>
        <w:jc w:val="both"/>
        <w:rPr>
          <w:lang w:val="nl-NL"/>
        </w:rPr>
      </w:pPr>
    </w:p>
    <w:p w:rsidR="00A353AD" w:rsidRPr="006D0278" w:rsidRDefault="008E706C" w:rsidP="00A353AD">
      <w:pPr>
        <w:ind w:left="708"/>
        <w:jc w:val="both"/>
        <w:rPr>
          <w:lang w:val="nl-NL" w:eastAsia="fr-FR"/>
        </w:rPr>
      </w:pPr>
      <w:r w:rsidRPr="006D0278">
        <w:rPr>
          <w:lang w:val="nl-NL" w:eastAsia="fr-FR"/>
        </w:rPr>
        <w:t>Wat de inschrijving in het wachtregister betreft, wordt de asielzoeker ingeschreven in het wachtregister van de gemeente waar hij zijn hoofdverblijfplaats heeft (code 001 en 020). Wanneer de asielzoeker niet in staat is om een willekeurige verblijfplaats op te geven op het ogenblik dat hij zijn asielaanvraag indient, wordt hij tijdelijk ingeschreven op het adres van de Dienst Vreemdelingenzaken of van het Comissariaat-Generaal voor de Vluchtelingen en de Staatlozen</w:t>
      </w:r>
      <w:r w:rsidR="00A353AD" w:rsidRPr="00D76619">
        <w:rPr>
          <w:rStyle w:val="FootnoteReference"/>
          <w:bCs/>
          <w:lang w:val="fr-BE"/>
        </w:rPr>
        <w:footnoteReference w:id="4"/>
      </w:r>
      <w:r w:rsidRPr="006D0278">
        <w:rPr>
          <w:bCs/>
          <w:lang w:val="nl-NL"/>
        </w:rPr>
        <w:t>.</w:t>
      </w:r>
    </w:p>
    <w:p w:rsidR="00A353AD" w:rsidRPr="006D0278" w:rsidRDefault="00A353AD" w:rsidP="00A353AD">
      <w:pPr>
        <w:jc w:val="both"/>
        <w:rPr>
          <w:lang w:val="nl-NL"/>
        </w:rPr>
      </w:pPr>
    </w:p>
    <w:p w:rsidR="00A353AD" w:rsidRPr="006D0278" w:rsidRDefault="008E706C" w:rsidP="00A353AD">
      <w:pPr>
        <w:ind w:left="708"/>
        <w:jc w:val="both"/>
        <w:rPr>
          <w:lang w:val="nl-NL"/>
        </w:rPr>
      </w:pPr>
      <w:r w:rsidRPr="006D0278">
        <w:rPr>
          <w:lang w:val="nl-NL"/>
        </w:rPr>
        <w:lastRenderedPageBreak/>
        <w:t xml:space="preserve">Zoals werd opgemerkt </w:t>
      </w:r>
      <w:r w:rsidR="007F3E05" w:rsidRPr="006D0278">
        <w:rPr>
          <w:lang w:val="nl-NL"/>
        </w:rPr>
        <w:t>tijdens</w:t>
      </w:r>
      <w:r w:rsidRPr="006D0278">
        <w:rPr>
          <w:lang w:val="nl-NL"/>
        </w:rPr>
        <w:t xml:space="preserve"> de voorbereidende werkzaamheden van artikel 164 van de wet houdende diverse bepalingen van 29 december 2010, had, wanneer een asielzoeker niet was ingeschreven in het wachtregister op het adres van de Dienst Vreemdelingenzaken of van het Commissariaat-Generaal voor de Vluchtelingen en de Staatlozen, dit tot gevolg dat de territoriale bevoegdheid van het OCMW van Brussel met het oog op de toekenning van de steun en dit, voor zover er geen aanduiding was van een verplichte inschrijvingsplaats of dat deze aanwijzing geschrapt was bij toepassing van de wet van 12 januari 2007 betreffende de opvang van asielzoekers en van bepaalde andere soorten vreemdelingen. Overwegende dat de inschrijving, in dit geval, overeenkomt met een fictief adres wil de wijziging van artikel 2, §5, van de wet van 2 april 1965 dit ongemak verhelpen. Er zal geen rekening meer gehouden worden met deze administratieve inschrijving op het adres van de Dienst Vreemdelingenzaken of van het Comissariaat-generaal voor de Vluchtelingen en Staatlozen om de territoriale bevoegdheid van het OCMW te bepalen. </w:t>
      </w:r>
    </w:p>
    <w:p w:rsidR="00A353AD" w:rsidRPr="006D0278" w:rsidRDefault="00A353AD" w:rsidP="00A353AD">
      <w:pPr>
        <w:ind w:left="708"/>
        <w:jc w:val="both"/>
        <w:rPr>
          <w:lang w:val="nl-NL"/>
        </w:rPr>
      </w:pPr>
    </w:p>
    <w:p w:rsidR="00A353AD" w:rsidRPr="006D0278" w:rsidRDefault="008E706C" w:rsidP="00A353AD">
      <w:pPr>
        <w:ind w:left="708"/>
        <w:jc w:val="both"/>
        <w:rPr>
          <w:i/>
          <w:lang w:val="nl-NL" w:eastAsia="fr-FR"/>
        </w:rPr>
      </w:pPr>
      <w:r w:rsidRPr="006D0278">
        <w:rPr>
          <w:lang w:val="nl-NL"/>
        </w:rPr>
        <w:t xml:space="preserve">Naar aanleiding van de wijziging door artikel 164 van de wet houdende diverse bepalingen van 29 december 2010, verduidelijkt artikel 2, § 5, van de wet van 2 april 1965 voortaan dat </w:t>
      </w:r>
      <w:r w:rsidRPr="006D0278">
        <w:rPr>
          <w:bCs/>
          <w:i/>
          <w:lang w:val="nl-NL"/>
        </w:rPr>
        <w:t xml:space="preserve">"het openbaar centrum voor maatschappelijk welzijn van de gemeente waar hij is ingeschreven in het </w:t>
      </w:r>
      <w:r w:rsidR="007F3E05" w:rsidRPr="006D0278">
        <w:rPr>
          <w:bCs/>
          <w:i/>
          <w:lang w:val="nl-NL"/>
        </w:rPr>
        <w:t>wachtregister,</w:t>
      </w:r>
      <w:r w:rsidRPr="006D0278">
        <w:rPr>
          <w:b/>
          <w:bCs/>
          <w:i/>
          <w:lang w:val="nl-NL"/>
        </w:rPr>
        <w:t xml:space="preserve"> voor zover deze inschrijving niet het adres van de Dienst Vreemdelingenzaken of het Commissariaat-generaal voor de Vluchtelingen en Staatlozen</w:t>
      </w:r>
      <w:r w:rsidR="007F3E05">
        <w:rPr>
          <w:b/>
          <w:bCs/>
          <w:i/>
          <w:lang w:val="nl-NL"/>
        </w:rPr>
        <w:t xml:space="preserve"> </w:t>
      </w:r>
      <w:r w:rsidRPr="006D0278">
        <w:rPr>
          <w:bCs/>
          <w:i/>
          <w:lang w:val="nl-NL"/>
        </w:rPr>
        <w:t>is", bevoegd is.</w:t>
      </w:r>
    </w:p>
    <w:p w:rsidR="00A353AD" w:rsidRPr="006D0278" w:rsidRDefault="00A353AD" w:rsidP="00A353AD">
      <w:pPr>
        <w:jc w:val="both"/>
        <w:rPr>
          <w:lang w:val="nl-NL"/>
        </w:rPr>
      </w:pPr>
    </w:p>
    <w:p w:rsidR="00A353AD" w:rsidRPr="006D0278" w:rsidRDefault="008E706C" w:rsidP="00A353AD">
      <w:pPr>
        <w:ind w:left="708"/>
        <w:jc w:val="both"/>
        <w:rPr>
          <w:lang w:val="nl-NL"/>
        </w:rPr>
      </w:pPr>
      <w:r w:rsidRPr="006D0278">
        <w:rPr>
          <w:lang w:val="nl-NL"/>
        </w:rPr>
        <w:t>Zo zal,</w:t>
      </w:r>
      <w:r w:rsidRPr="006D0278">
        <w:rPr>
          <w:u w:val="single"/>
          <w:lang w:val="nl-NL"/>
        </w:rPr>
        <w:t xml:space="preserve"> wanneer de asielzoeker is ingeschreven in het wachtregister op het adres van de Dienst Vreemdelingenzaken of van het Comissariaat-generaal voor de Vluchtelingen en de Staatlozen, deze administratieve inschrijving niet meer in aanmerking worden </w:t>
      </w:r>
      <w:r w:rsidR="007F3E05" w:rsidRPr="006D0278">
        <w:rPr>
          <w:u w:val="single"/>
          <w:lang w:val="nl-NL"/>
        </w:rPr>
        <w:t>genomen</w:t>
      </w:r>
      <w:r w:rsidRPr="006D0278">
        <w:rPr>
          <w:u w:val="single"/>
          <w:lang w:val="nl-NL"/>
        </w:rPr>
        <w:t xml:space="preserve"> voor het bepalen van het bevoegde OCMW</w:t>
      </w:r>
      <w:r w:rsidRPr="006D0278">
        <w:rPr>
          <w:lang w:val="nl-NL"/>
        </w:rPr>
        <w:t xml:space="preserve">. </w:t>
      </w:r>
    </w:p>
    <w:p w:rsidR="00A353AD" w:rsidRPr="006D0278" w:rsidRDefault="00A353AD" w:rsidP="00A353AD">
      <w:pPr>
        <w:pStyle w:val="Letter"/>
        <w:jc w:val="both"/>
        <w:rPr>
          <w:rFonts w:ascii="Times New Roman" w:hAnsi="Times New Roman"/>
          <w:sz w:val="24"/>
          <w:szCs w:val="24"/>
          <w:lang w:val="nl-NL"/>
        </w:rPr>
      </w:pPr>
    </w:p>
    <w:p w:rsidR="00A353AD" w:rsidRPr="006D0278" w:rsidRDefault="008E706C" w:rsidP="00A353AD">
      <w:pPr>
        <w:pStyle w:val="Letter"/>
        <w:ind w:left="708"/>
        <w:jc w:val="both"/>
        <w:rPr>
          <w:rFonts w:ascii="Times New Roman" w:hAnsi="Times New Roman"/>
          <w:sz w:val="24"/>
          <w:szCs w:val="24"/>
          <w:lang w:val="nl-NL"/>
        </w:rPr>
      </w:pPr>
      <w:r w:rsidRPr="006D0278">
        <w:rPr>
          <w:rFonts w:ascii="Times New Roman" w:hAnsi="Times New Roman"/>
          <w:sz w:val="24"/>
          <w:szCs w:val="24"/>
          <w:lang w:val="nl-NL"/>
        </w:rPr>
        <w:t>In dit geval is, aangezien deze inschrijving in het wachtregister niet in aanmerking kan worden genomen, de algemene bevoegdheidsregel van artikel 1, 1°, van voornoemde wet van toepassing om het bevoegde OCMW te bepalen, behalve wanneer een andere specifieke bevoegdheidsregel, voorzien bij de wet van 2 april 1965, van toepassing is. Bijvoorbeeld, wanneer de asielzoeker beschouwd wordt als dakloze, is het OCMW van de gemeente waar de betrokkene zijn feitelijke verblijfplaats heeft, bevoegd om tussen te komen, krachtens artikel 2, § 7, van de wet van 2 april 1965.</w:t>
      </w:r>
    </w:p>
    <w:p w:rsidR="00A353AD" w:rsidRPr="006D0278" w:rsidRDefault="00A353AD" w:rsidP="00A353AD">
      <w:pPr>
        <w:jc w:val="both"/>
        <w:rPr>
          <w:lang w:val="nl-NL"/>
        </w:rPr>
      </w:pPr>
    </w:p>
    <w:p w:rsidR="00A353AD" w:rsidRPr="006D0278" w:rsidRDefault="008E706C" w:rsidP="00A353AD">
      <w:pPr>
        <w:ind w:left="708"/>
        <w:jc w:val="both"/>
        <w:rPr>
          <w:lang w:val="nl-NL"/>
        </w:rPr>
      </w:pPr>
      <w:r w:rsidRPr="006D0278">
        <w:rPr>
          <w:lang w:val="nl-NL"/>
        </w:rPr>
        <w:t>Wanneer de asielzoeker is ingeschreven in het wachtregister op het adres van de Dienst Vreemdelingenzaken en verblijft in een instelling bedoeld in artikel 2, § 1, van de wet van 02/04/65, kan zijn administratieve inschrijving op het adres van de Dienst Vreemdelingenzaken niet in aanmerking worden genomen om de territoriale bevoegdheid van het OCMW te bepalen. In dit geval is de algemene bevoegdheidsregel van artikel 1, 1°, van voornoemde wet van toepassing om het bevoegde OCMW te bepalen.</w:t>
      </w:r>
    </w:p>
    <w:p w:rsidR="00A353AD" w:rsidRPr="006D0278" w:rsidRDefault="00A353AD" w:rsidP="00A353AD">
      <w:pPr>
        <w:ind w:left="708"/>
        <w:jc w:val="both"/>
        <w:rPr>
          <w:lang w:val="nl-NL"/>
        </w:rPr>
      </w:pPr>
    </w:p>
    <w:p w:rsidR="00E26811" w:rsidRDefault="00E26811">
      <w:pPr>
        <w:rPr>
          <w:b/>
          <w:bCs/>
          <w:i/>
          <w:iCs/>
          <w:u w:val="single"/>
          <w:lang w:val="nl-NL"/>
        </w:rPr>
      </w:pPr>
      <w:r>
        <w:rPr>
          <w:i/>
          <w:iCs/>
          <w:u w:val="single"/>
          <w:lang w:val="nl-NL"/>
        </w:rPr>
        <w:br w:type="page"/>
      </w:r>
    </w:p>
    <w:p w:rsidR="00A353AD" w:rsidRPr="006D0278" w:rsidRDefault="008E706C" w:rsidP="00BD2403">
      <w:pPr>
        <w:pStyle w:val="Heading5"/>
        <w:ind w:left="720" w:firstLine="720"/>
        <w:rPr>
          <w:rFonts w:ascii="Times New Roman" w:hAnsi="Times New Roman"/>
          <w:iCs w:val="0"/>
          <w:u w:val="single"/>
        </w:rPr>
      </w:pPr>
      <w:bookmarkStart w:id="94" w:name="_Toc510775798"/>
      <w:r w:rsidRPr="006D0278">
        <w:rPr>
          <w:rFonts w:ascii="Times New Roman" w:hAnsi="Times New Roman"/>
          <w:iCs w:val="0"/>
          <w:u w:val="single"/>
        </w:rPr>
        <w:lastRenderedPageBreak/>
        <w:t>2.2. Toepassingsgebied van artikel 2, §5</w:t>
      </w:r>
      <w:bookmarkEnd w:id="94"/>
      <w:r w:rsidRPr="006D0278">
        <w:rPr>
          <w:rFonts w:ascii="Times New Roman" w:hAnsi="Times New Roman"/>
          <w:iCs w:val="0"/>
          <w:u w:val="single"/>
        </w:rPr>
        <w:t xml:space="preserve">  </w:t>
      </w:r>
    </w:p>
    <w:p w:rsidR="00A353AD" w:rsidRPr="006D0278" w:rsidRDefault="00A353AD" w:rsidP="00A353AD">
      <w:pPr>
        <w:jc w:val="both"/>
        <w:rPr>
          <w:b/>
          <w:lang w:val="nl-NL"/>
        </w:rPr>
      </w:pPr>
    </w:p>
    <w:p w:rsidR="00A353AD" w:rsidRPr="006D0278" w:rsidRDefault="008E706C" w:rsidP="00DD6A22">
      <w:pPr>
        <w:ind w:left="708"/>
        <w:jc w:val="both"/>
        <w:rPr>
          <w:lang w:val="nl-NL"/>
        </w:rPr>
      </w:pPr>
      <w:r w:rsidRPr="006D0278">
        <w:rPr>
          <w:lang w:val="nl-NL"/>
        </w:rPr>
        <w:t xml:space="preserve">De specifieke bevoegdheidsregel van artikel 2, § 5, van voornoemde wet is </w:t>
      </w:r>
      <w:r w:rsidR="007F3E05">
        <w:rPr>
          <w:lang w:val="nl-NL"/>
        </w:rPr>
        <w:t>enkel</w:t>
      </w:r>
      <w:r w:rsidRPr="006D0278">
        <w:rPr>
          <w:lang w:val="nl-NL"/>
        </w:rPr>
        <w:t xml:space="preserve"> van toepassing op kandidaat-vluchtelingen. Deze bepaling is nie</w:t>
      </w:r>
      <w:r w:rsidR="007F3E05">
        <w:rPr>
          <w:lang w:val="nl-NL"/>
        </w:rPr>
        <w:t>t</w:t>
      </w:r>
      <w:r w:rsidRPr="006D0278">
        <w:rPr>
          <w:lang w:val="nl-NL"/>
        </w:rPr>
        <w:t xml:space="preserve"> van toepassing op de personen die een erkenning hebben ontvangen van het statuut van vluchteling, een subsidiaire bescherming, een regularisatie van het verblijf of een ontvankelijkheid van hun regularisatie van het verblijf op basis van artikel 9ter van de wet van 15/12/1980 en op de personen waarvan de asielprocedure negatief werd beëindigd en die illegaal op het grondgebied verblijven.</w:t>
      </w:r>
    </w:p>
    <w:p w:rsidR="00DD6A22" w:rsidRPr="006D0278" w:rsidRDefault="00DD6A22" w:rsidP="00DD6A22">
      <w:pPr>
        <w:ind w:left="708"/>
        <w:jc w:val="both"/>
        <w:rPr>
          <w:lang w:val="nl-NL"/>
        </w:rPr>
      </w:pPr>
    </w:p>
    <w:p w:rsidR="00DD6A22" w:rsidRPr="006D0278" w:rsidRDefault="008E706C" w:rsidP="00A353AD">
      <w:pPr>
        <w:ind w:left="708"/>
        <w:jc w:val="both"/>
        <w:rPr>
          <w:lang w:val="nl-NL" w:eastAsia="fr-BE"/>
        </w:rPr>
      </w:pPr>
      <w:r w:rsidRPr="006D0278">
        <w:rPr>
          <w:lang w:val="nl-NL"/>
        </w:rPr>
        <w:t>Wanneer de persoon erkend is als vluchteling door een beslissing van de Commissaris-generaal voor de vluchtelingen en de staatlozen, heeft hij niet meer het statuut van kandidaat-vluchteling vanaf de datum van de beslissing tot erkenning van het statuut van vluchteling</w:t>
      </w:r>
      <w:r w:rsidR="00F00091">
        <w:rPr>
          <w:rStyle w:val="FootnoteReference"/>
          <w:lang w:val="fr-BE"/>
        </w:rPr>
        <w:footnoteReference w:id="5"/>
      </w:r>
      <w:r w:rsidRPr="006D0278">
        <w:rPr>
          <w:lang w:val="nl-NL"/>
        </w:rPr>
        <w:t>, en is artikel 2, § 5, van de wet van 2 april 1965 niet meer van toepassing. Wanneer de betrokkene geregulariseerd is voor het einde van de asielprocedure is er eveneens een substantiële wijziging. De geregulariseerde vreemdeling is legaal vanaf de beslissing van de Minister.</w:t>
      </w:r>
    </w:p>
    <w:p w:rsidR="00DD6A22" w:rsidRPr="006D0278" w:rsidRDefault="008E706C" w:rsidP="00DD6A22">
      <w:pPr>
        <w:autoSpaceDE w:val="0"/>
        <w:autoSpaceDN w:val="0"/>
        <w:adjustRightInd w:val="0"/>
        <w:ind w:left="708"/>
        <w:jc w:val="both"/>
        <w:rPr>
          <w:lang w:val="nl-NL" w:eastAsia="fr-BE"/>
        </w:rPr>
      </w:pPr>
      <w:r w:rsidRPr="006D0278">
        <w:rPr>
          <w:lang w:val="nl-NL" w:eastAsia="fr-BE"/>
        </w:rPr>
        <w:t xml:space="preserve">Wanneer de asielprocedure is </w:t>
      </w:r>
      <w:r w:rsidR="00722E6B" w:rsidRPr="006D0278">
        <w:rPr>
          <w:lang w:val="nl-NL" w:eastAsia="fr-BE"/>
        </w:rPr>
        <w:t>afgelopen</w:t>
      </w:r>
      <w:r w:rsidR="00722E6B" w:rsidRPr="006D0278">
        <w:rPr>
          <w:b/>
          <w:lang w:val="nl-NL" w:eastAsia="fr-BE"/>
        </w:rPr>
        <w:t xml:space="preserve">, </w:t>
      </w:r>
      <w:r w:rsidRPr="006D0278">
        <w:rPr>
          <w:lang w:val="nl-NL" w:eastAsia="fr-BE"/>
        </w:rPr>
        <w:t xml:space="preserve">heeft de inschrijving in het wachtregister geen enkel belang meer. Op dat ogenblik moet de bevoegdheid worden beoordeeld overeenkomstig de algemene bevoegdheidsregel van artikel 1 </w:t>
      </w:r>
      <w:r w:rsidRPr="006D0278">
        <w:rPr>
          <w:lang w:val="nl-NL"/>
        </w:rPr>
        <w:t>, 1° van de wet van 2 april 1965. Die bepaalt dat het OCMW van de gemeente van de gewoonlijke verblijfplaats van de steunaanvrager bevoegd is om tussen te komen.</w:t>
      </w:r>
    </w:p>
    <w:p w:rsidR="00CC6ECC" w:rsidRDefault="00CC6ECC" w:rsidP="00FD1AF6">
      <w:pPr>
        <w:pStyle w:val="Heading4"/>
        <w:ind w:left="720"/>
        <w:rPr>
          <w:bCs w:val="0"/>
          <w:i/>
          <w:iCs/>
          <w:u w:val="single"/>
          <w:lang w:val="nl-NL"/>
        </w:rPr>
      </w:pPr>
    </w:p>
    <w:p w:rsidR="00452184" w:rsidRDefault="00452184" w:rsidP="00452184">
      <w:pPr>
        <w:rPr>
          <w:lang w:val="nl-NL"/>
        </w:rPr>
      </w:pPr>
    </w:p>
    <w:p w:rsidR="00F00091" w:rsidRPr="006D0278" w:rsidRDefault="008E706C" w:rsidP="00BD2403">
      <w:pPr>
        <w:pStyle w:val="Heading5"/>
        <w:ind w:left="720" w:firstLine="720"/>
        <w:rPr>
          <w:rFonts w:ascii="Times New Roman" w:hAnsi="Times New Roman"/>
          <w:bCs w:val="0"/>
          <w:iCs w:val="0"/>
          <w:u w:val="single"/>
        </w:rPr>
      </w:pPr>
      <w:bookmarkStart w:id="95" w:name="_Toc510775799"/>
      <w:r w:rsidRPr="006D0278">
        <w:rPr>
          <w:rFonts w:ascii="Times New Roman" w:hAnsi="Times New Roman"/>
          <w:bCs w:val="0"/>
          <w:iCs w:val="0"/>
          <w:u w:val="single"/>
        </w:rPr>
        <w:t>2.3. Personen die illegaal op het grondgebied verblijven</w:t>
      </w:r>
      <w:bookmarkEnd w:id="95"/>
    </w:p>
    <w:p w:rsidR="00F00091" w:rsidRPr="006D0278" w:rsidRDefault="00F00091" w:rsidP="00F00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nl-NL"/>
        </w:rPr>
      </w:pPr>
    </w:p>
    <w:p w:rsidR="00F00091" w:rsidRPr="006D0278" w:rsidRDefault="008E706C" w:rsidP="00F00091">
      <w:pPr>
        <w:pStyle w:val="BodyTextIndent"/>
        <w:ind w:left="720"/>
        <w:rPr>
          <w:bCs/>
          <w:lang w:val="nl-NL"/>
        </w:rPr>
      </w:pPr>
      <w:r w:rsidRPr="006D0278">
        <w:rPr>
          <w:lang w:val="nl-NL"/>
        </w:rPr>
        <w:t>Voor de personen die illegaal op het grondgebied verblijven, is de algemene bevoegdheidsregel van artikel 1</w:t>
      </w:r>
      <w:r w:rsidRPr="006D0278">
        <w:rPr>
          <w:bCs/>
          <w:lang w:val="nl-NL"/>
        </w:rPr>
        <w:t>, 1° van de wet van 2 april 1965 van toepassing. Die bepaalt dat het OCMW van de gemeente op wier grondgebied zich de persoon bevindt die bijstand behoeft, zijn hoofdverblijfplaats heeft, bevoegd is om tussen te komen.</w:t>
      </w:r>
    </w:p>
    <w:p w:rsidR="00F00091" w:rsidRPr="006D0278" w:rsidRDefault="00F00091" w:rsidP="00F00091">
      <w:pPr>
        <w:autoSpaceDE w:val="0"/>
        <w:autoSpaceDN w:val="0"/>
        <w:adjustRightInd w:val="0"/>
        <w:jc w:val="both"/>
        <w:rPr>
          <w:bCs/>
          <w:lang w:val="nl-NL"/>
        </w:rPr>
      </w:pPr>
    </w:p>
    <w:p w:rsidR="008D6529" w:rsidRPr="006D0278" w:rsidRDefault="008E706C" w:rsidP="00F00091">
      <w:pPr>
        <w:autoSpaceDE w:val="0"/>
        <w:autoSpaceDN w:val="0"/>
        <w:adjustRightInd w:val="0"/>
        <w:ind w:left="720"/>
        <w:jc w:val="both"/>
        <w:rPr>
          <w:lang w:val="nl-NL" w:eastAsia="nl-NL"/>
        </w:rPr>
      </w:pPr>
      <w:r w:rsidRPr="006D0278">
        <w:rPr>
          <w:lang w:val="nl-NL" w:eastAsia="nl-NL"/>
        </w:rPr>
        <w:t>Voor de uitzonderlijke gevallen waarin het effectief niet zou mogelijk blijken om de gewoonlijke verblijfplaats te bepalen van een illegaal persoon die dringende medische hulp heeft ontvangen in een verplegingsinstelling, kan de zorgverstrekker de aanvraag tot tenlasteneming van de steun ten gunste van de persoon indienen bij het OCMW waar de medische zorg werd verstrekt (</w:t>
      </w:r>
      <w:r w:rsidRPr="006D0278">
        <w:rPr>
          <w:i/>
          <w:lang w:val="nl-NL"/>
        </w:rPr>
        <w:t xml:space="preserve"> Omzendbrief van 09/07/2002 betreffende de dringende medische hulp verstrekt aan vreemdelingen die onwettig in het Rijk verblijven - bevoegdheidsregeling </w:t>
      </w:r>
      <w:r w:rsidRPr="006D0278">
        <w:rPr>
          <w:lang w:val="nl-NL" w:eastAsia="nl-NL"/>
        </w:rPr>
        <w:t>).</w:t>
      </w:r>
    </w:p>
    <w:p w:rsidR="008D6529" w:rsidRPr="006D0278" w:rsidRDefault="008D6529" w:rsidP="00F00091">
      <w:pPr>
        <w:autoSpaceDE w:val="0"/>
        <w:autoSpaceDN w:val="0"/>
        <w:adjustRightInd w:val="0"/>
        <w:ind w:left="720"/>
        <w:jc w:val="both"/>
        <w:rPr>
          <w:lang w:val="nl-NL" w:eastAsia="nl-NL"/>
        </w:rPr>
      </w:pPr>
    </w:p>
    <w:p w:rsidR="00CC6ECC" w:rsidRPr="006D0278" w:rsidRDefault="00CC6ECC" w:rsidP="008D6529">
      <w:pPr>
        <w:ind w:left="708"/>
        <w:jc w:val="both"/>
        <w:rPr>
          <w:lang w:val="nl-NL"/>
        </w:rPr>
      </w:pPr>
    </w:p>
    <w:p w:rsidR="00CC6ECC" w:rsidRPr="006D0278" w:rsidRDefault="00BF4C67" w:rsidP="008D6529">
      <w:pPr>
        <w:ind w:left="708"/>
        <w:jc w:val="both"/>
        <w:rPr>
          <w:lang w:val="nl-NL"/>
        </w:rPr>
      </w:pPr>
      <w:r>
        <w:rPr>
          <w:lang w:val="nl-NL"/>
        </w:rPr>
        <w:br w:type="page"/>
      </w:r>
    </w:p>
    <w:p w:rsidR="00B42A88" w:rsidRPr="006D0278" w:rsidRDefault="008E706C" w:rsidP="00BD2403">
      <w:pPr>
        <w:pStyle w:val="Heading3"/>
        <w:ind w:firstLine="0"/>
        <w:jc w:val="both"/>
        <w:rPr>
          <w:b/>
          <w:bCs/>
          <w:sz w:val="24"/>
          <w:u w:val="single"/>
          <w:lang w:val="nl-NL"/>
        </w:rPr>
      </w:pPr>
      <w:bookmarkStart w:id="96" w:name="_Toc510775800"/>
      <w:r w:rsidRPr="006D0278">
        <w:rPr>
          <w:b/>
          <w:bCs/>
          <w:sz w:val="24"/>
          <w:u w:val="single"/>
          <w:lang w:val="nl-NL"/>
        </w:rPr>
        <w:lastRenderedPageBreak/>
        <w:t>3. De bevoegdheidsregel van artikel 2, § 8, van de wet van 2 april 1965 voor de toekenning van een huurwaarborg aan de personen die een opvangstructuur verlaten.</w:t>
      </w:r>
      <w:bookmarkEnd w:id="96"/>
    </w:p>
    <w:p w:rsidR="00B42A88" w:rsidRPr="006D0278" w:rsidRDefault="00B42A88" w:rsidP="00B42A88">
      <w:pPr>
        <w:ind w:left="900"/>
        <w:jc w:val="both"/>
        <w:rPr>
          <w:lang w:val="nl-NL"/>
        </w:rPr>
      </w:pPr>
    </w:p>
    <w:p w:rsidR="009161E4" w:rsidRPr="006D0278" w:rsidRDefault="008E706C" w:rsidP="00955BB0">
      <w:pPr>
        <w:pStyle w:val="Heading4"/>
        <w:ind w:left="720"/>
        <w:rPr>
          <w:rFonts w:cs="Arial"/>
          <w:bCs w:val="0"/>
          <w:lang w:val="nl-NL"/>
        </w:rPr>
      </w:pPr>
      <w:bookmarkStart w:id="97" w:name="_Toc510775801"/>
      <w:r w:rsidRPr="006D0278">
        <w:rPr>
          <w:rFonts w:cs="Arial"/>
          <w:bCs w:val="0"/>
          <w:lang w:val="nl-NL"/>
        </w:rPr>
        <w:t>1. Wettelijke bepaling</w:t>
      </w:r>
      <w:bookmarkEnd w:id="97"/>
    </w:p>
    <w:p w:rsidR="00955BB0" w:rsidRPr="006D0278" w:rsidRDefault="00955BB0" w:rsidP="00955BB0">
      <w:pPr>
        <w:jc w:val="both"/>
        <w:rPr>
          <w:rFonts w:cs="Arial"/>
          <w:lang w:val="nl-NL"/>
        </w:rPr>
      </w:pPr>
    </w:p>
    <w:p w:rsidR="00B267A1" w:rsidRPr="006D0278" w:rsidRDefault="008E706C" w:rsidP="00452184">
      <w:pPr>
        <w:ind w:left="720"/>
        <w:jc w:val="both"/>
        <w:rPr>
          <w:rFonts w:cs="Arial"/>
          <w:lang w:val="nl-NL"/>
        </w:rPr>
      </w:pPr>
      <w:r w:rsidRPr="006D0278">
        <w:rPr>
          <w:rFonts w:cs="Arial"/>
          <w:lang w:val="nl-NL"/>
        </w:rPr>
        <w:t>Wanneer de personen een opvangstructuur voor asielzoekers verlaten en geen code 207 meer ontvangen, is voortaan een specifieke territoriale bevoegdheidsregel van de OCMW's voorzien voor de toekenning van de huurwaarborg.</w:t>
      </w:r>
    </w:p>
    <w:p w:rsidR="00B267A1" w:rsidRPr="006D0278" w:rsidRDefault="00B267A1" w:rsidP="00B42A88">
      <w:pPr>
        <w:ind w:left="900"/>
        <w:jc w:val="both"/>
        <w:rPr>
          <w:lang w:val="nl-NL"/>
        </w:rPr>
      </w:pPr>
    </w:p>
    <w:p w:rsidR="00E26B18" w:rsidRPr="006D0278" w:rsidRDefault="008E706C" w:rsidP="00452184">
      <w:pPr>
        <w:ind w:left="720"/>
        <w:jc w:val="both"/>
        <w:rPr>
          <w:lang w:val="nl-NL"/>
        </w:rPr>
      </w:pPr>
      <w:r w:rsidRPr="006D0278">
        <w:rPr>
          <w:rFonts w:cs="Arial"/>
          <w:lang w:val="nl-NL"/>
        </w:rPr>
        <w:t xml:space="preserve">Zo werd een nieuwe paragraaf 8 ingevoegd in artikel 2 van de wet van 02/04/1965 door artikel 6 van de programmawet van 22 december 2008 (BS 29.12.2008) die in werking is getreden op 8 januari 2009. </w:t>
      </w:r>
    </w:p>
    <w:p w:rsidR="00E26B18" w:rsidRPr="006D0278" w:rsidRDefault="00E26B18" w:rsidP="00493C80">
      <w:pPr>
        <w:ind w:left="1120"/>
        <w:jc w:val="both"/>
        <w:rPr>
          <w:lang w:val="nl-NL"/>
        </w:rPr>
      </w:pPr>
    </w:p>
    <w:p w:rsidR="00452184" w:rsidRDefault="008E706C" w:rsidP="00E26811">
      <w:pPr>
        <w:ind w:left="720"/>
        <w:jc w:val="both"/>
        <w:rPr>
          <w:lang w:val="nl-NL"/>
        </w:rPr>
      </w:pPr>
      <w:r w:rsidRPr="006D0278">
        <w:rPr>
          <w:lang w:val="nl-NL"/>
        </w:rPr>
        <w:t>Het nieuwe artikel 2, §8, van de wet van 1965 april betreffende het ten laste nemen van de steun verleend door de openbare centra voor maatschappelijk welzijn bepaalt dat:</w:t>
      </w:r>
    </w:p>
    <w:p w:rsidR="003F1927" w:rsidRPr="006D0278" w:rsidRDefault="003F1927" w:rsidP="00E26811">
      <w:pPr>
        <w:ind w:left="720"/>
        <w:jc w:val="both"/>
        <w:rPr>
          <w:highlight w:val="yellow"/>
          <w:lang w:val="nl-NL"/>
        </w:rPr>
      </w:pPr>
    </w:p>
    <w:p w:rsidR="00214DA1" w:rsidRPr="006D0278" w:rsidRDefault="008E706C" w:rsidP="009D6688">
      <w:pPr>
        <w:widowControl w:val="0"/>
        <w:pBdr>
          <w:top w:val="dashed" w:sz="4" w:space="1" w:color="auto"/>
          <w:left w:val="dashed" w:sz="4" w:space="4" w:color="auto"/>
          <w:bottom w:val="dashed" w:sz="4" w:space="1" w:color="auto"/>
          <w:right w:val="dashed" w:sz="4" w:space="4" w:color="auto"/>
        </w:pBdr>
        <w:shd w:val="clear" w:color="auto" w:fill="CC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lang w:val="nl-NL"/>
        </w:rPr>
      </w:pPr>
      <w:r w:rsidRPr="006D0278">
        <w:rPr>
          <w:shd w:val="clear" w:color="auto" w:fill="CCFFFF"/>
          <w:lang w:val="nl-NL"/>
        </w:rPr>
        <w:t>"</w:t>
      </w:r>
      <w:r w:rsidRPr="006D0278">
        <w:rPr>
          <w:i/>
          <w:shd w:val="clear" w:color="auto" w:fill="CCFFFF"/>
          <w:lang w:val="nl-NL"/>
        </w:rPr>
        <w:t>In afwijking van artikel 1, 1°, is het openbaar centrum voor maatschappelijk welzijn van de gemeente waar de woonst zich bevindt waarvoor de betrokkene de huurwaarborg vraagt, bevoegd om deze hulp te verlenen bij het verlaten van een opvangstructuur in de zin van artikel 2, 10°, van de wet van 12 januari 2007 betreffende de opvang van asielzoekers en van bepaalde andere categorieën van vreemdelingen.</w:t>
      </w:r>
      <w:r w:rsidRPr="006D0278">
        <w:rPr>
          <w:shd w:val="clear" w:color="auto" w:fill="CCFFFF"/>
          <w:lang w:val="nl-NL"/>
        </w:rPr>
        <w:t>."</w:t>
      </w:r>
    </w:p>
    <w:p w:rsidR="00493C80" w:rsidRDefault="00493C80" w:rsidP="00493C80">
      <w:pPr>
        <w:pStyle w:val="Letter"/>
        <w:spacing w:line="288" w:lineRule="auto"/>
        <w:jc w:val="both"/>
        <w:rPr>
          <w:rFonts w:ascii="Times New Roman" w:hAnsi="Times New Roman"/>
          <w:sz w:val="24"/>
          <w:szCs w:val="24"/>
          <w:lang w:val="nl-NL"/>
        </w:rPr>
      </w:pPr>
    </w:p>
    <w:p w:rsidR="00452184" w:rsidRPr="006D0278" w:rsidRDefault="00452184" w:rsidP="00493C80">
      <w:pPr>
        <w:pStyle w:val="Letter"/>
        <w:spacing w:line="288" w:lineRule="auto"/>
        <w:jc w:val="both"/>
        <w:rPr>
          <w:rFonts w:ascii="Times New Roman" w:hAnsi="Times New Roman"/>
          <w:sz w:val="24"/>
          <w:szCs w:val="24"/>
          <w:lang w:val="nl-NL"/>
        </w:rPr>
      </w:pPr>
    </w:p>
    <w:p w:rsidR="00B42A88" w:rsidRPr="006D0278" w:rsidRDefault="008E706C" w:rsidP="00955BB0">
      <w:pPr>
        <w:pStyle w:val="Heading4"/>
        <w:ind w:left="540" w:firstLine="360"/>
        <w:rPr>
          <w:bCs w:val="0"/>
          <w:lang w:val="nl-NL"/>
        </w:rPr>
      </w:pPr>
      <w:bookmarkStart w:id="98" w:name="_Toc184114064"/>
      <w:bookmarkStart w:id="99" w:name="_Toc510775802"/>
      <w:r w:rsidRPr="006D0278">
        <w:rPr>
          <w:bCs w:val="0"/>
          <w:lang w:val="nl-NL"/>
        </w:rPr>
        <w:t xml:space="preserve">2. </w:t>
      </w:r>
      <w:bookmarkEnd w:id="98"/>
      <w:r w:rsidRPr="006D0278">
        <w:rPr>
          <w:bCs w:val="0"/>
          <w:lang w:val="nl-NL"/>
        </w:rPr>
        <w:t>Opmerkingen over de toepassing van artikel 2, § 8, van de wet van 02/04/65</w:t>
      </w:r>
      <w:bookmarkEnd w:id="99"/>
    </w:p>
    <w:p w:rsidR="00CC6ECC" w:rsidRPr="006D0278" w:rsidRDefault="00CC6ECC" w:rsidP="00CC6ECC">
      <w:pPr>
        <w:pStyle w:val="Heading4"/>
        <w:rPr>
          <w:b w:val="0"/>
          <w:bCs w:val="0"/>
          <w:lang w:val="nl-NL"/>
        </w:rPr>
      </w:pPr>
    </w:p>
    <w:p w:rsidR="008D6529" w:rsidRPr="006D0278" w:rsidRDefault="008E706C" w:rsidP="00955BB0">
      <w:pPr>
        <w:pStyle w:val="Heading5"/>
        <w:ind w:left="720" w:firstLine="720"/>
        <w:rPr>
          <w:rFonts w:ascii="Times New Roman" w:hAnsi="Times New Roman"/>
          <w:iCs w:val="0"/>
          <w:u w:val="single"/>
        </w:rPr>
      </w:pPr>
      <w:bookmarkStart w:id="100" w:name="_Toc510775803"/>
      <w:r w:rsidRPr="006D0278">
        <w:rPr>
          <w:rFonts w:ascii="Times New Roman" w:hAnsi="Times New Roman"/>
          <w:iCs w:val="0"/>
          <w:u w:val="single"/>
        </w:rPr>
        <w:t>2.1. Toepassingsgebied van artikel 2, § 8, van de wet van 02/04/65</w:t>
      </w:r>
      <w:bookmarkEnd w:id="100"/>
    </w:p>
    <w:p w:rsidR="008D6529" w:rsidRPr="006D0278" w:rsidRDefault="008D6529" w:rsidP="008D6529">
      <w:pPr>
        <w:pStyle w:val="Letter"/>
        <w:ind w:left="1080"/>
        <w:jc w:val="both"/>
        <w:rPr>
          <w:rFonts w:ascii="Times New Roman" w:hAnsi="Times New Roman"/>
          <w:sz w:val="24"/>
          <w:szCs w:val="24"/>
          <w:lang w:val="nl-NL"/>
        </w:rPr>
      </w:pPr>
    </w:p>
    <w:p w:rsidR="008D6529" w:rsidRPr="006D0278" w:rsidRDefault="008E706C" w:rsidP="00955BB0">
      <w:pPr>
        <w:pStyle w:val="Heading7"/>
        <w:ind w:left="708" w:firstLine="720"/>
        <w:rPr>
          <w:bCs/>
          <w:i/>
        </w:rPr>
      </w:pPr>
      <w:r w:rsidRPr="006D0278">
        <w:rPr>
          <w:bCs/>
          <w:i/>
        </w:rPr>
        <w:t xml:space="preserve">1) Wat de geholpen persoon betreft </w:t>
      </w:r>
    </w:p>
    <w:p w:rsidR="008D6529" w:rsidRPr="006D0278" w:rsidRDefault="008D6529" w:rsidP="008D6529">
      <w:pPr>
        <w:pStyle w:val="Heading3"/>
        <w:spacing w:before="0" w:after="0"/>
        <w:ind w:left="720" w:firstLine="0"/>
        <w:jc w:val="both"/>
        <w:rPr>
          <w:sz w:val="24"/>
          <w:szCs w:val="24"/>
          <w:lang w:val="nl-NL"/>
        </w:rPr>
      </w:pPr>
    </w:p>
    <w:p w:rsidR="00E26B18" w:rsidRPr="006D0278" w:rsidRDefault="008E706C" w:rsidP="00CC6ECC">
      <w:pPr>
        <w:ind w:left="720"/>
        <w:jc w:val="both"/>
        <w:rPr>
          <w:lang w:val="nl-NL"/>
        </w:rPr>
      </w:pPr>
      <w:r w:rsidRPr="006D0278">
        <w:rPr>
          <w:lang w:val="nl-NL"/>
        </w:rPr>
        <w:t xml:space="preserve">De bevoegdheidsregel van artikel 2, §8, van de wet van 02/04/65 is van toepassing op alle personen die het recht hebben om een opvangstructuur te verlaten, in de zin van artikel 2, 10° van de wet van 12 januari 2007 betreffende de opvang van asielzoekers en van bepaalde andere categorieën van vreemdelingen, of het nu gaat om erkende vluchtelingen, geregulariseerden of asielzoekers. </w:t>
      </w:r>
    </w:p>
    <w:p w:rsidR="008D6529" w:rsidRPr="006D0278" w:rsidRDefault="008D6529" w:rsidP="008D6529">
      <w:pPr>
        <w:pStyle w:val="Letter"/>
        <w:jc w:val="both"/>
        <w:rPr>
          <w:rFonts w:ascii="Times New Roman" w:hAnsi="Times New Roman"/>
          <w:sz w:val="24"/>
          <w:szCs w:val="24"/>
          <w:lang w:val="nl-NL"/>
        </w:rPr>
      </w:pPr>
    </w:p>
    <w:p w:rsidR="008D6529" w:rsidRPr="006D0278" w:rsidRDefault="008E706C" w:rsidP="008D6529">
      <w:pPr>
        <w:jc w:val="both"/>
        <w:rPr>
          <w:iCs/>
          <w:lang w:val="nl-NL"/>
        </w:rPr>
      </w:pPr>
      <w:r w:rsidRPr="006D0278">
        <w:rPr>
          <w:iCs/>
          <w:lang w:val="nl-NL"/>
        </w:rPr>
        <w:t xml:space="preserve"> </w:t>
      </w:r>
    </w:p>
    <w:p w:rsidR="008D6529" w:rsidRPr="006D0278" w:rsidRDefault="008E706C" w:rsidP="00955BB0">
      <w:pPr>
        <w:pStyle w:val="Heading7"/>
        <w:ind w:left="708" w:firstLine="720"/>
        <w:rPr>
          <w:bCs/>
          <w:i/>
          <w:iCs/>
        </w:rPr>
      </w:pPr>
      <w:r w:rsidRPr="006D0278">
        <w:rPr>
          <w:bCs/>
          <w:i/>
          <w:iCs/>
        </w:rPr>
        <w:t>2) Wat de aard van de steun betreft</w:t>
      </w:r>
    </w:p>
    <w:p w:rsidR="008D6529" w:rsidRPr="006D0278" w:rsidRDefault="008D6529" w:rsidP="008D6529">
      <w:pPr>
        <w:ind w:firstLine="720"/>
        <w:jc w:val="both"/>
        <w:rPr>
          <w:lang w:val="nl-NL"/>
        </w:rPr>
      </w:pPr>
    </w:p>
    <w:p w:rsidR="008D6529" w:rsidRPr="006D0278" w:rsidRDefault="008E706C" w:rsidP="00CC6ECC">
      <w:pPr>
        <w:ind w:left="720"/>
        <w:jc w:val="both"/>
        <w:rPr>
          <w:lang w:val="nl-NL"/>
        </w:rPr>
      </w:pPr>
      <w:r w:rsidRPr="006D0278">
        <w:rPr>
          <w:lang w:val="nl-NL"/>
        </w:rPr>
        <w:t xml:space="preserve">De gevraagde steun is een </w:t>
      </w:r>
      <w:r w:rsidRPr="006D0278">
        <w:rPr>
          <w:u w:val="single"/>
          <w:lang w:val="nl-NL"/>
        </w:rPr>
        <w:t>huurwaarborg</w:t>
      </w:r>
      <w:r w:rsidRPr="006D0278">
        <w:rPr>
          <w:lang w:val="nl-NL"/>
        </w:rPr>
        <w:t xml:space="preserve"> toe te kennen </w:t>
      </w:r>
      <w:r w:rsidRPr="006D0278">
        <w:rPr>
          <w:u w:val="single"/>
          <w:lang w:val="nl-NL"/>
        </w:rPr>
        <w:t xml:space="preserve">bij het verlaten </w:t>
      </w:r>
      <w:r w:rsidRPr="006D0278">
        <w:rPr>
          <w:shd w:val="clear" w:color="auto" w:fill="FFFFFF"/>
          <w:lang w:val="nl-NL"/>
        </w:rPr>
        <w:t>van een opvangstructuur.</w:t>
      </w:r>
    </w:p>
    <w:p w:rsidR="008D6529" w:rsidRPr="006D0278" w:rsidRDefault="008D6529" w:rsidP="008D6529">
      <w:pPr>
        <w:ind w:left="720"/>
        <w:jc w:val="both"/>
        <w:rPr>
          <w:lang w:val="nl-NL"/>
        </w:rPr>
      </w:pPr>
    </w:p>
    <w:p w:rsidR="00627101" w:rsidRPr="006D0278" w:rsidRDefault="008E706C" w:rsidP="00CC6ECC">
      <w:pPr>
        <w:pStyle w:val="Letter"/>
        <w:ind w:left="720"/>
        <w:jc w:val="both"/>
        <w:rPr>
          <w:rFonts w:ascii="Times New Roman" w:hAnsi="Times New Roman"/>
          <w:sz w:val="24"/>
          <w:szCs w:val="24"/>
          <w:lang w:val="nl-NL"/>
        </w:rPr>
      </w:pPr>
      <w:r w:rsidRPr="006D0278">
        <w:rPr>
          <w:rFonts w:ascii="Times New Roman" w:hAnsi="Times New Roman"/>
          <w:sz w:val="24"/>
          <w:szCs w:val="24"/>
          <w:lang w:val="nl-NL"/>
        </w:rPr>
        <w:t xml:space="preserve">Wat de anderen soorten steun betreft die eventueel kunnen worden toegekend aan een asielzoeker (financiële steun, eerste huur, installatiepremie), </w:t>
      </w:r>
      <w:r w:rsidRPr="006D0278">
        <w:rPr>
          <w:rFonts w:ascii="Times New Roman" w:hAnsi="Times New Roman"/>
          <w:sz w:val="24"/>
          <w:szCs w:val="24"/>
          <w:u w:val="single"/>
          <w:lang w:val="nl-NL"/>
        </w:rPr>
        <w:t xml:space="preserve"> is artikel 2, § 5, </w:t>
      </w:r>
      <w:r w:rsidRPr="006D0278">
        <w:rPr>
          <w:rFonts w:ascii="Times New Roman" w:hAnsi="Times New Roman"/>
          <w:sz w:val="24"/>
          <w:szCs w:val="24"/>
          <w:lang w:val="nl-NL"/>
        </w:rPr>
        <w:t xml:space="preserve"> lid 1, van de wet van 2 april 1965 van toepassing om het bevoegde OCMW te bepalen om deze steunaanvraag te onderzoeken, aangezien de asielprocedure van de betrokkene nog steeds loopt. Het OCMW van de gemeente waar de asielzoeker is ingeschreven in het wachtregister is bevoegd om zijn steunaanvraag (financiële steun, eerste hulp, installatiepremie) te onderzoeken.</w:t>
      </w:r>
    </w:p>
    <w:p w:rsidR="008D6529" w:rsidRPr="006D0278" w:rsidRDefault="008E706C" w:rsidP="00955BB0">
      <w:pPr>
        <w:pStyle w:val="Heading7"/>
        <w:ind w:left="708" w:firstLine="720"/>
        <w:rPr>
          <w:bCs/>
          <w:i/>
          <w:iCs/>
        </w:rPr>
      </w:pPr>
      <w:bookmarkStart w:id="101" w:name="_Toc286908960"/>
      <w:r w:rsidRPr="006D0278">
        <w:rPr>
          <w:bCs/>
          <w:i/>
          <w:iCs/>
        </w:rPr>
        <w:lastRenderedPageBreak/>
        <w:t>3) Wat het ogenblik van de steunaanvraag betreft</w:t>
      </w:r>
      <w:bookmarkEnd w:id="101"/>
    </w:p>
    <w:p w:rsidR="008D6529" w:rsidRPr="006D0278" w:rsidRDefault="008D6529" w:rsidP="008D6529">
      <w:pPr>
        <w:rPr>
          <w:lang w:val="nl-NL"/>
        </w:rPr>
      </w:pPr>
    </w:p>
    <w:p w:rsidR="008D6529" w:rsidRPr="006D0278" w:rsidRDefault="008E706C" w:rsidP="00CC6ECC">
      <w:pPr>
        <w:ind w:left="720"/>
        <w:jc w:val="both"/>
        <w:rPr>
          <w:lang w:val="nl-NL"/>
        </w:rPr>
      </w:pPr>
      <w:r w:rsidRPr="006D0278">
        <w:rPr>
          <w:lang w:val="nl-NL"/>
        </w:rPr>
        <w:t xml:space="preserve">De gevraagde steun moet worden toegekend </w:t>
      </w:r>
      <w:r w:rsidRPr="006D0278">
        <w:rPr>
          <w:u w:val="single"/>
          <w:lang w:val="nl-NL"/>
        </w:rPr>
        <w:t>bij het verlaten</w:t>
      </w:r>
      <w:r w:rsidRPr="006D0278">
        <w:rPr>
          <w:shd w:val="clear" w:color="auto" w:fill="FFFFFF"/>
          <w:lang w:val="nl-NL"/>
        </w:rPr>
        <w:t xml:space="preserve"> van een opvangstructuur. De aanvraag tot toekenning van een huurwaarborg moet dus worden ingediend voor het verlaten van de opvangstructuur. </w:t>
      </w:r>
    </w:p>
    <w:p w:rsidR="008D6529" w:rsidRPr="006D0278" w:rsidRDefault="008E706C" w:rsidP="008D6529">
      <w:pPr>
        <w:ind w:left="720"/>
        <w:jc w:val="both"/>
        <w:rPr>
          <w:lang w:val="nl-NL"/>
        </w:rPr>
      </w:pPr>
      <w:r w:rsidRPr="006D0278">
        <w:rPr>
          <w:lang w:val="nl-NL"/>
        </w:rPr>
        <w:t xml:space="preserve"> </w:t>
      </w:r>
    </w:p>
    <w:p w:rsidR="008D6529" w:rsidRPr="006D0278" w:rsidRDefault="008E706C" w:rsidP="00CC6ECC">
      <w:pPr>
        <w:ind w:left="720"/>
        <w:jc w:val="both"/>
        <w:rPr>
          <w:lang w:val="nl-NL"/>
        </w:rPr>
      </w:pPr>
      <w:r w:rsidRPr="006D0278">
        <w:rPr>
          <w:lang w:val="nl-NL"/>
        </w:rPr>
        <w:t xml:space="preserve">Zoals werd verduidelijkt tijdens de voorbereidende werkzaamheden van artikel 6 van de programmawet van 22 december 2008 </w:t>
      </w:r>
      <w:r w:rsidR="008D6529" w:rsidRPr="00D76619">
        <w:rPr>
          <w:rStyle w:val="FootnoteReference"/>
        </w:rPr>
        <w:footnoteReference w:id="6"/>
      </w:r>
      <w:r w:rsidRPr="006D0278">
        <w:rPr>
          <w:lang w:val="nl-NL"/>
        </w:rPr>
        <w:t>, is deze specifieke regel niet van toepassing wanneer de persoon de opvangstructuur reeds heeft verlaten en zich reeds in een woning heeft gevestigd of dakloos is geworden.</w:t>
      </w:r>
    </w:p>
    <w:p w:rsidR="008D6529" w:rsidRPr="006D0278" w:rsidRDefault="008D6529" w:rsidP="008D6529">
      <w:pPr>
        <w:ind w:left="720"/>
        <w:jc w:val="both"/>
        <w:rPr>
          <w:lang w:val="nl-NL"/>
        </w:rPr>
      </w:pPr>
    </w:p>
    <w:p w:rsidR="008D6529" w:rsidRPr="006D0278" w:rsidRDefault="008E706C" w:rsidP="00CC6ECC">
      <w:pPr>
        <w:pStyle w:val="Letter"/>
        <w:ind w:left="720"/>
        <w:jc w:val="both"/>
        <w:rPr>
          <w:rFonts w:ascii="Times New Roman" w:hAnsi="Times New Roman"/>
          <w:sz w:val="24"/>
          <w:szCs w:val="24"/>
          <w:lang w:val="nl-NL"/>
        </w:rPr>
      </w:pPr>
      <w:r w:rsidRPr="006D0278">
        <w:rPr>
          <w:rFonts w:ascii="Times New Roman" w:hAnsi="Times New Roman"/>
          <w:sz w:val="24"/>
          <w:szCs w:val="24"/>
          <w:lang w:val="nl-NL"/>
        </w:rPr>
        <w:t xml:space="preserve">Deze regel is van toepassing wanneer de asielzoeker een aanvraag indient tot toekenning van een huurwaarborg met het oog op het verlaten van de opvangstructuur. Hij is dus niet van toepassing wanneer de persoon niet meer in de opvangstructuur verblijft en deze reeds heeft verlaten op het ogenblik van de invoering van zijn aanvraag tot huurwaarborg. </w:t>
      </w:r>
    </w:p>
    <w:p w:rsidR="008D6529" w:rsidRPr="006D0278" w:rsidRDefault="008D6529" w:rsidP="008D6529">
      <w:pPr>
        <w:pStyle w:val="Letter"/>
        <w:ind w:left="1080"/>
        <w:jc w:val="both"/>
        <w:rPr>
          <w:rFonts w:ascii="Times New Roman" w:hAnsi="Times New Roman"/>
          <w:sz w:val="24"/>
          <w:szCs w:val="24"/>
          <w:lang w:val="nl-NL"/>
        </w:rPr>
      </w:pPr>
    </w:p>
    <w:p w:rsidR="008D6529" w:rsidRDefault="008D6529" w:rsidP="008D6529">
      <w:pPr>
        <w:pStyle w:val="Letter"/>
        <w:ind w:left="1080"/>
        <w:jc w:val="both"/>
        <w:rPr>
          <w:rFonts w:ascii="Times New Roman" w:hAnsi="Times New Roman"/>
          <w:sz w:val="24"/>
          <w:szCs w:val="24"/>
          <w:lang w:val="nl-NL"/>
        </w:rPr>
      </w:pPr>
    </w:p>
    <w:p w:rsidR="000A1966" w:rsidRPr="006D0278" w:rsidRDefault="000A1966" w:rsidP="008D6529">
      <w:pPr>
        <w:pStyle w:val="Letter"/>
        <w:ind w:left="1080"/>
        <w:jc w:val="both"/>
        <w:rPr>
          <w:rFonts w:ascii="Times New Roman" w:hAnsi="Times New Roman"/>
          <w:sz w:val="24"/>
          <w:szCs w:val="24"/>
          <w:lang w:val="nl-NL"/>
        </w:rPr>
      </w:pPr>
    </w:p>
    <w:p w:rsidR="00627101" w:rsidRPr="006D0278" w:rsidRDefault="008E706C" w:rsidP="00955BB0">
      <w:pPr>
        <w:pStyle w:val="Heading5"/>
        <w:ind w:left="720" w:firstLine="720"/>
        <w:rPr>
          <w:rFonts w:ascii="Times New Roman" w:hAnsi="Times New Roman"/>
          <w:iCs w:val="0"/>
          <w:u w:val="single"/>
        </w:rPr>
      </w:pPr>
      <w:bookmarkStart w:id="102" w:name="_Toc510775804"/>
      <w:r w:rsidRPr="006D0278">
        <w:rPr>
          <w:rFonts w:ascii="Times New Roman" w:hAnsi="Times New Roman"/>
          <w:iCs w:val="0"/>
          <w:u w:val="single"/>
        </w:rPr>
        <w:t>2.2. Het OCMW bevoegd voor de huurwaarborg</w:t>
      </w:r>
      <w:bookmarkEnd w:id="102"/>
    </w:p>
    <w:p w:rsidR="00627101" w:rsidRPr="006D0278" w:rsidRDefault="00627101" w:rsidP="00627101">
      <w:pPr>
        <w:rPr>
          <w:lang w:val="nl-NL"/>
        </w:rPr>
      </w:pPr>
    </w:p>
    <w:p w:rsidR="00627101" w:rsidRPr="006D0278" w:rsidRDefault="008E706C" w:rsidP="00CC6ECC">
      <w:pPr>
        <w:pStyle w:val="Opmaakprofiel1"/>
        <w:ind w:left="720"/>
        <w:rPr>
          <w:u w:val="none"/>
        </w:rPr>
      </w:pPr>
      <w:r w:rsidRPr="006D0278">
        <w:rPr>
          <w:u w:val="none"/>
        </w:rPr>
        <w:t xml:space="preserve">Wanneer een </w:t>
      </w:r>
      <w:r w:rsidR="00722E6B">
        <w:rPr>
          <w:u w:val="none"/>
        </w:rPr>
        <w:t>persoon</w:t>
      </w:r>
      <w:r w:rsidRPr="006D0278">
        <w:rPr>
          <w:u w:val="none"/>
        </w:rPr>
        <w:t xml:space="preserve"> het recht heeft om een opvangstructuur te verlaten en hij een   aanvraag tot huurwaarborg heeft ingediend om de opvangstructuur te kunnen verlaten en zich in een woning te vestigen, is de specifieke bevoegdheidsr</w:t>
      </w:r>
      <w:r w:rsidR="005A58F8">
        <w:rPr>
          <w:u w:val="none"/>
        </w:rPr>
        <w:t xml:space="preserve">egel van artikel 2, § 8, van de </w:t>
      </w:r>
      <w:r w:rsidRPr="006D0278">
        <w:rPr>
          <w:u w:val="none"/>
        </w:rPr>
        <w:t xml:space="preserve">wet van 2 april 1965 van toepassing om het bevoegde OCMW te bepalen om de aanvraag tot huurwaarborg </w:t>
      </w:r>
      <w:r w:rsidR="00722E6B" w:rsidRPr="006D0278">
        <w:rPr>
          <w:u w:val="none"/>
        </w:rPr>
        <w:t xml:space="preserve">te </w:t>
      </w:r>
      <w:r w:rsidRPr="006D0278">
        <w:rPr>
          <w:u w:val="none"/>
        </w:rPr>
        <w:t xml:space="preserve">onderzoeken. </w:t>
      </w:r>
    </w:p>
    <w:p w:rsidR="00627101" w:rsidRPr="006D0278" w:rsidRDefault="00CC6ECC" w:rsidP="00627101">
      <w:pPr>
        <w:pStyle w:val="Opmaakprofiel1"/>
        <w:ind w:left="720"/>
        <w:rPr>
          <w:u w:val="none"/>
        </w:rPr>
      </w:pPr>
      <w:r w:rsidRPr="006D0278">
        <w:rPr>
          <w:u w:val="none"/>
        </w:rPr>
        <w:tab/>
      </w:r>
    </w:p>
    <w:p w:rsidR="00627101" w:rsidRPr="006D0278" w:rsidRDefault="008E706C" w:rsidP="00CC6ECC">
      <w:pPr>
        <w:pStyle w:val="Opmaakprofiel1"/>
        <w:ind w:left="720"/>
        <w:rPr>
          <w:u w:val="none"/>
          <w:lang w:eastAsia="nl-NL"/>
        </w:rPr>
      </w:pPr>
      <w:r w:rsidRPr="006D0278">
        <w:rPr>
          <w:u w:val="none"/>
        </w:rPr>
        <w:t>Het</w:t>
      </w:r>
      <w:r w:rsidRPr="006D0278">
        <w:t xml:space="preserve"> OCMW van de </w:t>
      </w:r>
      <w:r w:rsidR="00722E6B" w:rsidRPr="006D0278">
        <w:t>gemeente</w:t>
      </w:r>
      <w:r w:rsidRPr="006D0278">
        <w:t xml:space="preserve"> waar de woning zich </w:t>
      </w:r>
      <w:r w:rsidR="00921B1B" w:rsidRPr="006D0278">
        <w:t xml:space="preserve">bevindt </w:t>
      </w:r>
      <w:r w:rsidRPr="006D0278">
        <w:rPr>
          <w:u w:val="none"/>
        </w:rPr>
        <w:t>waarvoor de betrokkene de huurwaarborg aanvraagt en waarin hij zich zal vestigen na het verlaten van het opvangcentrum is bevoegd om de huurwaarborg te onderzoeken.</w:t>
      </w:r>
    </w:p>
    <w:p w:rsidR="00CC6ECC" w:rsidRDefault="00CC6ECC" w:rsidP="00BF4C67">
      <w:pPr>
        <w:pStyle w:val="Letter"/>
        <w:ind w:left="1080"/>
        <w:jc w:val="both"/>
        <w:rPr>
          <w:lang w:val="nl-NL"/>
        </w:rPr>
      </w:pPr>
    </w:p>
    <w:p w:rsidR="000A1966" w:rsidRDefault="000A1966" w:rsidP="00BF4C67">
      <w:pPr>
        <w:pStyle w:val="Letter"/>
        <w:ind w:left="1080"/>
        <w:jc w:val="both"/>
        <w:rPr>
          <w:lang w:val="nl-NL"/>
        </w:rPr>
      </w:pPr>
    </w:p>
    <w:p w:rsidR="000A1966" w:rsidRPr="00C564F6" w:rsidRDefault="000A1966" w:rsidP="00BF4C67">
      <w:pPr>
        <w:pStyle w:val="Letter"/>
        <w:ind w:left="1080"/>
        <w:jc w:val="both"/>
        <w:rPr>
          <w:lang w:val="nl-NL"/>
        </w:rPr>
      </w:pPr>
    </w:p>
    <w:p w:rsidR="00627101" w:rsidRPr="006D0278" w:rsidRDefault="008E706C" w:rsidP="00955BB0">
      <w:pPr>
        <w:pStyle w:val="Heading5"/>
        <w:ind w:left="1440"/>
        <w:jc w:val="both"/>
        <w:rPr>
          <w:rFonts w:ascii="Times New Roman" w:hAnsi="Times New Roman"/>
          <w:iCs w:val="0"/>
          <w:u w:val="single"/>
        </w:rPr>
      </w:pPr>
      <w:bookmarkStart w:id="103" w:name="_Toc510775805"/>
      <w:bookmarkStart w:id="104" w:name="_Toc70850290"/>
      <w:r w:rsidRPr="006D0278">
        <w:rPr>
          <w:rFonts w:ascii="Times New Roman" w:hAnsi="Times New Roman"/>
          <w:iCs w:val="0"/>
          <w:u w:val="single"/>
        </w:rPr>
        <w:t>2.3. Het OCMW dat bevoegd is om de andere vormen van maatschappelijke hulp dan de huurwaarborg toe te kennen aan de personen die de opvangstructuren verlaten</w:t>
      </w:r>
      <w:bookmarkEnd w:id="103"/>
    </w:p>
    <w:p w:rsidR="00904A8F" w:rsidRPr="006D0278" w:rsidRDefault="00904A8F" w:rsidP="00904A8F">
      <w:pPr>
        <w:rPr>
          <w:lang w:val="nl-NL"/>
        </w:rPr>
      </w:pPr>
    </w:p>
    <w:p w:rsidR="009161E4" w:rsidRPr="006D0278" w:rsidRDefault="009161E4" w:rsidP="009161E4">
      <w:pPr>
        <w:rPr>
          <w:lang w:val="nl-NL"/>
        </w:rPr>
      </w:pPr>
    </w:p>
    <w:p w:rsidR="00627101" w:rsidRPr="006D0278" w:rsidRDefault="008E706C" w:rsidP="00955BB0">
      <w:pPr>
        <w:pStyle w:val="Heading7"/>
        <w:ind w:left="708" w:firstLine="720"/>
        <w:rPr>
          <w:bCs/>
          <w:i/>
          <w:iCs/>
        </w:rPr>
      </w:pPr>
      <w:bookmarkStart w:id="105" w:name="_Toc286908964"/>
      <w:r w:rsidRPr="006D0278">
        <w:rPr>
          <w:bCs/>
          <w:i/>
          <w:iCs/>
        </w:rPr>
        <w:t>1) Kandidaat-vluchtelingen</w:t>
      </w:r>
      <w:bookmarkEnd w:id="105"/>
    </w:p>
    <w:p w:rsidR="00627101" w:rsidRPr="006D0278" w:rsidRDefault="00627101" w:rsidP="00627101">
      <w:pPr>
        <w:pStyle w:val="Letter"/>
        <w:ind w:left="360"/>
        <w:jc w:val="both"/>
        <w:rPr>
          <w:rFonts w:ascii="Times New Roman" w:hAnsi="Times New Roman"/>
          <w:sz w:val="24"/>
          <w:szCs w:val="24"/>
          <w:u w:val="single"/>
          <w:lang w:val="nl-NL"/>
        </w:rPr>
      </w:pPr>
    </w:p>
    <w:p w:rsidR="00627101" w:rsidRPr="006D0278" w:rsidRDefault="008E706C" w:rsidP="00CC6ECC">
      <w:pPr>
        <w:pStyle w:val="Letter"/>
        <w:ind w:left="720"/>
        <w:jc w:val="both"/>
        <w:rPr>
          <w:rFonts w:ascii="Times New Roman" w:hAnsi="Times New Roman"/>
          <w:sz w:val="24"/>
          <w:szCs w:val="24"/>
          <w:lang w:val="nl-NL"/>
        </w:rPr>
      </w:pPr>
      <w:r w:rsidRPr="006D0278">
        <w:rPr>
          <w:rFonts w:ascii="Times New Roman" w:hAnsi="Times New Roman"/>
          <w:sz w:val="24"/>
          <w:szCs w:val="24"/>
          <w:u w:val="single"/>
          <w:lang w:val="nl-NL"/>
        </w:rPr>
        <w:t>Artikel 2, §5,</w:t>
      </w:r>
      <w:r w:rsidRPr="006D0278">
        <w:rPr>
          <w:rFonts w:ascii="Times New Roman" w:hAnsi="Times New Roman"/>
          <w:sz w:val="24"/>
          <w:szCs w:val="24"/>
          <w:lang w:val="nl-NL"/>
        </w:rPr>
        <w:t xml:space="preserve"> lid 1, van de wet van 2 april 1965 is van toepassing op het bevoegde OCMW te bepalen, aangezien de asielprocedure van de betrokkene nog steeds loopt. </w:t>
      </w:r>
    </w:p>
    <w:p w:rsidR="00627101" w:rsidRPr="006D0278" w:rsidRDefault="00627101" w:rsidP="00627101">
      <w:pPr>
        <w:pStyle w:val="Letter"/>
        <w:ind w:left="357"/>
        <w:jc w:val="both"/>
        <w:rPr>
          <w:rFonts w:ascii="Times New Roman" w:hAnsi="Times New Roman"/>
          <w:sz w:val="24"/>
          <w:szCs w:val="24"/>
          <w:lang w:val="nl-NL"/>
        </w:rPr>
      </w:pPr>
    </w:p>
    <w:p w:rsidR="00627101" w:rsidRPr="006D0278" w:rsidRDefault="008E706C" w:rsidP="00CC6ECC">
      <w:pPr>
        <w:pStyle w:val="Letter"/>
        <w:ind w:left="720"/>
        <w:jc w:val="both"/>
        <w:rPr>
          <w:rFonts w:ascii="Times New Roman" w:hAnsi="Times New Roman"/>
          <w:sz w:val="24"/>
          <w:szCs w:val="24"/>
          <w:lang w:val="nl-NL"/>
        </w:rPr>
      </w:pPr>
      <w:r w:rsidRPr="006D0278">
        <w:rPr>
          <w:rFonts w:ascii="Times New Roman" w:hAnsi="Times New Roman"/>
          <w:sz w:val="24"/>
          <w:szCs w:val="24"/>
          <w:lang w:val="nl-NL"/>
        </w:rPr>
        <w:t>Het OCMW van de gemeente waar de asielzoeker is ingeschreven in het wachtregister is bevoegd om zijn steunaanvraag (financiële steun, eerste hulp, installatiepremie) te onderzoeken.</w:t>
      </w:r>
    </w:p>
    <w:p w:rsidR="00627101" w:rsidRPr="006D0278" w:rsidRDefault="00627101" w:rsidP="00627101">
      <w:pPr>
        <w:pStyle w:val="Letter"/>
        <w:ind w:left="720"/>
        <w:jc w:val="both"/>
        <w:rPr>
          <w:rFonts w:ascii="Times New Roman" w:hAnsi="Times New Roman"/>
          <w:sz w:val="24"/>
          <w:szCs w:val="24"/>
          <w:lang w:val="nl-NL"/>
        </w:rPr>
      </w:pPr>
    </w:p>
    <w:p w:rsidR="00627101" w:rsidRPr="006D0278" w:rsidRDefault="00627101" w:rsidP="00627101">
      <w:pPr>
        <w:pStyle w:val="Letter"/>
        <w:ind w:left="720"/>
        <w:jc w:val="both"/>
        <w:rPr>
          <w:rFonts w:ascii="Times New Roman" w:hAnsi="Times New Roman"/>
          <w:sz w:val="24"/>
          <w:szCs w:val="24"/>
          <w:lang w:val="nl-NL"/>
        </w:rPr>
      </w:pPr>
    </w:p>
    <w:p w:rsidR="00627101" w:rsidRPr="006D0278" w:rsidRDefault="008E706C" w:rsidP="00955BB0">
      <w:pPr>
        <w:pStyle w:val="Heading7"/>
        <w:ind w:left="708" w:firstLine="720"/>
        <w:rPr>
          <w:bCs/>
          <w:i/>
          <w:iCs/>
        </w:rPr>
      </w:pPr>
      <w:bookmarkStart w:id="106" w:name="_Toc286908965"/>
      <w:r w:rsidRPr="006D0278">
        <w:rPr>
          <w:bCs/>
          <w:i/>
          <w:iCs/>
        </w:rPr>
        <w:lastRenderedPageBreak/>
        <w:t>2) Andere personen dan de kandidaat-vluchtelingen</w:t>
      </w:r>
      <w:bookmarkEnd w:id="106"/>
    </w:p>
    <w:p w:rsidR="00627101" w:rsidRPr="006D0278" w:rsidRDefault="00627101" w:rsidP="00627101">
      <w:pPr>
        <w:jc w:val="both"/>
        <w:rPr>
          <w:lang w:val="nl-NL"/>
        </w:rPr>
      </w:pPr>
    </w:p>
    <w:p w:rsidR="00627101" w:rsidRPr="006D0278" w:rsidRDefault="008E706C" w:rsidP="00CC6ECC">
      <w:pPr>
        <w:ind w:left="720"/>
        <w:jc w:val="both"/>
        <w:rPr>
          <w:lang w:val="nl-NL"/>
        </w:rPr>
      </w:pPr>
      <w:r w:rsidRPr="006D0278">
        <w:rPr>
          <w:lang w:val="nl-NL"/>
        </w:rPr>
        <w:t>Het gaat om personen die een aanvraag indienen voor eerste huur, installatiepremie en/of financiële maatschappelijke hulp wanneer zij het recht hebben om de opvangstructuur te verlaten, omdat zij:</w:t>
      </w:r>
    </w:p>
    <w:p w:rsidR="00627101" w:rsidRPr="006D0278" w:rsidRDefault="008E706C" w:rsidP="00627101">
      <w:pPr>
        <w:ind w:left="708" w:firstLine="708"/>
        <w:jc w:val="both"/>
        <w:rPr>
          <w:lang w:val="nl-NL"/>
        </w:rPr>
      </w:pPr>
      <w:r w:rsidRPr="006D0278">
        <w:rPr>
          <w:lang w:val="nl-NL"/>
        </w:rPr>
        <w:t xml:space="preserve">- de erkenning van het statuut van vluchteling hebben ontvangen, </w:t>
      </w:r>
    </w:p>
    <w:p w:rsidR="00627101" w:rsidRPr="006D0278" w:rsidRDefault="008E706C" w:rsidP="00627101">
      <w:pPr>
        <w:ind w:left="708" w:firstLine="708"/>
        <w:jc w:val="both"/>
        <w:rPr>
          <w:lang w:val="nl-NL"/>
        </w:rPr>
      </w:pPr>
      <w:r w:rsidRPr="006D0278">
        <w:rPr>
          <w:lang w:val="nl-NL"/>
        </w:rPr>
        <w:t xml:space="preserve">- de regularisatie van het verblijf hebben ontvangen, </w:t>
      </w:r>
    </w:p>
    <w:p w:rsidR="00627101" w:rsidRPr="006D0278" w:rsidRDefault="008E706C" w:rsidP="00627101">
      <w:pPr>
        <w:pStyle w:val="Opmaakprofiel1"/>
        <w:ind w:left="1428"/>
        <w:rPr>
          <w:u w:val="none"/>
        </w:rPr>
      </w:pPr>
      <w:r w:rsidRPr="006D0278">
        <w:rPr>
          <w:u w:val="none"/>
        </w:rPr>
        <w:t xml:space="preserve"> - de ontvankelijkheid hebben ontvangen van de regularisatieaanvraag van het verblijf die werd ingediend op basis van artikel 9ter van de wet van 15/12/1980 </w:t>
      </w:r>
    </w:p>
    <w:p w:rsidR="00627101" w:rsidRPr="006D0278" w:rsidRDefault="00627101" w:rsidP="00627101">
      <w:pPr>
        <w:pStyle w:val="Opmaakprofiel1"/>
        <w:ind w:left="1800"/>
        <w:rPr>
          <w:u w:val="none"/>
        </w:rPr>
      </w:pPr>
    </w:p>
    <w:p w:rsidR="000A1966" w:rsidRDefault="000A1966" w:rsidP="00955BB0">
      <w:pPr>
        <w:ind w:left="708" w:firstLine="720"/>
        <w:rPr>
          <w:u w:val="single"/>
          <w:lang w:val="nl-NL"/>
        </w:rPr>
      </w:pPr>
    </w:p>
    <w:p w:rsidR="00B52C69" w:rsidRPr="006D0278" w:rsidRDefault="008E706C" w:rsidP="00955BB0">
      <w:pPr>
        <w:ind w:left="708" w:firstLine="720"/>
        <w:rPr>
          <w:u w:val="single"/>
          <w:lang w:val="nl-NL"/>
        </w:rPr>
      </w:pPr>
      <w:r w:rsidRPr="006D0278">
        <w:rPr>
          <w:u w:val="single"/>
          <w:lang w:val="nl-NL"/>
        </w:rPr>
        <w:t xml:space="preserve">A. Aanvraag van eerste huur </w:t>
      </w:r>
    </w:p>
    <w:p w:rsidR="00627101" w:rsidRPr="006D0278" w:rsidRDefault="00627101" w:rsidP="00627101">
      <w:pPr>
        <w:pStyle w:val="Opmaakprofiel1"/>
        <w:ind w:left="1440"/>
        <w:rPr>
          <w:u w:val="none"/>
        </w:rPr>
      </w:pPr>
    </w:p>
    <w:bookmarkEnd w:id="104"/>
    <w:p w:rsidR="00AE7DF6" w:rsidRPr="006D0278" w:rsidRDefault="008E706C" w:rsidP="0090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lang w:val="nl-NL"/>
        </w:rPr>
        <w:t>Wat de aanvraag van eerste huur betreft, van de andere personen dan de asielzoekers (de erkende vluchtelingen of geregulariseerden) die een opvangstructuur verlaten, heeft de wetgever geen specifieke regel bepaald om het bevoegde OCMW te bepalen voor deze steunaanvraag en daarom is de algemene bevoegdheidsregel van artikel 1,</w:t>
      </w:r>
      <w:r w:rsidR="00FA753B">
        <w:rPr>
          <w:lang w:val="nl-NL"/>
        </w:rPr>
        <w:t xml:space="preserve"> </w:t>
      </w:r>
      <w:r w:rsidRPr="006D0278">
        <w:rPr>
          <w:lang w:val="nl-NL"/>
        </w:rPr>
        <w:t>1, van de wet van 02/04/1965 van toepassing.</w:t>
      </w:r>
    </w:p>
    <w:p w:rsidR="00FA753B" w:rsidRDefault="00FA753B" w:rsidP="0090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p>
    <w:p w:rsidR="004C22BC" w:rsidRPr="006D0278" w:rsidRDefault="008E706C" w:rsidP="0090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lang w:val="nl-NL"/>
        </w:rPr>
        <w:t xml:space="preserve">Merk op dat de eerste huur een financiële maatschappelijke steun vormt waardoor de persoon zich definitief kan vestigen in een woning die zijn gewoonlijke verblijfplaats vormt nadat hij het opvangcentrum heeft verlaten en waarvoor hij een huurwaarborg heeft ontvangen. </w:t>
      </w:r>
      <w:r w:rsidR="0043539E" w:rsidRPr="0034638E">
        <w:rPr>
          <w:lang w:val="nl-NL"/>
        </w:rPr>
        <w:t>Het OCMW van de gemeente waar betrokkene zijn gewoonlijke verblijfplaats vestigt (waar de woning zich bevindt) is het bevoegde OCMW voor de aanvraag eerste huur.</w:t>
      </w:r>
    </w:p>
    <w:p w:rsidR="00904A8F" w:rsidRPr="006D0278" w:rsidRDefault="00904A8F" w:rsidP="00904A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nl-NL"/>
        </w:rPr>
      </w:pPr>
    </w:p>
    <w:p w:rsidR="00955BB0" w:rsidRPr="006D0278" w:rsidRDefault="008E706C"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lang w:val="nl-NL"/>
        </w:rPr>
        <w:t xml:space="preserve"> Bijgevolg is, wanneer een geregulariseerde een woning gevonden heeft die zich in gemeente X bevindt en een aanvraag voor eerste huur heeft ingediend, het OCMW van gemeente X, krachtens artikel 1, 1, van de wet van 02/04/1965, bevoegd om zijn aanvraag te onderzoeken, aangezien de betrokkene zijn gewoonlijke verblijfplaats vestigt in een woning die is gelegen in gemeente X en waarvoor hij steun ontvangen heeft van het OCMW van X voor het toekennen van de huurwaarborg. </w:t>
      </w:r>
    </w:p>
    <w:p w:rsidR="00955BB0" w:rsidRPr="006D0278" w:rsidRDefault="00955BB0"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p>
    <w:p w:rsidR="00955BB0" w:rsidRPr="006D0278" w:rsidRDefault="00955BB0"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u w:val="single"/>
          <w:lang w:val="nl-NL"/>
        </w:rPr>
      </w:pPr>
    </w:p>
    <w:p w:rsidR="00955BB0" w:rsidRPr="006D0278" w:rsidRDefault="00955BB0"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lang w:val="nl-NL"/>
        </w:rPr>
        <w:tab/>
      </w:r>
      <w:bookmarkStart w:id="107" w:name="_Toc286908967"/>
      <w:r w:rsidR="008E706C" w:rsidRPr="006D0278">
        <w:rPr>
          <w:u w:val="single"/>
          <w:lang w:val="nl-NL"/>
        </w:rPr>
        <w:t>B. De aanvraag van een installatiepremie</w:t>
      </w:r>
      <w:bookmarkEnd w:id="107"/>
    </w:p>
    <w:p w:rsidR="00955BB0" w:rsidRPr="006D0278" w:rsidRDefault="00955BB0"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p>
    <w:p w:rsidR="0081448B" w:rsidRPr="006D0278" w:rsidRDefault="008E706C"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lang w:val="nl-NL"/>
        </w:rPr>
        <w:t xml:space="preserve">Wat de toekenning van de </w:t>
      </w:r>
      <w:r w:rsidR="003C1CD4" w:rsidRPr="006D0278">
        <w:rPr>
          <w:lang w:val="nl-NL"/>
        </w:rPr>
        <w:t>installatiepremie</w:t>
      </w:r>
      <w:r w:rsidRPr="006D0278">
        <w:rPr>
          <w:lang w:val="nl-NL"/>
        </w:rPr>
        <w:t xml:space="preserve"> betreft, worden andere personen d</w:t>
      </w:r>
      <w:r w:rsidR="003C1CD4">
        <w:rPr>
          <w:lang w:val="nl-NL"/>
        </w:rPr>
        <w:t>an</w:t>
      </w:r>
      <w:r w:rsidRPr="006D0278">
        <w:rPr>
          <w:lang w:val="nl-NL"/>
        </w:rPr>
        <w:t xml:space="preserve"> de asielzoekers die de opvangstructuur verlaten beschouwd als daklozen. Zij hebben dus recht op een installatiepremie wanneer zij de hoedanigheid van dakloze verliezen en in een woning intrekken die dienst doet als gewoonlijke en hoofdverblijfplaats. </w:t>
      </w:r>
    </w:p>
    <w:p w:rsidR="0081448B" w:rsidRPr="006D0278" w:rsidRDefault="0081448B"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p>
    <w:p w:rsidR="00955BB0" w:rsidRPr="006D0278" w:rsidRDefault="008E706C"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lang w:val="nl-NL"/>
        </w:rPr>
        <w:t xml:space="preserve">Krachtens de algemene bevoegdheidsregel van artikel 1, 1, van de wet van 02/04/1965 is het OCMW van de gemeente waar de persoon zijn gewoonlijke verblijfplaats heeft bevoegd om de installatiepremie toe te kennen. Het OCMW van de gemeente waar de woning </w:t>
      </w:r>
      <w:r w:rsidR="003C1CD4">
        <w:rPr>
          <w:lang w:val="nl-NL"/>
        </w:rPr>
        <w:t xml:space="preserve">zich bevindt </w:t>
      </w:r>
      <w:r w:rsidRPr="006D0278">
        <w:rPr>
          <w:lang w:val="nl-NL"/>
        </w:rPr>
        <w:t xml:space="preserve">waarin de persoon zich heeft gevestigd en zijn gewoonlijke verblijfplaats heeft, is bevoegd. </w:t>
      </w:r>
    </w:p>
    <w:p w:rsidR="00955BB0" w:rsidRPr="006D0278" w:rsidRDefault="00955BB0"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p>
    <w:p w:rsidR="00627101" w:rsidRPr="006D0278" w:rsidRDefault="008E706C" w:rsidP="00955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6D0278">
        <w:rPr>
          <w:lang w:val="nl-NL"/>
        </w:rPr>
        <w:t xml:space="preserve">Wanneer de persoon nog in het lokale opvanginitiatief verblijft op het ogenblik van zijn aanvraag tot installatiepremie, heeft hij nog geen recht op een installatiepremie, aangezien hij zijn hoedanigheid van dakloze nog niet heeft verloren, omdat hij een woning bezet. </w:t>
      </w:r>
      <w:r w:rsidRPr="006D0278">
        <w:rPr>
          <w:lang w:val="nl-NL"/>
        </w:rPr>
        <w:lastRenderedPageBreak/>
        <w:t xml:space="preserve">Bijgevolg kan geen enkel OCMW als bevoegd worden aangeduid om zijn aanvraag tot installatiepremie te onderzoeken. De betrokkene zou een aanvraag tot installatiepremie kunnen indienen bij het OCMW van gemeente X, wanneer hij zijn hoedanigheid van dakloze verloren heeft door zich in zijn woning te vestigen </w:t>
      </w:r>
      <w:r w:rsidR="003C1CD4">
        <w:rPr>
          <w:lang w:val="nl-NL"/>
        </w:rPr>
        <w:t>gelegen</w:t>
      </w:r>
      <w:r w:rsidRPr="006D0278">
        <w:rPr>
          <w:lang w:val="nl-NL"/>
        </w:rPr>
        <w:t xml:space="preserve"> in gemeente X.</w:t>
      </w:r>
    </w:p>
    <w:p w:rsidR="00627101" w:rsidRPr="006D0278" w:rsidRDefault="00627101" w:rsidP="00627101">
      <w:pPr>
        <w:jc w:val="both"/>
        <w:rPr>
          <w:b/>
          <w:u w:val="single"/>
          <w:lang w:val="nl-NL"/>
        </w:rPr>
      </w:pPr>
    </w:p>
    <w:p w:rsidR="0081448B" w:rsidRPr="006D0278" w:rsidRDefault="008E706C" w:rsidP="0081448B">
      <w:pPr>
        <w:ind w:left="560"/>
        <w:jc w:val="both"/>
        <w:rPr>
          <w:rFonts w:cs="Arial"/>
          <w:lang w:val="nl-NL"/>
        </w:rPr>
      </w:pPr>
      <w:r w:rsidRPr="006D0278">
        <w:rPr>
          <w:rFonts w:cs="Arial"/>
          <w:lang w:val="nl-NL"/>
        </w:rPr>
        <w:t>In functie van het recht op leefloon of het recht o</w:t>
      </w:r>
      <w:r w:rsidR="003C1CD4">
        <w:rPr>
          <w:rFonts w:cs="Arial"/>
          <w:lang w:val="nl-NL"/>
        </w:rPr>
        <w:t>p individuele</w:t>
      </w:r>
      <w:r w:rsidRPr="006D0278">
        <w:rPr>
          <w:rFonts w:cs="Arial"/>
          <w:lang w:val="nl-NL"/>
        </w:rPr>
        <w:t xml:space="preserve"> maatschappelijke dienstverlening die kunnen worden toegekend aan de betrokken persoon, valt de premie onder verschillende normatieve bepalingen:</w:t>
      </w:r>
    </w:p>
    <w:p w:rsidR="0081448B" w:rsidRPr="006D0278" w:rsidRDefault="008E706C" w:rsidP="0081448B">
      <w:pPr>
        <w:numPr>
          <w:ilvl w:val="0"/>
          <w:numId w:val="24"/>
        </w:numPr>
        <w:jc w:val="both"/>
        <w:rPr>
          <w:lang w:val="nl-NL"/>
        </w:rPr>
      </w:pPr>
      <w:r w:rsidRPr="006D0278">
        <w:rPr>
          <w:rFonts w:cs="Arial"/>
          <w:i/>
          <w:lang w:val="nl-NL"/>
        </w:rPr>
        <w:t>voor de persoon die het recht op leefloon</w:t>
      </w:r>
      <w:r w:rsidRPr="006D0278">
        <w:rPr>
          <w:rFonts w:cs="Arial"/>
          <w:lang w:val="nl-NL"/>
        </w:rPr>
        <w:t xml:space="preserve"> geniet, zoals, bijvoorbeeld een erkende vluchteling, moet artikel 14, §3, van de wet van 26 mei 202 betreffende het recht op maatschappelijke integratie worden toegepast. </w:t>
      </w:r>
    </w:p>
    <w:p w:rsidR="0081448B" w:rsidRPr="006D0278" w:rsidRDefault="008E706C" w:rsidP="0081448B">
      <w:pPr>
        <w:numPr>
          <w:ilvl w:val="0"/>
          <w:numId w:val="24"/>
        </w:numPr>
        <w:jc w:val="both"/>
        <w:rPr>
          <w:b/>
          <w:u w:val="single"/>
          <w:lang w:val="nl-NL"/>
        </w:rPr>
      </w:pPr>
      <w:r w:rsidRPr="006D0278">
        <w:rPr>
          <w:i/>
          <w:lang w:val="nl-NL"/>
        </w:rPr>
        <w:t>voor de persoon die het recht op maatschappelijke dienstverlening geniet</w:t>
      </w:r>
      <w:r w:rsidRPr="006D0278">
        <w:rPr>
          <w:lang w:val="nl-NL"/>
        </w:rPr>
        <w:t xml:space="preserve">, </w:t>
      </w:r>
      <w:r w:rsidR="003C1CD4" w:rsidRPr="006D0278">
        <w:rPr>
          <w:lang w:val="nl-NL"/>
        </w:rPr>
        <w:t>bijvoorbeeld</w:t>
      </w:r>
      <w:r w:rsidRPr="006D0278">
        <w:rPr>
          <w:lang w:val="nl-NL"/>
        </w:rPr>
        <w:t xml:space="preserve"> voor een persoon waarvan het verblijf geregulariseerd wordt of die subsidiaire bescherming geniet, moet het koninklijk besluit van 21 september 2004 tot toekenning van een installatiepremie door het openbaar centrum voor maatschappelijk welzijn aan bepaalde personen die hun hoedanigheid van dakloze verliezen, worden toegepast.</w:t>
      </w:r>
    </w:p>
    <w:p w:rsidR="0081448B" w:rsidRPr="006D0278" w:rsidRDefault="0081448B" w:rsidP="0081448B">
      <w:pPr>
        <w:jc w:val="both"/>
        <w:rPr>
          <w:b/>
          <w:u w:val="single"/>
          <w:lang w:val="nl-NL"/>
        </w:rPr>
      </w:pPr>
    </w:p>
    <w:p w:rsidR="00904A8F" w:rsidRPr="006D0278" w:rsidRDefault="00904A8F" w:rsidP="00627101">
      <w:pPr>
        <w:jc w:val="both"/>
        <w:rPr>
          <w:b/>
          <w:u w:val="single"/>
          <w:lang w:val="nl-NL"/>
        </w:rPr>
      </w:pPr>
    </w:p>
    <w:p w:rsidR="00627101" w:rsidRPr="006D0278" w:rsidRDefault="008E706C" w:rsidP="00955BB0">
      <w:pPr>
        <w:ind w:left="720" w:firstLine="720"/>
        <w:rPr>
          <w:u w:val="single"/>
          <w:lang w:val="nl-NL"/>
        </w:rPr>
      </w:pPr>
      <w:bookmarkStart w:id="108" w:name="_Toc286908968"/>
      <w:r w:rsidRPr="006D0278">
        <w:rPr>
          <w:u w:val="single"/>
          <w:lang w:val="nl-NL"/>
        </w:rPr>
        <w:t>C. De aanvraag tot financiële maatschappelijke steun</w:t>
      </w:r>
      <w:bookmarkEnd w:id="108"/>
    </w:p>
    <w:p w:rsidR="00627101" w:rsidRPr="006D0278" w:rsidRDefault="00627101" w:rsidP="00627101">
      <w:pPr>
        <w:ind w:firstLine="709"/>
        <w:jc w:val="both"/>
        <w:rPr>
          <w:u w:val="single"/>
          <w:lang w:val="nl-NL"/>
        </w:rPr>
      </w:pPr>
    </w:p>
    <w:p w:rsidR="003D41B4" w:rsidRDefault="008E706C" w:rsidP="00627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iCs/>
          <w:lang w:val="nl-NL" w:eastAsia="fr-FR"/>
        </w:rPr>
      </w:pPr>
      <w:r w:rsidRPr="006D0278">
        <w:rPr>
          <w:iCs/>
          <w:lang w:val="nl-NL" w:eastAsia="fr-FR"/>
        </w:rPr>
        <w:t xml:space="preserve">Wanneer de betrokkene een aanvraag indient tot financiële maatschappelijke steun, terwijl hij de opvangstructuur nog niet heeft verlaten, geniet hij reeds materiële steun in de opvangstructuur, die hem de noodzakelijke steun moet waarborgen om een menswaardig leven te leiden. Het is dus de taak van het OCMW om er de gevolgen uit te trekken bij het onderzoek van de staat van behoeftigheid van de betrokkene in </w:t>
      </w:r>
      <w:r w:rsidR="007A6C00">
        <w:rPr>
          <w:iCs/>
          <w:lang w:val="nl-NL" w:eastAsia="fr-FR"/>
        </w:rPr>
        <w:t>functie van</w:t>
      </w:r>
      <w:r w:rsidRPr="006D0278">
        <w:rPr>
          <w:iCs/>
          <w:lang w:val="nl-NL" w:eastAsia="fr-FR"/>
        </w:rPr>
        <w:t xml:space="preserve"> de toekenningsvoorwaarden van de financiële maatschappelijke steun. In principe heeft hij geen recht op maatschappelijke steun van een OCMW zolang hij in een opvangstructuur verblijft.</w:t>
      </w:r>
    </w:p>
    <w:p w:rsidR="0043539E" w:rsidRDefault="0043539E" w:rsidP="00627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iCs/>
          <w:lang w:val="nl-NL" w:eastAsia="fr-FR"/>
        </w:rPr>
      </w:pPr>
    </w:p>
    <w:p w:rsidR="0043539E" w:rsidRPr="006D0278" w:rsidRDefault="0043539E" w:rsidP="00627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nl-NL"/>
        </w:rPr>
      </w:pPr>
      <w:r w:rsidRPr="005A58F8">
        <w:rPr>
          <w:iCs/>
          <w:lang w:val="nl-NL" w:eastAsia="fr-FR"/>
        </w:rPr>
        <w:t>Betrokkene heeft pas recht op financiële maatschappelijke hulp of leefloon nadat hij de opvangstructuur verlaten heeft en het bevoegd OCMW is dan het OCMW van de gewoonlijke verblijfplaats overeenkomstig artikel 1,1° van de wet van 2 april 1965.</w:t>
      </w:r>
    </w:p>
    <w:p w:rsidR="004B1F39" w:rsidRPr="006D0278" w:rsidRDefault="004B1F39" w:rsidP="003D41B4">
      <w:pPr>
        <w:pStyle w:val="Letter"/>
        <w:ind w:left="360" w:firstLine="360"/>
        <w:jc w:val="both"/>
        <w:rPr>
          <w:rFonts w:ascii="Times New Roman" w:hAnsi="Times New Roman"/>
          <w:sz w:val="24"/>
          <w:szCs w:val="24"/>
          <w:u w:val="single"/>
          <w:lang w:val="nl-NL"/>
        </w:rPr>
      </w:pPr>
    </w:p>
    <w:p w:rsidR="00F96962" w:rsidRPr="006D0278" w:rsidRDefault="00F96962" w:rsidP="000145B6">
      <w:pPr>
        <w:pStyle w:val="Heading2"/>
        <w:rPr>
          <w:sz w:val="28"/>
          <w:lang w:val="nl-NL"/>
        </w:rPr>
      </w:pPr>
      <w:r w:rsidRPr="006D0278">
        <w:rPr>
          <w:u w:val="single"/>
          <w:lang w:val="nl-NL"/>
        </w:rPr>
        <w:br w:type="page"/>
      </w:r>
      <w:bookmarkStart w:id="109" w:name="_Toc510775806"/>
      <w:r w:rsidR="008E706C" w:rsidRPr="006D0278">
        <w:rPr>
          <w:sz w:val="28"/>
          <w:lang w:val="nl-NL"/>
        </w:rPr>
        <w:lastRenderedPageBreak/>
        <w:t>6. Conflicten betreffende daklozen</w:t>
      </w:r>
      <w:bookmarkEnd w:id="109"/>
    </w:p>
    <w:p w:rsidR="00F96962" w:rsidRPr="006D0278" w:rsidRDefault="00F96962" w:rsidP="00F96962">
      <w:pPr>
        <w:ind w:firstLine="720"/>
        <w:rPr>
          <w:u w:val="single"/>
          <w:lang w:val="nl-NL"/>
        </w:rPr>
      </w:pPr>
    </w:p>
    <w:p w:rsidR="0006442F" w:rsidRPr="006D0278" w:rsidRDefault="0006442F" w:rsidP="00F96962">
      <w:pPr>
        <w:ind w:firstLine="720"/>
        <w:rPr>
          <w:u w:val="single"/>
          <w:lang w:val="nl-NL"/>
        </w:rPr>
      </w:pPr>
    </w:p>
    <w:p w:rsidR="009161E4" w:rsidRPr="006D0278" w:rsidRDefault="009161E4" w:rsidP="00F96962">
      <w:pPr>
        <w:ind w:firstLine="720"/>
        <w:rPr>
          <w:u w:val="single"/>
          <w:lang w:val="nl-NL"/>
        </w:rPr>
      </w:pPr>
    </w:p>
    <w:p w:rsidR="00F96962" w:rsidRPr="006D0278" w:rsidRDefault="008E706C" w:rsidP="000145B6">
      <w:pPr>
        <w:pStyle w:val="Heading3"/>
        <w:spacing w:before="0" w:after="0"/>
        <w:rPr>
          <w:b/>
          <w:bCs/>
          <w:sz w:val="24"/>
          <w:u w:val="single"/>
          <w:lang w:val="nl-NL"/>
        </w:rPr>
      </w:pPr>
      <w:bookmarkStart w:id="110" w:name="_Toc510775807"/>
      <w:r w:rsidRPr="006D0278">
        <w:rPr>
          <w:b/>
          <w:bCs/>
          <w:sz w:val="24"/>
          <w:u w:val="single"/>
          <w:lang w:val="nl-NL"/>
        </w:rPr>
        <w:t xml:space="preserve">1. Aantal dossiers in </w:t>
      </w:r>
      <w:r w:rsidR="00DD1646" w:rsidRPr="006D0278">
        <w:rPr>
          <w:b/>
          <w:bCs/>
          <w:sz w:val="24"/>
          <w:u w:val="single"/>
          <w:lang w:val="nl-NL"/>
        </w:rPr>
        <w:t>201</w:t>
      </w:r>
      <w:r w:rsidR="00B5154C">
        <w:rPr>
          <w:b/>
          <w:bCs/>
          <w:sz w:val="24"/>
          <w:u w:val="single"/>
          <w:lang w:val="nl-NL"/>
        </w:rPr>
        <w:t>7</w:t>
      </w:r>
      <w:bookmarkEnd w:id="110"/>
      <w:r w:rsidR="00DD1646" w:rsidRPr="006D0278">
        <w:rPr>
          <w:b/>
          <w:bCs/>
          <w:sz w:val="24"/>
          <w:u w:val="single"/>
          <w:lang w:val="nl-NL"/>
        </w:rPr>
        <w:t xml:space="preserve"> </w:t>
      </w:r>
    </w:p>
    <w:p w:rsidR="00F96962" w:rsidRPr="006D0278" w:rsidRDefault="00F96962" w:rsidP="00F96962">
      <w:pPr>
        <w:rPr>
          <w:lang w:val="nl-NL"/>
        </w:rPr>
      </w:pPr>
    </w:p>
    <w:p w:rsidR="00CC6ECC" w:rsidRPr="006D0278" w:rsidRDefault="00BD2AF0" w:rsidP="00CC6ECC">
      <w:pPr>
        <w:pStyle w:val="Opmaakprofiel1"/>
        <w:ind w:left="720" w:firstLine="720"/>
      </w:pPr>
      <w:r>
        <w:t xml:space="preserve">27 </w:t>
      </w:r>
      <w:r w:rsidR="008E706C" w:rsidRPr="006D0278">
        <w:t xml:space="preserve">dossiers op </w:t>
      </w:r>
      <w:r>
        <w:t>640</w:t>
      </w:r>
      <w:r w:rsidR="00DD1646" w:rsidRPr="006D0278">
        <w:t xml:space="preserve"> </w:t>
      </w:r>
      <w:r>
        <w:t>ontvankelijke dossiers</w:t>
      </w:r>
    </w:p>
    <w:p w:rsidR="00CC6ECC" w:rsidRPr="006D0278" w:rsidRDefault="008E706C" w:rsidP="00CC6ECC">
      <w:pPr>
        <w:ind w:left="720" w:firstLine="720"/>
        <w:jc w:val="both"/>
        <w:rPr>
          <w:lang w:val="nl-NL"/>
        </w:rPr>
      </w:pPr>
      <w:r w:rsidRPr="006D0278">
        <w:rPr>
          <w:lang w:val="nl-NL"/>
        </w:rPr>
        <w:t xml:space="preserve">Nederlandstalige dossiers: </w:t>
      </w:r>
      <w:r w:rsidR="00BD2AF0">
        <w:rPr>
          <w:lang w:val="nl-NL"/>
        </w:rPr>
        <w:t xml:space="preserve">8 </w:t>
      </w:r>
      <w:r w:rsidRPr="006D0278">
        <w:rPr>
          <w:lang w:val="nl-NL"/>
        </w:rPr>
        <w:t xml:space="preserve">op </w:t>
      </w:r>
      <w:r w:rsidR="00BD2AF0">
        <w:rPr>
          <w:lang w:val="nl-NL"/>
        </w:rPr>
        <w:t>150</w:t>
      </w:r>
      <w:r w:rsidR="00DD1646" w:rsidRPr="006D0278">
        <w:rPr>
          <w:lang w:val="nl-NL"/>
        </w:rPr>
        <w:t xml:space="preserve"> </w:t>
      </w:r>
      <w:r w:rsidRPr="006D0278">
        <w:rPr>
          <w:lang w:val="nl-NL"/>
        </w:rPr>
        <w:t>ontvankelijke dossiers</w:t>
      </w:r>
      <w:r w:rsidR="00CB7A4A">
        <w:rPr>
          <w:lang w:val="nl-NL"/>
        </w:rPr>
        <w:t>,</w:t>
      </w:r>
    </w:p>
    <w:p w:rsidR="00CC6ECC" w:rsidRPr="006D0278" w:rsidRDefault="008E706C" w:rsidP="00CC6ECC">
      <w:pPr>
        <w:ind w:left="720" w:firstLine="720"/>
        <w:jc w:val="both"/>
        <w:rPr>
          <w:highlight w:val="yellow"/>
          <w:lang w:val="nl-NL"/>
        </w:rPr>
      </w:pPr>
      <w:r w:rsidRPr="006D0278">
        <w:rPr>
          <w:lang w:val="nl-NL"/>
        </w:rPr>
        <w:t xml:space="preserve">Franstalige dossiers: </w:t>
      </w:r>
      <w:r w:rsidR="00BD2AF0">
        <w:rPr>
          <w:lang w:val="nl-NL"/>
        </w:rPr>
        <w:t xml:space="preserve">19 </w:t>
      </w:r>
      <w:r w:rsidR="00A35068">
        <w:rPr>
          <w:lang w:val="nl-NL"/>
        </w:rPr>
        <w:t xml:space="preserve">op </w:t>
      </w:r>
      <w:r w:rsidR="00BD2AF0">
        <w:rPr>
          <w:lang w:val="nl-NL"/>
        </w:rPr>
        <w:t>490</w:t>
      </w:r>
      <w:r w:rsidR="00CB7A4A">
        <w:rPr>
          <w:lang w:val="nl-NL"/>
        </w:rPr>
        <w:t xml:space="preserve"> </w:t>
      </w:r>
      <w:r w:rsidRPr="006D0278">
        <w:rPr>
          <w:lang w:val="nl-NL"/>
        </w:rPr>
        <w:t>ontvankelijke dossiers</w:t>
      </w:r>
      <w:r w:rsidR="00CB7A4A">
        <w:rPr>
          <w:lang w:val="nl-NL"/>
        </w:rPr>
        <w:t>.</w:t>
      </w:r>
    </w:p>
    <w:p w:rsidR="00CC6ECC" w:rsidRPr="006D0278" w:rsidRDefault="00CC6ECC" w:rsidP="00F96962">
      <w:pPr>
        <w:ind w:left="900"/>
        <w:jc w:val="both"/>
        <w:rPr>
          <w:lang w:val="nl-NL"/>
        </w:rPr>
      </w:pPr>
    </w:p>
    <w:p w:rsidR="00F96962" w:rsidRPr="006D0278" w:rsidRDefault="00F96962" w:rsidP="00F96962">
      <w:pPr>
        <w:ind w:left="900"/>
        <w:jc w:val="both"/>
        <w:rPr>
          <w:lang w:val="nl-NL"/>
        </w:rPr>
      </w:pPr>
    </w:p>
    <w:p w:rsidR="0006442F" w:rsidRPr="00BD2AF0" w:rsidRDefault="00AF42A4" w:rsidP="00B46E7F">
      <w:pPr>
        <w:pStyle w:val="ListParagraph"/>
        <w:numPr>
          <w:ilvl w:val="0"/>
          <w:numId w:val="35"/>
        </w:numPr>
        <w:ind w:left="900"/>
        <w:jc w:val="both"/>
        <w:rPr>
          <w:lang w:val="nl-NL"/>
        </w:rPr>
      </w:pPr>
      <w:r w:rsidRPr="00BD2AF0">
        <w:rPr>
          <w:lang w:val="nl-NL"/>
        </w:rPr>
        <w:t xml:space="preserve">Het jaarlijks aantal conflicten is erg laag in vergelijking met de andere gronden, zeker ten aanzien van het gewoonlijk verblijf, de studenten, of ook nog de personen die opgenomen zijn in instellingen. </w:t>
      </w:r>
    </w:p>
    <w:p w:rsidR="003F1927" w:rsidRDefault="003F1927" w:rsidP="00F96962">
      <w:pPr>
        <w:ind w:left="900"/>
        <w:jc w:val="both"/>
        <w:rPr>
          <w:lang w:val="nl-NL"/>
        </w:rPr>
      </w:pPr>
    </w:p>
    <w:p w:rsidR="003F1927" w:rsidRPr="006D0278" w:rsidRDefault="003F1927" w:rsidP="00F96962">
      <w:pPr>
        <w:ind w:left="900"/>
        <w:jc w:val="both"/>
        <w:rPr>
          <w:lang w:val="nl-NL"/>
        </w:rPr>
      </w:pPr>
    </w:p>
    <w:p w:rsidR="00F96962" w:rsidRPr="006D0278" w:rsidRDefault="008E706C" w:rsidP="000145B6">
      <w:pPr>
        <w:pStyle w:val="Heading3"/>
        <w:spacing w:before="0" w:after="0"/>
        <w:rPr>
          <w:b/>
          <w:bCs/>
          <w:sz w:val="24"/>
          <w:u w:val="single"/>
          <w:lang w:val="nl-NL"/>
        </w:rPr>
      </w:pPr>
      <w:bookmarkStart w:id="111" w:name="_Toc510775808"/>
      <w:r w:rsidRPr="006D0278">
        <w:rPr>
          <w:b/>
          <w:bCs/>
          <w:sz w:val="24"/>
          <w:u w:val="single"/>
          <w:lang w:val="nl-NL"/>
        </w:rPr>
        <w:t>2. Wettelijke bepaling</w:t>
      </w:r>
      <w:bookmarkEnd w:id="111"/>
    </w:p>
    <w:p w:rsidR="00F96962" w:rsidRPr="006D0278" w:rsidRDefault="00F96962" w:rsidP="00F96962">
      <w:pPr>
        <w:ind w:left="1080"/>
        <w:jc w:val="both"/>
        <w:rPr>
          <w:lang w:val="nl-NL"/>
        </w:rPr>
      </w:pPr>
    </w:p>
    <w:p w:rsidR="00F96962" w:rsidRPr="006D0278" w:rsidRDefault="008E706C" w:rsidP="00F96962">
      <w:pPr>
        <w:pBdr>
          <w:top w:val="dotDotDash" w:sz="4" w:space="1" w:color="auto"/>
          <w:left w:val="dotDotDash" w:sz="4" w:space="4" w:color="auto"/>
          <w:bottom w:val="dotDotDash" w:sz="4" w:space="1" w:color="auto"/>
          <w:right w:val="dotDotDash" w:sz="4" w:space="4" w:color="auto"/>
        </w:pBdr>
        <w:shd w:val="clear" w:color="auto" w:fill="CCFFFF"/>
        <w:ind w:left="1440"/>
        <w:jc w:val="both"/>
        <w:rPr>
          <w:lang w:val="nl-NL"/>
        </w:rPr>
      </w:pPr>
      <w:r w:rsidRPr="006D0278">
        <w:rPr>
          <w:lang w:val="nl-NL"/>
        </w:rPr>
        <w:t>Art. 2, §7, van de wet van 1965 april betreffende het ten laste nemen van de steun verleend door de openbare centra voor maatschappelijk welzijn:</w:t>
      </w:r>
    </w:p>
    <w:p w:rsidR="00F96962" w:rsidRPr="006D0278" w:rsidRDefault="008E706C" w:rsidP="00F96962">
      <w:pPr>
        <w:pBdr>
          <w:top w:val="dotDotDash" w:sz="4" w:space="1" w:color="auto"/>
          <w:left w:val="dotDotDash" w:sz="4" w:space="4" w:color="auto"/>
          <w:bottom w:val="dotDotDash" w:sz="4" w:space="1" w:color="auto"/>
          <w:right w:val="dotDotDash" w:sz="4" w:space="4" w:color="auto"/>
        </w:pBdr>
        <w:shd w:val="clear" w:color="auto" w:fill="CCFFFF"/>
        <w:ind w:left="1440"/>
        <w:jc w:val="both"/>
        <w:rPr>
          <w:lang w:val="nl-NL"/>
        </w:rPr>
      </w:pPr>
      <w:r w:rsidRPr="006D0278">
        <w:rPr>
          <w:bCs/>
          <w:i/>
          <w:lang w:val="nl-NL"/>
        </w:rPr>
        <w:t>"In afwijking van artikel 1,</w:t>
      </w:r>
      <w:r w:rsidR="007A6C00">
        <w:rPr>
          <w:bCs/>
          <w:i/>
          <w:lang w:val="nl-NL"/>
        </w:rPr>
        <w:t xml:space="preserve"> </w:t>
      </w:r>
      <w:r w:rsidRPr="006D0278">
        <w:rPr>
          <w:bCs/>
          <w:i/>
          <w:lang w:val="nl-NL"/>
        </w:rPr>
        <w:t>1°, is bevoegd om maatschappelijke dienstverlening aan een dakloze persoon die niet verblijft in een instelling als bedoeld in § 1 toe te kennen, het openbaar centrum voor maatschappelijk welzijn van de gemeente waar de betrokkene zijn feitelijke verblijfplaats heeft.</w:t>
      </w:r>
    </w:p>
    <w:p w:rsidR="00F96962" w:rsidRPr="006D0278" w:rsidRDefault="00F96962" w:rsidP="00F96962">
      <w:pPr>
        <w:pStyle w:val="Opmaakprofiel1"/>
        <w:ind w:left="720"/>
        <w:rPr>
          <w:u w:val="none"/>
        </w:rPr>
      </w:pPr>
    </w:p>
    <w:p w:rsidR="00F96962" w:rsidRPr="006D0278" w:rsidRDefault="00F96962" w:rsidP="00F96962">
      <w:pPr>
        <w:pStyle w:val="Opmaakprofiel1"/>
        <w:ind w:left="720"/>
        <w:rPr>
          <w:u w:val="none"/>
        </w:rPr>
      </w:pPr>
    </w:p>
    <w:p w:rsidR="003F1927" w:rsidRDefault="003F1927">
      <w:pPr>
        <w:rPr>
          <w:lang w:val="nl-NL"/>
        </w:rPr>
      </w:pPr>
    </w:p>
    <w:p w:rsidR="00904A8F" w:rsidRPr="006D0278" w:rsidRDefault="00904A8F" w:rsidP="00F96962">
      <w:pPr>
        <w:pStyle w:val="Opmaakprofiel1"/>
        <w:ind w:left="720"/>
        <w:rPr>
          <w:u w:val="none"/>
        </w:rPr>
      </w:pPr>
    </w:p>
    <w:p w:rsidR="00F96962" w:rsidRPr="006D0278" w:rsidRDefault="008E706C" w:rsidP="000145B6">
      <w:pPr>
        <w:pStyle w:val="Heading3"/>
        <w:spacing w:before="0" w:after="0"/>
        <w:ind w:left="720" w:firstLine="0"/>
        <w:jc w:val="both"/>
        <w:rPr>
          <w:b/>
          <w:bCs/>
          <w:sz w:val="24"/>
          <w:u w:val="single"/>
          <w:lang w:val="nl-NL"/>
        </w:rPr>
      </w:pPr>
      <w:bookmarkStart w:id="112" w:name="_Toc510775809"/>
      <w:r w:rsidRPr="006D0278">
        <w:rPr>
          <w:b/>
          <w:bCs/>
          <w:sz w:val="24"/>
          <w:u w:val="single"/>
          <w:lang w:val="nl-NL"/>
        </w:rPr>
        <w:t>3. Opmerkingen over de toepassing van artikel 2, § 7, van de wet van 2 april 1965</w:t>
      </w:r>
      <w:bookmarkEnd w:id="112"/>
    </w:p>
    <w:p w:rsidR="00F96962" w:rsidRPr="006D0278" w:rsidRDefault="00F96962" w:rsidP="00F96962">
      <w:pPr>
        <w:jc w:val="both"/>
        <w:rPr>
          <w:lang w:val="nl-NL"/>
        </w:rPr>
      </w:pPr>
    </w:p>
    <w:p w:rsidR="000145B6" w:rsidRPr="006D0278" w:rsidRDefault="000145B6" w:rsidP="00F96962">
      <w:pPr>
        <w:jc w:val="both"/>
        <w:rPr>
          <w:lang w:val="nl-NL"/>
        </w:rPr>
      </w:pPr>
    </w:p>
    <w:p w:rsidR="00F96962" w:rsidRPr="006D0278" w:rsidRDefault="008E706C" w:rsidP="000145B6">
      <w:pPr>
        <w:pStyle w:val="Heading4"/>
        <w:ind w:left="720" w:firstLine="720"/>
        <w:rPr>
          <w:bCs w:val="0"/>
          <w:iCs/>
          <w:u w:val="single"/>
          <w:lang w:val="nl-NL" w:eastAsia="nl-NL"/>
        </w:rPr>
      </w:pPr>
      <w:bookmarkStart w:id="113" w:name="_Toc510775810"/>
      <w:r w:rsidRPr="006D0278">
        <w:rPr>
          <w:bCs w:val="0"/>
          <w:iCs/>
          <w:u w:val="single"/>
          <w:lang w:val="nl-NL" w:eastAsia="nl-NL"/>
        </w:rPr>
        <w:t>3.1. Begrip dakloze</w:t>
      </w:r>
      <w:bookmarkEnd w:id="113"/>
    </w:p>
    <w:p w:rsidR="00F96962" w:rsidRPr="006D0278" w:rsidRDefault="00F96962" w:rsidP="00F96962">
      <w:pPr>
        <w:autoSpaceDE w:val="0"/>
        <w:autoSpaceDN w:val="0"/>
        <w:adjustRightInd w:val="0"/>
        <w:ind w:left="1260"/>
        <w:jc w:val="both"/>
        <w:rPr>
          <w:lang w:val="nl-NL" w:eastAsia="nl-NL"/>
        </w:rPr>
      </w:pPr>
    </w:p>
    <w:p w:rsidR="00F96962" w:rsidRPr="006D0278" w:rsidRDefault="008E706C" w:rsidP="0006442F">
      <w:pPr>
        <w:autoSpaceDE w:val="0"/>
        <w:autoSpaceDN w:val="0"/>
        <w:adjustRightInd w:val="0"/>
        <w:ind w:left="720"/>
        <w:jc w:val="both"/>
        <w:rPr>
          <w:lang w:val="nl-NL" w:eastAsia="nl-NL"/>
        </w:rPr>
      </w:pPr>
      <w:r w:rsidRPr="006D0278">
        <w:rPr>
          <w:lang w:val="nl-NL" w:eastAsia="nl-NL"/>
        </w:rPr>
        <w:t>Onder dakloze moet verstaan worden, de persoon die niet over een eigen woongelegenheid beschikt, die niet de middelen heeft om daar op eigen krachten voor te zorgen en daardoor geen verblijfplaats heeft of die tijdelijk in een tehuis verblijft in afwachting dat hem een eigen woongelegenheid ter beschikking wordt gesteld. Zijn hier ook inbegrepen, de personen die voorlopig opgevangen worden door particulieren om hen tijdelijk en kortstondig uit de nood te helpen, in afwachting dat betrokkenen een eigen woongelegenheid ter beschikking hebben. Een dakloze persoon die daarentegen op een duurzame wijze gaat samenwonen met iemand verliest zijn hoedanigheid van dakloze</w:t>
      </w:r>
      <w:r w:rsidR="00F96962" w:rsidRPr="0026343C">
        <w:rPr>
          <w:rStyle w:val="FootnoteReference"/>
          <w:lang w:val="fr-FR" w:eastAsia="fr-FR"/>
        </w:rPr>
        <w:footnoteReference w:id="7"/>
      </w:r>
      <w:r w:rsidRPr="006D0278">
        <w:rPr>
          <w:lang w:val="nl-NL" w:eastAsia="fr-FR"/>
        </w:rPr>
        <w:t>.</w:t>
      </w:r>
    </w:p>
    <w:p w:rsidR="00F96962" w:rsidRPr="006D0278" w:rsidRDefault="00F96962" w:rsidP="00F96962">
      <w:pPr>
        <w:jc w:val="both"/>
        <w:rPr>
          <w:lang w:val="nl-NL"/>
        </w:rPr>
      </w:pPr>
    </w:p>
    <w:p w:rsidR="00F96962" w:rsidRPr="006D0278" w:rsidRDefault="008E706C" w:rsidP="0006442F">
      <w:pPr>
        <w:ind w:left="720"/>
        <w:jc w:val="both"/>
        <w:rPr>
          <w:lang w:val="nl-NL"/>
        </w:rPr>
      </w:pPr>
      <w:r w:rsidRPr="006D0278">
        <w:rPr>
          <w:lang w:val="nl-NL"/>
        </w:rPr>
        <w:t xml:space="preserve">Het komt het OCMW toe om de aanvrager al dan niet te kwalificeren als </w:t>
      </w:r>
      <w:r w:rsidR="007A6C00" w:rsidRPr="006D0278">
        <w:rPr>
          <w:lang w:val="nl-NL"/>
        </w:rPr>
        <w:t xml:space="preserve">dakloze. </w:t>
      </w:r>
    </w:p>
    <w:p w:rsidR="009161E4" w:rsidRPr="006D0278" w:rsidRDefault="009161E4" w:rsidP="00F96962">
      <w:pPr>
        <w:ind w:left="900"/>
        <w:jc w:val="both"/>
        <w:rPr>
          <w:lang w:val="nl-NL"/>
        </w:rPr>
      </w:pPr>
    </w:p>
    <w:p w:rsidR="00F96962" w:rsidRPr="006D0278" w:rsidRDefault="00F96962" w:rsidP="00F96962">
      <w:pPr>
        <w:jc w:val="both"/>
        <w:rPr>
          <w:lang w:val="nl-NL"/>
        </w:rPr>
      </w:pPr>
    </w:p>
    <w:p w:rsidR="000145B6" w:rsidRPr="006D0278" w:rsidRDefault="000145B6" w:rsidP="000145B6">
      <w:pPr>
        <w:pStyle w:val="Heading4"/>
        <w:ind w:left="720" w:firstLine="720"/>
        <w:rPr>
          <w:bCs w:val="0"/>
          <w:iCs/>
          <w:u w:val="single"/>
          <w:lang w:val="nl-NL"/>
        </w:rPr>
      </w:pPr>
    </w:p>
    <w:p w:rsidR="00F96962" w:rsidRPr="006D0278" w:rsidRDefault="008E706C" w:rsidP="000145B6">
      <w:pPr>
        <w:pStyle w:val="Heading4"/>
        <w:ind w:left="720" w:firstLine="720"/>
        <w:rPr>
          <w:bCs w:val="0"/>
          <w:iCs/>
          <w:u w:val="single"/>
          <w:lang w:val="nl-NL"/>
        </w:rPr>
      </w:pPr>
      <w:bookmarkStart w:id="114" w:name="_Toc510775811"/>
      <w:r w:rsidRPr="006D0278">
        <w:rPr>
          <w:bCs w:val="0"/>
          <w:iCs/>
          <w:u w:val="single"/>
          <w:lang w:val="nl-NL"/>
        </w:rPr>
        <w:t>3.2. Het bevoegde OCMW</w:t>
      </w:r>
      <w:bookmarkEnd w:id="114"/>
      <w:r w:rsidRPr="006D0278">
        <w:rPr>
          <w:bCs w:val="0"/>
          <w:iCs/>
          <w:u w:val="single"/>
          <w:lang w:val="nl-NL"/>
        </w:rPr>
        <w:t xml:space="preserve"> </w:t>
      </w:r>
    </w:p>
    <w:p w:rsidR="00F96962" w:rsidRPr="006D0278" w:rsidRDefault="00F96962" w:rsidP="00F96962">
      <w:pPr>
        <w:ind w:left="1260"/>
        <w:jc w:val="both"/>
        <w:rPr>
          <w:lang w:val="nl-NL"/>
        </w:rPr>
      </w:pPr>
    </w:p>
    <w:p w:rsidR="00F96962" w:rsidRPr="006D0278" w:rsidRDefault="008E706C" w:rsidP="00F96962">
      <w:pPr>
        <w:ind w:left="900"/>
        <w:jc w:val="both"/>
        <w:rPr>
          <w:lang w:val="nl-NL"/>
        </w:rPr>
      </w:pPr>
      <w:r w:rsidRPr="006D0278">
        <w:rPr>
          <w:lang w:val="nl-NL"/>
        </w:rPr>
        <w:t xml:space="preserve"> Het bevoegde OCMW om een dakloze te </w:t>
      </w:r>
      <w:r w:rsidR="007A6C00" w:rsidRPr="006D0278">
        <w:rPr>
          <w:lang w:val="nl-NL"/>
        </w:rPr>
        <w:t>hulp</w:t>
      </w:r>
      <w:r w:rsidRPr="006D0278">
        <w:rPr>
          <w:lang w:val="nl-NL"/>
        </w:rPr>
        <w:t xml:space="preserve"> te komen is het OCMW van de gemeente waar de dakloze zijn feitelijke verblijfplaats heeft, zelfs wanneer hij niet permanent in deze gemeente verblijft en zelfs wanneer hij gedomicilieerd is in een andere gemeente of ingeschreven is</w:t>
      </w:r>
      <w:r w:rsidR="007A6C00">
        <w:rPr>
          <w:lang w:val="nl-NL"/>
        </w:rPr>
        <w:t xml:space="preserve"> op</w:t>
      </w:r>
      <w:r w:rsidRPr="006D0278">
        <w:rPr>
          <w:lang w:val="nl-NL"/>
        </w:rPr>
        <w:t xml:space="preserve"> een referentieadres bij een ander OCMW.</w:t>
      </w:r>
    </w:p>
    <w:p w:rsidR="00F96962" w:rsidRPr="006D0278" w:rsidRDefault="00F96962" w:rsidP="00F96962">
      <w:pPr>
        <w:ind w:left="900"/>
        <w:jc w:val="both"/>
        <w:rPr>
          <w:lang w:val="nl-NL"/>
        </w:rPr>
      </w:pPr>
    </w:p>
    <w:p w:rsidR="00B33103" w:rsidRDefault="008E706C" w:rsidP="00F96962">
      <w:pPr>
        <w:ind w:left="900"/>
        <w:jc w:val="both"/>
        <w:rPr>
          <w:sz w:val="25"/>
          <w:szCs w:val="25"/>
          <w:lang w:val="nl-NL" w:eastAsia="fr-FR"/>
        </w:rPr>
      </w:pPr>
      <w:r w:rsidRPr="006D0278">
        <w:rPr>
          <w:lang w:val="nl-NL"/>
        </w:rPr>
        <w:t xml:space="preserve">De moeilijkheden hebben vooral te maken met discussies over de feitelijke verblijfplaats van de dakloze op het ogenblik van zijn </w:t>
      </w:r>
      <w:r w:rsidR="007A6C00" w:rsidRPr="006D0278">
        <w:rPr>
          <w:lang w:val="nl-NL"/>
        </w:rPr>
        <w:t xml:space="preserve">steunaanvraag. </w:t>
      </w:r>
      <w:r w:rsidRPr="006D0278">
        <w:rPr>
          <w:sz w:val="25"/>
          <w:szCs w:val="25"/>
          <w:lang w:val="nl-NL" w:eastAsia="fr-FR"/>
        </w:rPr>
        <w:t xml:space="preserve">Om het bevoegde OCMW te bepalen, moet men zich baseren op de feitelijke toestand op het moment van de steunaanvraag. Deze feitelijke verblijfplaats onderscheidt zich van het begrip gewoonlijke verblijfplaats die wordt toegepast op personen waarvan het verblijf op het grondgebied van de gemeente een blijvend </w:t>
      </w:r>
      <w:r w:rsidR="007A6C00">
        <w:rPr>
          <w:sz w:val="25"/>
          <w:szCs w:val="25"/>
          <w:lang w:val="nl-NL" w:eastAsia="fr-FR"/>
        </w:rPr>
        <w:t xml:space="preserve">duurzaam </w:t>
      </w:r>
      <w:r w:rsidRPr="006D0278">
        <w:rPr>
          <w:sz w:val="25"/>
          <w:szCs w:val="25"/>
          <w:lang w:val="nl-NL" w:eastAsia="fr-FR"/>
        </w:rPr>
        <w:t>karakte</w:t>
      </w:r>
      <w:r w:rsidR="007A6C00">
        <w:rPr>
          <w:sz w:val="25"/>
          <w:szCs w:val="25"/>
          <w:lang w:val="nl-NL" w:eastAsia="fr-FR"/>
        </w:rPr>
        <w:t>r</w:t>
      </w:r>
      <w:r w:rsidRPr="006D0278">
        <w:rPr>
          <w:sz w:val="25"/>
          <w:szCs w:val="25"/>
          <w:lang w:val="nl-NL" w:eastAsia="fr-FR"/>
        </w:rPr>
        <w:t xml:space="preserve"> heeft.</w:t>
      </w:r>
    </w:p>
    <w:p w:rsidR="00B33103" w:rsidRDefault="00B33103" w:rsidP="00F96962">
      <w:pPr>
        <w:ind w:left="900"/>
        <w:jc w:val="both"/>
        <w:rPr>
          <w:sz w:val="25"/>
          <w:szCs w:val="25"/>
          <w:lang w:val="nl-NL" w:eastAsia="fr-FR"/>
        </w:rPr>
      </w:pPr>
    </w:p>
    <w:p w:rsidR="00F96962" w:rsidRPr="006D0278" w:rsidRDefault="00B33103" w:rsidP="00F96962">
      <w:pPr>
        <w:ind w:left="900"/>
        <w:jc w:val="both"/>
        <w:rPr>
          <w:sz w:val="25"/>
          <w:szCs w:val="25"/>
          <w:lang w:val="nl-NL" w:eastAsia="fr-FR"/>
        </w:rPr>
      </w:pPr>
      <w:r w:rsidRPr="001D2CD4">
        <w:rPr>
          <w:sz w:val="25"/>
          <w:szCs w:val="25"/>
          <w:lang w:val="nl-NL" w:eastAsia="fr-FR"/>
        </w:rPr>
        <w:t xml:space="preserve">Voor de uitzonderlijke gevallen waarin het effectief niet mogelijk zou blijken om de feitelijke verblijfplaats van de dakloze op het moment van de steunaanvraag te achterhalen, is het OCMW waar de dakloze zijn steunaanvraag heeft ingediend het bevoegde OCMW want betrokkene </w:t>
      </w:r>
      <w:r w:rsidR="006D1583" w:rsidRPr="001D2CD4">
        <w:rPr>
          <w:sz w:val="25"/>
          <w:szCs w:val="25"/>
          <w:lang w:val="nl-NL" w:eastAsia="fr-FR"/>
        </w:rPr>
        <w:t>verbleef daar om zijn steunaanvraag in te dienen.</w:t>
      </w:r>
    </w:p>
    <w:p w:rsidR="00F96962" w:rsidRPr="006D0278" w:rsidRDefault="00F96962" w:rsidP="00F96962">
      <w:pPr>
        <w:autoSpaceDE w:val="0"/>
        <w:autoSpaceDN w:val="0"/>
        <w:adjustRightInd w:val="0"/>
        <w:ind w:left="1440"/>
        <w:jc w:val="both"/>
        <w:rPr>
          <w:sz w:val="25"/>
          <w:szCs w:val="25"/>
          <w:lang w:val="nl-NL" w:eastAsia="fr-FR"/>
        </w:rPr>
      </w:pPr>
    </w:p>
    <w:p w:rsidR="00F96962" w:rsidRPr="006D0278" w:rsidRDefault="00F96962" w:rsidP="00F96962">
      <w:pPr>
        <w:autoSpaceDE w:val="0"/>
        <w:autoSpaceDN w:val="0"/>
        <w:adjustRightInd w:val="0"/>
        <w:ind w:left="1440"/>
        <w:jc w:val="both"/>
        <w:rPr>
          <w:sz w:val="25"/>
          <w:szCs w:val="25"/>
          <w:lang w:val="nl-NL" w:eastAsia="fr-FR"/>
        </w:rPr>
      </w:pPr>
    </w:p>
    <w:p w:rsidR="00F96962" w:rsidRPr="006D0278" w:rsidRDefault="008E706C" w:rsidP="000145B6">
      <w:pPr>
        <w:pStyle w:val="Heading4"/>
        <w:ind w:left="720" w:firstLine="720"/>
        <w:rPr>
          <w:bCs w:val="0"/>
          <w:iCs/>
          <w:szCs w:val="25"/>
          <w:u w:val="single"/>
          <w:lang w:val="nl-NL" w:eastAsia="fr-FR"/>
        </w:rPr>
      </w:pPr>
      <w:bookmarkStart w:id="115" w:name="_Toc510775812"/>
      <w:r w:rsidRPr="006D0278">
        <w:rPr>
          <w:bCs w:val="0"/>
          <w:iCs/>
          <w:u w:val="single"/>
          <w:lang w:val="nl-NL" w:eastAsia="fr-FR"/>
        </w:rPr>
        <w:t>3.3. Het referentieadres</w:t>
      </w:r>
      <w:bookmarkEnd w:id="115"/>
    </w:p>
    <w:p w:rsidR="00F96962" w:rsidRPr="006D0278" w:rsidRDefault="00F96962" w:rsidP="00F96962">
      <w:pPr>
        <w:autoSpaceDE w:val="0"/>
        <w:autoSpaceDN w:val="0"/>
        <w:adjustRightInd w:val="0"/>
        <w:ind w:left="900"/>
        <w:jc w:val="both"/>
        <w:rPr>
          <w:lang w:val="nl-NL" w:eastAsia="fr-FR"/>
        </w:rPr>
      </w:pPr>
    </w:p>
    <w:p w:rsidR="00F96962" w:rsidRPr="006D0278" w:rsidRDefault="008E706C" w:rsidP="00F96962">
      <w:pPr>
        <w:autoSpaceDE w:val="0"/>
        <w:autoSpaceDN w:val="0"/>
        <w:adjustRightInd w:val="0"/>
        <w:ind w:left="900"/>
        <w:jc w:val="both"/>
        <w:rPr>
          <w:sz w:val="25"/>
          <w:szCs w:val="25"/>
          <w:lang w:val="nl-NL" w:eastAsia="fr-FR"/>
        </w:rPr>
      </w:pPr>
      <w:r w:rsidRPr="006D0278">
        <w:rPr>
          <w:lang w:val="nl-NL" w:eastAsia="fr-FR"/>
        </w:rPr>
        <w:t>Het referentieadres bepaalt de territoriale bevoegdheid van een OCMW niet.</w:t>
      </w:r>
    </w:p>
    <w:p w:rsidR="00F96962" w:rsidRDefault="008E706C" w:rsidP="00F96962">
      <w:pPr>
        <w:autoSpaceDE w:val="0"/>
        <w:autoSpaceDN w:val="0"/>
        <w:adjustRightInd w:val="0"/>
        <w:ind w:left="900"/>
        <w:jc w:val="both"/>
        <w:rPr>
          <w:sz w:val="25"/>
          <w:szCs w:val="25"/>
          <w:lang w:val="nl-NL" w:eastAsia="fr-FR"/>
        </w:rPr>
      </w:pPr>
      <w:r w:rsidRPr="006D0278">
        <w:rPr>
          <w:sz w:val="25"/>
          <w:szCs w:val="25"/>
          <w:lang w:val="nl-NL" w:eastAsia="fr-FR"/>
        </w:rPr>
        <w:t xml:space="preserve">Wanneer een dakloze een referentieadres heeft bij OCMW X, mag OCMW Y de inschrijving als referentieadres in de andere gemeente X niet aanwenden om de maatschappelijke dienstverlening te weigeren, terwijl de dakloze reeds zijn feitelijke verblijfplaats heeft op haar grondgebied. </w:t>
      </w:r>
    </w:p>
    <w:p w:rsidR="007A6C00" w:rsidRPr="006D0278" w:rsidRDefault="007A6C00" w:rsidP="00F96962">
      <w:pPr>
        <w:autoSpaceDE w:val="0"/>
        <w:autoSpaceDN w:val="0"/>
        <w:adjustRightInd w:val="0"/>
        <w:ind w:left="900"/>
        <w:jc w:val="both"/>
        <w:rPr>
          <w:sz w:val="25"/>
          <w:szCs w:val="25"/>
          <w:lang w:val="nl-NL" w:eastAsia="fr-FR"/>
        </w:rPr>
      </w:pPr>
    </w:p>
    <w:p w:rsidR="00F96962" w:rsidRPr="006D0278" w:rsidRDefault="00F96962" w:rsidP="00F96962">
      <w:pPr>
        <w:autoSpaceDE w:val="0"/>
        <w:autoSpaceDN w:val="0"/>
        <w:adjustRightInd w:val="0"/>
        <w:ind w:left="900"/>
        <w:jc w:val="both"/>
        <w:rPr>
          <w:sz w:val="25"/>
          <w:szCs w:val="25"/>
          <w:lang w:val="nl-NL" w:eastAsia="fr-FR"/>
        </w:rPr>
      </w:pPr>
    </w:p>
    <w:p w:rsidR="00F96962" w:rsidRPr="006D0278" w:rsidRDefault="008E706C" w:rsidP="000145B6">
      <w:pPr>
        <w:pStyle w:val="Heading4"/>
        <w:ind w:left="1440"/>
        <w:rPr>
          <w:bCs w:val="0"/>
          <w:szCs w:val="25"/>
          <w:u w:val="single"/>
          <w:lang w:val="nl-NL" w:eastAsia="fr-FR"/>
        </w:rPr>
      </w:pPr>
      <w:bookmarkStart w:id="116" w:name="_Toc510775813"/>
      <w:r w:rsidRPr="006D0278">
        <w:rPr>
          <w:bCs w:val="0"/>
          <w:u w:val="single"/>
          <w:lang w:val="nl-NL"/>
        </w:rPr>
        <w:t>3.4. De dakloze verblijft in één van de instellingen bedoeld in artikel 2, §1, van dezelfde wet</w:t>
      </w:r>
      <w:bookmarkEnd w:id="116"/>
    </w:p>
    <w:p w:rsidR="00F96962" w:rsidRPr="006D0278" w:rsidRDefault="00F96962" w:rsidP="00F96962">
      <w:pPr>
        <w:jc w:val="both"/>
        <w:rPr>
          <w:lang w:val="nl-NL"/>
        </w:rPr>
      </w:pPr>
    </w:p>
    <w:p w:rsidR="00F96962" w:rsidRPr="006D0278" w:rsidRDefault="008E706C" w:rsidP="00F96962">
      <w:pPr>
        <w:ind w:left="900"/>
        <w:jc w:val="both"/>
        <w:rPr>
          <w:lang w:val="nl-NL"/>
        </w:rPr>
      </w:pPr>
      <w:r w:rsidRPr="006D0278">
        <w:rPr>
          <w:lang w:val="nl-NL"/>
        </w:rPr>
        <w:t>De wet voorziet erin dat wanneer de dakloze verblijft in een van de instellingen bedoeld in artikel 2, §1, van dezelfde wet (erkend opvangtehuis, psychiatrisch ziekenhuis, erkend rusthuis, enz.), de bevoegdheidregel van artikel 2, §1, van toepassing is. Het OCMW van de gemeente waar de dakloze was ingeschreven op het ogenblik van zijn opname in de instelling is bevoegd.</w:t>
      </w:r>
    </w:p>
    <w:p w:rsidR="00F96962" w:rsidRPr="006D0278" w:rsidRDefault="00F96962" w:rsidP="00F96962">
      <w:pPr>
        <w:ind w:left="900"/>
        <w:jc w:val="both"/>
        <w:rPr>
          <w:lang w:val="nl-NL"/>
        </w:rPr>
      </w:pPr>
    </w:p>
    <w:p w:rsidR="00F96962" w:rsidRPr="006D0278" w:rsidRDefault="008E706C" w:rsidP="00F96962">
      <w:pPr>
        <w:ind w:left="900"/>
        <w:jc w:val="both"/>
        <w:rPr>
          <w:lang w:val="nl-NL"/>
        </w:rPr>
      </w:pPr>
      <w:r w:rsidRPr="006D0278">
        <w:rPr>
          <w:lang w:val="nl-NL"/>
        </w:rPr>
        <w:t>Wanneer de dakloze niet ingeschreven is in de registers of geen inschrijving heeft "als hoofdverblijfplaats", maar een inschrijving heeft al</w:t>
      </w:r>
      <w:r w:rsidR="007A6C00">
        <w:rPr>
          <w:lang w:val="nl-NL"/>
        </w:rPr>
        <w:t>s "referentieadres", zal men</w:t>
      </w:r>
      <w:r w:rsidRPr="006D0278">
        <w:rPr>
          <w:lang w:val="nl-NL"/>
        </w:rPr>
        <w:t xml:space="preserve"> terugvallen op de algemene bevoegdheidsregel van de gewoonlijke verblijfplaats. Het </w:t>
      </w:r>
      <w:r w:rsidR="007A6C00">
        <w:rPr>
          <w:lang w:val="nl-NL"/>
        </w:rPr>
        <w:t xml:space="preserve">zal het </w:t>
      </w:r>
      <w:r w:rsidRPr="006D0278">
        <w:rPr>
          <w:lang w:val="nl-NL"/>
        </w:rPr>
        <w:t>OCMW van de plaats zijn waar de bet</w:t>
      </w:r>
      <w:r w:rsidR="007A6C00">
        <w:rPr>
          <w:lang w:val="nl-NL"/>
        </w:rPr>
        <w:t>rokken instelling gevestigd is die</w:t>
      </w:r>
      <w:r w:rsidRPr="006D0278">
        <w:rPr>
          <w:lang w:val="nl-NL"/>
        </w:rPr>
        <w:t xml:space="preserve"> bevoegd </w:t>
      </w:r>
      <w:r w:rsidR="007A6C00">
        <w:rPr>
          <w:lang w:val="nl-NL"/>
        </w:rPr>
        <w:t xml:space="preserve">zal </w:t>
      </w:r>
      <w:r w:rsidRPr="006D0278">
        <w:rPr>
          <w:lang w:val="nl-NL"/>
        </w:rPr>
        <w:t>zijn.</w:t>
      </w:r>
    </w:p>
    <w:p w:rsidR="003D41B4" w:rsidRDefault="003D41B4" w:rsidP="003D41B4">
      <w:pPr>
        <w:pStyle w:val="Letter"/>
        <w:ind w:left="360" w:firstLine="360"/>
        <w:jc w:val="both"/>
        <w:rPr>
          <w:rFonts w:ascii="Times New Roman" w:hAnsi="Times New Roman"/>
          <w:sz w:val="24"/>
          <w:szCs w:val="24"/>
          <w:u w:val="single"/>
          <w:lang w:val="nl-NL"/>
        </w:rPr>
      </w:pPr>
    </w:p>
    <w:p w:rsidR="00196CA1" w:rsidRDefault="00196CA1" w:rsidP="003D41B4">
      <w:pPr>
        <w:pStyle w:val="Letter"/>
        <w:ind w:left="360" w:firstLine="360"/>
        <w:jc w:val="both"/>
        <w:rPr>
          <w:rFonts w:ascii="Times New Roman" w:hAnsi="Times New Roman"/>
          <w:sz w:val="24"/>
          <w:szCs w:val="24"/>
          <w:u w:val="single"/>
          <w:lang w:val="nl-NL"/>
        </w:rPr>
      </w:pPr>
    </w:p>
    <w:p w:rsidR="005A58F8" w:rsidRDefault="005A58F8" w:rsidP="003D41B4">
      <w:pPr>
        <w:pStyle w:val="Letter"/>
        <w:ind w:left="360" w:firstLine="360"/>
        <w:jc w:val="both"/>
        <w:rPr>
          <w:rFonts w:ascii="Times New Roman" w:hAnsi="Times New Roman"/>
          <w:sz w:val="24"/>
          <w:szCs w:val="24"/>
          <w:u w:val="single"/>
          <w:lang w:val="nl-NL"/>
        </w:rPr>
      </w:pPr>
    </w:p>
    <w:p w:rsidR="00196CA1" w:rsidRPr="005B4C8A" w:rsidRDefault="00F16CDE" w:rsidP="005B4C8A">
      <w:pPr>
        <w:pStyle w:val="Heading2"/>
        <w:numPr>
          <w:ilvl w:val="0"/>
          <w:numId w:val="44"/>
        </w:numPr>
        <w:rPr>
          <w:sz w:val="28"/>
          <w:szCs w:val="28"/>
        </w:rPr>
      </w:pPr>
      <w:bookmarkStart w:id="117" w:name="_Toc510775814"/>
      <w:r w:rsidRPr="005B4C8A">
        <w:rPr>
          <w:sz w:val="28"/>
          <w:szCs w:val="28"/>
        </w:rPr>
        <w:lastRenderedPageBreak/>
        <w:t>De</w:t>
      </w:r>
      <w:r w:rsidR="00196CA1" w:rsidRPr="005B4C8A">
        <w:rPr>
          <w:sz w:val="28"/>
          <w:szCs w:val="28"/>
        </w:rPr>
        <w:t xml:space="preserve"> sanctie</w:t>
      </w:r>
      <w:r w:rsidRPr="005B4C8A">
        <w:rPr>
          <w:sz w:val="28"/>
          <w:szCs w:val="28"/>
        </w:rPr>
        <w:t>’s</w:t>
      </w:r>
      <w:bookmarkEnd w:id="117"/>
    </w:p>
    <w:p w:rsidR="00F16CDE" w:rsidRDefault="00F16CDE" w:rsidP="00F16CDE">
      <w:pPr>
        <w:pStyle w:val="Letter"/>
        <w:jc w:val="both"/>
        <w:rPr>
          <w:rFonts w:ascii="Times New Roman" w:hAnsi="Times New Roman"/>
          <w:b/>
          <w:sz w:val="32"/>
          <w:szCs w:val="32"/>
          <w:highlight w:val="yellow"/>
          <w:lang w:val="nl-NL"/>
        </w:rPr>
      </w:pPr>
    </w:p>
    <w:p w:rsidR="00F16CDE" w:rsidRPr="006D0278" w:rsidRDefault="00F16CDE" w:rsidP="00F16CDE">
      <w:pPr>
        <w:pStyle w:val="Heading3"/>
        <w:rPr>
          <w:b/>
          <w:bCs/>
          <w:sz w:val="24"/>
          <w:u w:val="single"/>
          <w:lang w:val="nl-NL"/>
        </w:rPr>
      </w:pPr>
      <w:bookmarkStart w:id="118" w:name="_Toc510775815"/>
      <w:r w:rsidRPr="006D0278">
        <w:rPr>
          <w:b/>
          <w:bCs/>
          <w:sz w:val="24"/>
          <w:u w:val="single"/>
          <w:lang w:val="nl-NL"/>
        </w:rPr>
        <w:t>1. Aantal dossiers in 201</w:t>
      </w:r>
      <w:r w:rsidR="00B5154C">
        <w:rPr>
          <w:b/>
          <w:bCs/>
          <w:sz w:val="24"/>
          <w:u w:val="single"/>
          <w:lang w:val="nl-NL"/>
        </w:rPr>
        <w:t>7</w:t>
      </w:r>
      <w:bookmarkEnd w:id="118"/>
      <w:r w:rsidRPr="006D0278">
        <w:rPr>
          <w:b/>
          <w:bCs/>
          <w:sz w:val="24"/>
          <w:u w:val="single"/>
          <w:lang w:val="nl-NL"/>
        </w:rPr>
        <w:t xml:space="preserve"> </w:t>
      </w:r>
    </w:p>
    <w:p w:rsidR="00F16CDE" w:rsidRPr="006D0278" w:rsidRDefault="00F16CDE" w:rsidP="00F16CDE">
      <w:pPr>
        <w:ind w:left="720" w:firstLine="720"/>
        <w:jc w:val="both"/>
        <w:rPr>
          <w:lang w:val="nl-NL"/>
        </w:rPr>
      </w:pPr>
    </w:p>
    <w:p w:rsidR="00F16CDE" w:rsidRPr="006D0278" w:rsidRDefault="00602FCB" w:rsidP="00F16CDE">
      <w:pPr>
        <w:pStyle w:val="Opmaakprofiel1"/>
        <w:ind w:left="720" w:firstLine="720"/>
      </w:pPr>
      <w:r>
        <w:t xml:space="preserve">58 </w:t>
      </w:r>
      <w:r w:rsidR="00F16CDE" w:rsidRPr="006D0278">
        <w:t xml:space="preserve">dossiers op </w:t>
      </w:r>
      <w:r>
        <w:t>640</w:t>
      </w:r>
      <w:r w:rsidR="00BD2AF0">
        <w:t xml:space="preserve"> ontvankelijke dossiers</w:t>
      </w:r>
    </w:p>
    <w:p w:rsidR="00F16CDE" w:rsidRPr="006D0278" w:rsidRDefault="00F16CDE" w:rsidP="00F16CDE">
      <w:pPr>
        <w:ind w:left="720" w:firstLine="720"/>
        <w:jc w:val="both"/>
        <w:rPr>
          <w:lang w:val="nl-NL"/>
        </w:rPr>
      </w:pPr>
      <w:r w:rsidRPr="006D0278">
        <w:rPr>
          <w:lang w:val="nl-NL"/>
        </w:rPr>
        <w:t xml:space="preserve">Nederlandstalige dossiers: </w:t>
      </w:r>
      <w:r w:rsidR="00BD2AF0">
        <w:rPr>
          <w:lang w:val="nl-NL"/>
        </w:rPr>
        <w:t xml:space="preserve">3 </w:t>
      </w:r>
      <w:r w:rsidRPr="006D0278">
        <w:rPr>
          <w:lang w:val="nl-NL"/>
        </w:rPr>
        <w:t xml:space="preserve">op </w:t>
      </w:r>
      <w:r w:rsidR="00BD2AF0">
        <w:rPr>
          <w:lang w:val="nl-NL"/>
        </w:rPr>
        <w:t>150</w:t>
      </w:r>
      <w:r w:rsidRPr="006D0278">
        <w:rPr>
          <w:lang w:val="nl-NL"/>
        </w:rPr>
        <w:t xml:space="preserve"> </w:t>
      </w:r>
      <w:r>
        <w:rPr>
          <w:lang w:val="nl-NL"/>
        </w:rPr>
        <w:t xml:space="preserve">ontvankelijke dossiers, </w:t>
      </w:r>
    </w:p>
    <w:p w:rsidR="00F16CDE" w:rsidRPr="006D0278" w:rsidRDefault="00F16CDE" w:rsidP="00F16CDE">
      <w:pPr>
        <w:ind w:left="720" w:firstLine="720"/>
        <w:jc w:val="both"/>
        <w:rPr>
          <w:highlight w:val="yellow"/>
          <w:lang w:val="nl-NL"/>
        </w:rPr>
      </w:pPr>
      <w:r w:rsidRPr="006D0278">
        <w:rPr>
          <w:lang w:val="nl-NL"/>
        </w:rPr>
        <w:t xml:space="preserve">Franstalige dossiers: </w:t>
      </w:r>
      <w:r w:rsidR="00BD2AF0">
        <w:rPr>
          <w:lang w:val="nl-NL"/>
        </w:rPr>
        <w:t xml:space="preserve">55 </w:t>
      </w:r>
      <w:r w:rsidRPr="006D0278">
        <w:rPr>
          <w:lang w:val="nl-NL"/>
        </w:rPr>
        <w:t xml:space="preserve">op </w:t>
      </w:r>
      <w:r w:rsidR="00BD2AF0">
        <w:rPr>
          <w:lang w:val="nl-NL"/>
        </w:rPr>
        <w:t>490</w:t>
      </w:r>
      <w:r w:rsidRPr="006D0278">
        <w:rPr>
          <w:lang w:val="nl-NL"/>
        </w:rPr>
        <w:t xml:space="preserve"> ontvankelijke dossiers</w:t>
      </w:r>
      <w:r>
        <w:rPr>
          <w:lang w:val="nl-NL"/>
        </w:rPr>
        <w:t>.</w:t>
      </w:r>
      <w:r w:rsidRPr="006D0278">
        <w:rPr>
          <w:lang w:val="nl-NL"/>
        </w:rPr>
        <w:t xml:space="preserve"> </w:t>
      </w:r>
    </w:p>
    <w:p w:rsidR="00F16CDE" w:rsidRDefault="00F16CDE" w:rsidP="00F16CDE">
      <w:pPr>
        <w:ind w:left="900"/>
        <w:jc w:val="both"/>
        <w:rPr>
          <w:lang w:val="nl-NL"/>
        </w:rPr>
      </w:pPr>
    </w:p>
    <w:p w:rsidR="003F1927" w:rsidRPr="006D0278" w:rsidRDefault="003F1927" w:rsidP="00F16CDE">
      <w:pPr>
        <w:ind w:left="1440"/>
        <w:jc w:val="both"/>
        <w:rPr>
          <w:lang w:val="nl-NL"/>
        </w:rPr>
      </w:pPr>
    </w:p>
    <w:p w:rsidR="00D45152" w:rsidRPr="00F8768C" w:rsidRDefault="00D45152" w:rsidP="005B4C8A">
      <w:pPr>
        <w:pStyle w:val="Heading3"/>
        <w:rPr>
          <w:b/>
          <w:bCs/>
          <w:sz w:val="24"/>
          <w:u w:val="single"/>
          <w:lang w:val="nl-NL"/>
        </w:rPr>
      </w:pPr>
      <w:bookmarkStart w:id="119" w:name="_Toc510775816"/>
      <w:r w:rsidRPr="00F8768C">
        <w:rPr>
          <w:b/>
          <w:bCs/>
          <w:sz w:val="24"/>
          <w:u w:val="single"/>
          <w:lang w:val="nl-NL"/>
        </w:rPr>
        <w:t>2. Wettelijke bepaling</w:t>
      </w:r>
      <w:bookmarkEnd w:id="119"/>
    </w:p>
    <w:p w:rsidR="00196CA1" w:rsidRPr="007F2670" w:rsidRDefault="00196CA1" w:rsidP="00196CA1">
      <w:pPr>
        <w:pStyle w:val="Letter"/>
        <w:jc w:val="both"/>
        <w:rPr>
          <w:rFonts w:ascii="Times New Roman" w:hAnsi="Times New Roman"/>
          <w:b/>
          <w:sz w:val="24"/>
          <w:szCs w:val="24"/>
          <w:highlight w:val="yellow"/>
          <w:lang w:val="nl-NL"/>
        </w:rPr>
      </w:pPr>
    </w:p>
    <w:p w:rsidR="003F1927" w:rsidRDefault="003F1927" w:rsidP="003F1927">
      <w:pPr>
        <w:rPr>
          <w:lang w:val="nl-NL"/>
        </w:rPr>
      </w:pPr>
      <w:r w:rsidRPr="003F1927">
        <w:rPr>
          <w:lang w:val="nl-NL"/>
        </w:rPr>
        <w:t>Het artikel 58</w:t>
      </w:r>
      <w:r w:rsidR="008C3CD8">
        <w:rPr>
          <w:lang w:val="nl-NL"/>
        </w:rPr>
        <w:t>,</w:t>
      </w:r>
      <w:r w:rsidRPr="003F1927">
        <w:rPr>
          <w:lang w:val="nl-NL"/>
        </w:rPr>
        <w:t xml:space="preserve">§ 3, van de organieke wet betreffende de OCMW’s van 08/07/1976 bepaalt dat: </w:t>
      </w:r>
    </w:p>
    <w:p w:rsidR="00196CA1" w:rsidRPr="003F1927" w:rsidRDefault="003F1927" w:rsidP="003F1927">
      <w:pPr>
        <w:rPr>
          <w:lang w:val="nl-NL"/>
        </w:rPr>
      </w:pPr>
      <w:r w:rsidRPr="003F1927">
        <w:rPr>
          <w:lang w:val="nl-NL"/>
        </w:rPr>
        <w:t xml:space="preserve"> </w:t>
      </w:r>
    </w:p>
    <w:p w:rsidR="00BF3C89" w:rsidRDefault="003F1927" w:rsidP="00BF3C89">
      <w:pPr>
        <w:pStyle w:val="Letter"/>
        <w:pBdr>
          <w:top w:val="single" w:sz="4" w:space="1" w:color="auto"/>
          <w:left w:val="single" w:sz="4" w:space="4" w:color="auto"/>
          <w:bottom w:val="single" w:sz="4" w:space="1" w:color="auto"/>
          <w:right w:val="single" w:sz="4" w:space="4" w:color="auto"/>
        </w:pBdr>
        <w:shd w:val="clear" w:color="auto" w:fill="CCFFFF"/>
        <w:jc w:val="both"/>
        <w:rPr>
          <w:rFonts w:ascii="Times New Roman" w:hAnsi="Times New Roman"/>
          <w:sz w:val="24"/>
          <w:szCs w:val="24"/>
          <w:lang w:val="nl-NL"/>
        </w:rPr>
      </w:pPr>
      <w:r>
        <w:rPr>
          <w:rFonts w:ascii="Times New Roman" w:hAnsi="Times New Roman"/>
          <w:sz w:val="24"/>
          <w:szCs w:val="24"/>
          <w:lang w:val="nl-NL"/>
        </w:rPr>
        <w:t xml:space="preserve"> </w:t>
      </w:r>
    </w:p>
    <w:p w:rsidR="00D45152" w:rsidRDefault="003F1927" w:rsidP="00BF3C89">
      <w:pPr>
        <w:pStyle w:val="Letter"/>
        <w:pBdr>
          <w:top w:val="single" w:sz="4" w:space="1" w:color="auto"/>
          <w:left w:val="single" w:sz="4" w:space="4" w:color="auto"/>
          <w:bottom w:val="single" w:sz="4" w:space="1" w:color="auto"/>
          <w:right w:val="single" w:sz="4" w:space="4" w:color="auto"/>
        </w:pBdr>
        <w:shd w:val="clear" w:color="auto" w:fill="CCFFFF"/>
        <w:jc w:val="both"/>
        <w:rPr>
          <w:rFonts w:ascii="Times New Roman" w:hAnsi="Times New Roman"/>
          <w:sz w:val="24"/>
          <w:szCs w:val="24"/>
          <w:lang w:val="nl-NL"/>
        </w:rPr>
      </w:pPr>
      <w:r>
        <w:rPr>
          <w:rFonts w:ascii="Times New Roman" w:hAnsi="Times New Roman"/>
          <w:sz w:val="24"/>
          <w:szCs w:val="24"/>
          <w:lang w:val="nl-NL"/>
        </w:rPr>
        <w:t>“</w:t>
      </w:r>
      <w:r w:rsidRPr="00BF3C89">
        <w:rPr>
          <w:rFonts w:ascii="Times New Roman" w:hAnsi="Times New Roman"/>
          <w:i/>
          <w:sz w:val="24"/>
          <w:szCs w:val="24"/>
          <w:lang w:val="nl-NL"/>
        </w:rPr>
        <w:t>W</w:t>
      </w:r>
      <w:r w:rsidR="00196CA1" w:rsidRPr="00BF3C89">
        <w:rPr>
          <w:rFonts w:ascii="Times New Roman" w:hAnsi="Times New Roman"/>
          <w:i/>
          <w:sz w:val="24"/>
          <w:szCs w:val="24"/>
          <w:lang w:val="nl-NL"/>
        </w:rPr>
        <w:t>anneer een OCMW een steunaanvraag ontvangt waarvoor het zich onbevoegd acht, het deze aanvraag overzendt binnen de vijf kalenderdagen aan het volgens hem bevoegd OCMW</w:t>
      </w:r>
      <w:r w:rsidR="00F24C0B" w:rsidRPr="00BF3C89">
        <w:rPr>
          <w:rFonts w:ascii="Times New Roman" w:hAnsi="Times New Roman"/>
          <w:i/>
          <w:sz w:val="24"/>
          <w:szCs w:val="24"/>
          <w:lang w:val="nl-NL"/>
        </w:rPr>
        <w:t>. Binnen dezelfde termijn wordt de aanvrager schriftelijk in kennis gesteld van deze overzending. Het OCMW dat deze verplichting niet naleeft, moet overeenkomstig de door de wet gestelde voorwaarden, maatschappelijke dienstverlening verlenen zolang het de aanvraag niet heeft overgezonden en de redenen die aan de onbevoegdheid ten grondslag liggen niet heeft meegedeeld</w:t>
      </w:r>
      <w:r w:rsidR="00F24C0B" w:rsidRPr="00D45152">
        <w:rPr>
          <w:rFonts w:ascii="Times New Roman" w:hAnsi="Times New Roman"/>
          <w:sz w:val="24"/>
          <w:szCs w:val="24"/>
          <w:lang w:val="nl-NL"/>
        </w:rPr>
        <w:t>”.</w:t>
      </w:r>
    </w:p>
    <w:p w:rsidR="00BF3C89" w:rsidRDefault="00BF3C89" w:rsidP="00BF3C89">
      <w:pPr>
        <w:pStyle w:val="Letter"/>
        <w:pBdr>
          <w:top w:val="single" w:sz="4" w:space="1" w:color="auto"/>
          <w:left w:val="single" w:sz="4" w:space="4" w:color="auto"/>
          <w:bottom w:val="single" w:sz="4" w:space="1" w:color="auto"/>
          <w:right w:val="single" w:sz="4" w:space="4" w:color="auto"/>
        </w:pBdr>
        <w:shd w:val="clear" w:color="auto" w:fill="CCFFFF"/>
        <w:jc w:val="both"/>
        <w:rPr>
          <w:rFonts w:ascii="Times New Roman" w:hAnsi="Times New Roman"/>
          <w:sz w:val="24"/>
          <w:szCs w:val="24"/>
          <w:highlight w:val="yellow"/>
          <w:lang w:val="nl-NL"/>
        </w:rPr>
      </w:pPr>
    </w:p>
    <w:p w:rsidR="00D45152" w:rsidRPr="007F2670" w:rsidRDefault="00D45152" w:rsidP="00196CA1">
      <w:pPr>
        <w:pStyle w:val="Letter"/>
        <w:jc w:val="both"/>
        <w:rPr>
          <w:rFonts w:ascii="Times New Roman" w:hAnsi="Times New Roman"/>
          <w:sz w:val="24"/>
          <w:szCs w:val="24"/>
          <w:highlight w:val="yellow"/>
          <w:lang w:val="nl-NL"/>
        </w:rPr>
      </w:pPr>
    </w:p>
    <w:p w:rsidR="003F1927" w:rsidRDefault="00BF3C89" w:rsidP="00196CA1">
      <w:pPr>
        <w:pStyle w:val="Letter"/>
        <w:jc w:val="both"/>
        <w:rPr>
          <w:rFonts w:ascii="Times New Roman" w:hAnsi="Times New Roman"/>
          <w:sz w:val="24"/>
          <w:szCs w:val="24"/>
          <w:lang w:val="nl-NL"/>
        </w:rPr>
      </w:pPr>
      <w:r w:rsidRPr="00BF3C89">
        <w:rPr>
          <w:rFonts w:ascii="Times New Roman" w:hAnsi="Times New Roman"/>
          <w:sz w:val="24"/>
          <w:szCs w:val="24"/>
          <w:lang w:val="nl-NL"/>
        </w:rPr>
        <w:t>Deze sanctie is eveneens voorzien voor het Recht op Maatschappelijke Integratie in het artikel 18, §4, van de wet van 26 mei 2002 betreffende het Recht op Maatschappelijke Integratie.</w:t>
      </w:r>
    </w:p>
    <w:p w:rsidR="00F24C0B" w:rsidRPr="00D45152" w:rsidRDefault="00F24C0B" w:rsidP="00196CA1">
      <w:pPr>
        <w:pStyle w:val="Letter"/>
        <w:jc w:val="both"/>
        <w:rPr>
          <w:rFonts w:ascii="Times New Roman" w:hAnsi="Times New Roman"/>
          <w:sz w:val="24"/>
          <w:szCs w:val="24"/>
          <w:lang w:val="nl-NL"/>
        </w:rPr>
      </w:pPr>
      <w:r w:rsidRPr="00D45152">
        <w:rPr>
          <w:rFonts w:ascii="Times New Roman" w:hAnsi="Times New Roman"/>
          <w:sz w:val="24"/>
          <w:szCs w:val="24"/>
          <w:lang w:val="nl-NL"/>
        </w:rPr>
        <w:t>Deze sanctie werd voorzien in de wet om de steunaanvrager niet te lang in onzekerheid te laten inzake de vraag welk het bevoegde OCMW is voor zijn steunaanvraag.</w:t>
      </w:r>
    </w:p>
    <w:p w:rsidR="00F24C0B" w:rsidRPr="007F2670" w:rsidRDefault="00F24C0B" w:rsidP="00196CA1">
      <w:pPr>
        <w:pStyle w:val="Letter"/>
        <w:jc w:val="both"/>
        <w:rPr>
          <w:rFonts w:ascii="Times New Roman" w:hAnsi="Times New Roman"/>
          <w:sz w:val="24"/>
          <w:szCs w:val="24"/>
          <w:highlight w:val="yellow"/>
          <w:lang w:val="nl-NL"/>
        </w:rPr>
      </w:pPr>
    </w:p>
    <w:p w:rsidR="003F1927" w:rsidRPr="005B4C8A" w:rsidRDefault="003F1927" w:rsidP="005B4C8A">
      <w:pPr>
        <w:pStyle w:val="Heading3"/>
        <w:numPr>
          <w:ilvl w:val="0"/>
          <w:numId w:val="14"/>
        </w:numPr>
        <w:rPr>
          <w:b/>
          <w:sz w:val="24"/>
          <w:szCs w:val="24"/>
          <w:u w:val="single"/>
          <w:lang w:eastAsia="nl-BE" w:bidi="nl-BE"/>
        </w:rPr>
      </w:pPr>
      <w:bookmarkStart w:id="120" w:name="_Toc469647518"/>
      <w:bookmarkStart w:id="121" w:name="_Toc510775817"/>
      <w:r w:rsidRPr="005B4C8A">
        <w:rPr>
          <w:b/>
          <w:sz w:val="24"/>
          <w:szCs w:val="24"/>
          <w:u w:val="single"/>
          <w:lang w:eastAsia="nl-BE" w:bidi="nl-BE"/>
        </w:rPr>
        <w:t>Toepassing van de sanctie</w:t>
      </w:r>
      <w:bookmarkEnd w:id="120"/>
      <w:bookmarkEnd w:id="121"/>
    </w:p>
    <w:p w:rsidR="003F1927" w:rsidRPr="003F1927" w:rsidRDefault="003F1927" w:rsidP="003F1927">
      <w:pPr>
        <w:ind w:left="720" w:firstLine="360"/>
        <w:jc w:val="both"/>
        <w:rPr>
          <w:lang w:val="nl-NL" w:eastAsia="nl-BE" w:bidi="nl-BE"/>
        </w:rPr>
      </w:pPr>
    </w:p>
    <w:p w:rsidR="003F1927" w:rsidRPr="003F1927" w:rsidRDefault="003F1927" w:rsidP="003F1927">
      <w:pPr>
        <w:ind w:left="720" w:firstLine="360"/>
        <w:jc w:val="both"/>
        <w:rPr>
          <w:lang w:val="nl-NL" w:eastAsia="nl-BE" w:bidi="nl-BE"/>
        </w:rPr>
      </w:pPr>
      <w:r w:rsidRPr="003F1927">
        <w:rPr>
          <w:lang w:val="nl-NL" w:eastAsia="nl-BE" w:bidi="nl-BE"/>
        </w:rPr>
        <w:t xml:space="preserve">Deze sanctie werd in twee gevallen toegepast: </w:t>
      </w:r>
    </w:p>
    <w:p w:rsidR="003F1927" w:rsidRPr="003F1927" w:rsidRDefault="003F1927" w:rsidP="003F1927">
      <w:pPr>
        <w:ind w:left="720" w:firstLine="360"/>
        <w:jc w:val="both"/>
        <w:rPr>
          <w:lang w:val="nl-NL" w:eastAsia="nl-BE" w:bidi="nl-BE"/>
        </w:rPr>
      </w:pPr>
    </w:p>
    <w:p w:rsidR="003F1927" w:rsidRPr="003F1927" w:rsidRDefault="003F1927" w:rsidP="003F1927">
      <w:pPr>
        <w:numPr>
          <w:ilvl w:val="0"/>
          <w:numId w:val="42"/>
        </w:numPr>
        <w:jc w:val="both"/>
        <w:rPr>
          <w:lang w:val="nl-NL" w:eastAsia="nl-BE" w:bidi="nl-BE"/>
        </w:rPr>
      </w:pPr>
      <w:r w:rsidRPr="003F1927">
        <w:rPr>
          <w:lang w:val="nl-NL" w:eastAsia="nl-BE" w:bidi="nl-BE"/>
        </w:rPr>
        <w:t>Wanneer het eerste OCMW dat een steunaanvraag heeft ontvangen waarvoor het zich onbevoegd acht, deze steunaanvraag niet heeft bezorgd aan het OCMW dat het bevoegd acht.</w:t>
      </w:r>
    </w:p>
    <w:p w:rsidR="003F1927" w:rsidRPr="003F1927" w:rsidRDefault="003F1927" w:rsidP="003F1927">
      <w:pPr>
        <w:ind w:left="1440"/>
        <w:jc w:val="both"/>
        <w:rPr>
          <w:lang w:val="nl-NL" w:eastAsia="nl-BE" w:bidi="nl-BE"/>
        </w:rPr>
      </w:pPr>
    </w:p>
    <w:p w:rsidR="003F1927" w:rsidRDefault="003F1927" w:rsidP="003F1927">
      <w:pPr>
        <w:ind w:left="1440"/>
        <w:jc w:val="both"/>
        <w:rPr>
          <w:lang w:val="nl-NL" w:eastAsia="nl-BE" w:bidi="nl-BE"/>
        </w:rPr>
      </w:pPr>
      <w:r w:rsidRPr="003F1927">
        <w:rPr>
          <w:lang w:val="nl-NL" w:eastAsia="nl-BE" w:bidi="nl-BE"/>
        </w:rPr>
        <w:t>In dat geval moet dit eerste OCMW, overeenkomstig de door de wet gestelde voorwaarden, maatschappelijke dienstverlening verlenen aan de aanvrager, zolang het de aanvraag niet heeft bezorgd of de redenen die aan de onbevoegdheid ten grondslag liggen niet heeft meegedeeld aan het tweede OCMW dat het bevoegd acht. </w:t>
      </w:r>
    </w:p>
    <w:p w:rsidR="005B4C8A" w:rsidRPr="003F1927" w:rsidRDefault="005B4C8A" w:rsidP="003F1927">
      <w:pPr>
        <w:ind w:left="1440"/>
        <w:jc w:val="both"/>
        <w:rPr>
          <w:lang w:val="nl-NL" w:eastAsia="nl-BE" w:bidi="nl-BE"/>
        </w:rPr>
      </w:pPr>
    </w:p>
    <w:p w:rsidR="003F1927" w:rsidRPr="003F1927" w:rsidRDefault="003F1927" w:rsidP="003F1927">
      <w:pPr>
        <w:numPr>
          <w:ilvl w:val="0"/>
          <w:numId w:val="42"/>
        </w:numPr>
        <w:jc w:val="both"/>
        <w:rPr>
          <w:lang w:val="nl-NL" w:eastAsia="nl-BE" w:bidi="nl-BE"/>
        </w:rPr>
      </w:pPr>
      <w:r w:rsidRPr="003F1927">
        <w:rPr>
          <w:lang w:val="nl-NL" w:eastAsia="nl-BE" w:bidi="nl-BE"/>
        </w:rPr>
        <w:t xml:space="preserve">Wanneer het eerste OCMW dat een steunaanvraag heeft ontvangen waarvoor het zich onbevoegd acht, deze steunaanvraag buiten termijn heeft bezorgd aan het OCMW dat het bevoegd acht. </w:t>
      </w:r>
    </w:p>
    <w:p w:rsidR="003F1927" w:rsidRPr="003F1927" w:rsidRDefault="003F1927" w:rsidP="003F1927">
      <w:pPr>
        <w:ind w:left="1440"/>
        <w:jc w:val="both"/>
        <w:rPr>
          <w:lang w:val="nl-NL" w:eastAsia="nl-BE" w:bidi="nl-BE"/>
        </w:rPr>
      </w:pPr>
    </w:p>
    <w:p w:rsidR="003F1927" w:rsidRPr="003F1927" w:rsidRDefault="003F1927" w:rsidP="003F1927">
      <w:pPr>
        <w:ind w:left="1440"/>
        <w:jc w:val="both"/>
        <w:rPr>
          <w:lang w:val="nl-NL" w:eastAsia="nl-BE" w:bidi="nl-BE"/>
        </w:rPr>
      </w:pPr>
      <w:r w:rsidRPr="003F1927">
        <w:rPr>
          <w:lang w:val="nl-NL" w:eastAsia="nl-BE" w:bidi="nl-BE"/>
        </w:rPr>
        <w:lastRenderedPageBreak/>
        <w:t>Wanneer het eerste OCMW de wettelijke termijn van vijf kalenderdagen om de steunaanvraag te bezorgen, niet heeft nageleefd, moet het, volgens de voorwaarden vastgelegd door de wet, zelf de maatschappelijke dienstverlening toekennen aan de steunaanvrager, vanaf de datum van de ontvangst van de steunaanvraag tot de dag waarop deze aanvraag aan het tweede OCMW wordt bezorgd.</w:t>
      </w:r>
    </w:p>
    <w:p w:rsidR="003F1927" w:rsidRDefault="003F1927" w:rsidP="003F1927">
      <w:pPr>
        <w:ind w:left="720" w:firstLine="360"/>
        <w:jc w:val="both"/>
        <w:rPr>
          <w:lang w:val="nl-NL" w:eastAsia="nl-BE" w:bidi="nl-BE"/>
        </w:rPr>
      </w:pPr>
    </w:p>
    <w:p w:rsidR="00803D09" w:rsidRDefault="00803D09" w:rsidP="003F1927">
      <w:pPr>
        <w:ind w:left="720" w:firstLine="360"/>
        <w:jc w:val="both"/>
        <w:rPr>
          <w:lang w:val="nl-NL" w:eastAsia="nl-BE" w:bidi="nl-BE"/>
        </w:rPr>
      </w:pPr>
    </w:p>
    <w:p w:rsidR="00803D09" w:rsidRDefault="00803D09" w:rsidP="003F1927">
      <w:pPr>
        <w:ind w:left="720" w:firstLine="360"/>
        <w:jc w:val="both"/>
        <w:rPr>
          <w:lang w:val="nl-NL" w:eastAsia="nl-BE" w:bidi="nl-BE"/>
        </w:rPr>
      </w:pPr>
    </w:p>
    <w:p w:rsidR="00803D09" w:rsidRPr="001D2CD4" w:rsidRDefault="00803D09" w:rsidP="003F1927">
      <w:pPr>
        <w:ind w:left="720" w:firstLine="360"/>
        <w:jc w:val="both"/>
        <w:rPr>
          <w:lang w:val="nl-NL" w:eastAsia="nl-BE" w:bidi="nl-BE"/>
        </w:rPr>
      </w:pPr>
      <w:r w:rsidRPr="001D2CD4">
        <w:rPr>
          <w:lang w:val="nl-NL" w:eastAsia="nl-BE" w:bidi="nl-BE"/>
        </w:rPr>
        <w:t>Als deze sanctie niet werd ingeroepen door een OCMW bij het beslechten van het</w:t>
      </w:r>
    </w:p>
    <w:p w:rsidR="00803D09" w:rsidRPr="001D2CD4" w:rsidRDefault="00803D09" w:rsidP="003F1927">
      <w:pPr>
        <w:ind w:left="720" w:firstLine="360"/>
        <w:jc w:val="both"/>
        <w:rPr>
          <w:lang w:val="nl-NL" w:eastAsia="nl-BE" w:bidi="nl-BE"/>
        </w:rPr>
      </w:pPr>
      <w:r w:rsidRPr="001D2CD4">
        <w:rPr>
          <w:lang w:val="nl-NL" w:eastAsia="nl-BE" w:bidi="nl-BE"/>
        </w:rPr>
        <w:t xml:space="preserve">bevoegdheidsconflict, kan het OCMW deze sanctie later niet voor de eerste maal </w:t>
      </w:r>
    </w:p>
    <w:p w:rsidR="00803D09" w:rsidRPr="001D2CD4" w:rsidRDefault="00803D09" w:rsidP="003F1927">
      <w:pPr>
        <w:ind w:left="720" w:firstLine="360"/>
        <w:jc w:val="both"/>
        <w:rPr>
          <w:lang w:val="nl-NL" w:eastAsia="nl-BE" w:bidi="nl-BE"/>
        </w:rPr>
      </w:pPr>
      <w:r w:rsidRPr="001D2CD4">
        <w:rPr>
          <w:lang w:val="nl-NL" w:eastAsia="nl-BE" w:bidi="nl-BE"/>
        </w:rPr>
        <w:t>inroepen om een herziening van de beslissing van dienst Bevoegdheidsconflicten</w:t>
      </w:r>
    </w:p>
    <w:p w:rsidR="00803D09" w:rsidRDefault="00803D09" w:rsidP="003F1927">
      <w:pPr>
        <w:ind w:left="720" w:firstLine="360"/>
        <w:jc w:val="both"/>
        <w:rPr>
          <w:lang w:val="nl-NL" w:eastAsia="nl-BE" w:bidi="nl-BE"/>
        </w:rPr>
      </w:pPr>
      <w:r w:rsidRPr="001D2CD4">
        <w:rPr>
          <w:lang w:val="nl-NL" w:eastAsia="nl-BE" w:bidi="nl-BE"/>
        </w:rPr>
        <w:t>van de POD MI te verkrijgen.</w:t>
      </w:r>
      <w:r>
        <w:rPr>
          <w:lang w:val="nl-NL" w:eastAsia="nl-BE" w:bidi="nl-BE"/>
        </w:rPr>
        <w:t xml:space="preserve"> </w:t>
      </w:r>
    </w:p>
    <w:p w:rsidR="00803D09" w:rsidRPr="003F1927" w:rsidRDefault="00803D09" w:rsidP="003F1927">
      <w:pPr>
        <w:ind w:left="720" w:firstLine="360"/>
        <w:jc w:val="both"/>
        <w:rPr>
          <w:lang w:val="nl-NL" w:eastAsia="nl-BE" w:bidi="nl-BE"/>
        </w:rPr>
      </w:pPr>
      <w:r>
        <w:rPr>
          <w:lang w:val="nl-NL" w:eastAsia="nl-BE" w:bidi="nl-BE"/>
        </w:rPr>
        <w:t xml:space="preserve">  </w:t>
      </w:r>
    </w:p>
    <w:p w:rsidR="003F1927" w:rsidRPr="003F1927" w:rsidRDefault="003F1927" w:rsidP="003F1927">
      <w:pPr>
        <w:ind w:left="720" w:firstLine="360"/>
        <w:jc w:val="both"/>
        <w:rPr>
          <w:lang w:val="nl-NL" w:eastAsia="nl-BE" w:bidi="nl-BE"/>
        </w:rPr>
      </w:pPr>
    </w:p>
    <w:p w:rsidR="00196CA1" w:rsidRDefault="00196CA1" w:rsidP="00196CA1">
      <w:pPr>
        <w:pStyle w:val="Letter"/>
        <w:ind w:left="360"/>
        <w:jc w:val="both"/>
        <w:rPr>
          <w:rFonts w:ascii="Times New Roman" w:hAnsi="Times New Roman"/>
          <w:b/>
          <w:sz w:val="24"/>
          <w:szCs w:val="24"/>
          <w:lang w:val="nl-NL"/>
        </w:rPr>
      </w:pPr>
    </w:p>
    <w:p w:rsidR="00196CA1" w:rsidRPr="00196CA1" w:rsidRDefault="00196CA1" w:rsidP="00196CA1">
      <w:pPr>
        <w:pStyle w:val="Letter"/>
        <w:ind w:left="360"/>
        <w:jc w:val="both"/>
        <w:rPr>
          <w:rFonts w:ascii="Times New Roman" w:hAnsi="Times New Roman"/>
          <w:b/>
          <w:sz w:val="24"/>
          <w:szCs w:val="24"/>
          <w:lang w:val="nl-NL"/>
        </w:rPr>
      </w:pPr>
    </w:p>
    <w:p w:rsidR="00191942" w:rsidRPr="006D0278" w:rsidRDefault="00191942" w:rsidP="00191942">
      <w:pPr>
        <w:rPr>
          <w:lang w:val="nl-NL"/>
        </w:rPr>
      </w:pPr>
    </w:p>
    <w:p w:rsidR="00464092" w:rsidRPr="000A1966" w:rsidRDefault="00464092" w:rsidP="000A1966">
      <w:pPr>
        <w:pStyle w:val="Heading1"/>
        <w:pBdr>
          <w:top w:val="single" w:sz="4" w:space="1" w:color="auto"/>
          <w:left w:val="single" w:sz="4" w:space="4" w:color="auto"/>
          <w:bottom w:val="single" w:sz="4" w:space="1" w:color="auto"/>
          <w:right w:val="single" w:sz="4" w:space="4" w:color="auto"/>
        </w:pBdr>
        <w:jc w:val="both"/>
        <w:rPr>
          <w:lang w:val="nl-NL"/>
        </w:rPr>
      </w:pPr>
      <w:r w:rsidRPr="006D0278">
        <w:rPr>
          <w:lang w:val="nl-NL"/>
        </w:rPr>
        <w:br w:type="page"/>
      </w:r>
      <w:bookmarkStart w:id="122" w:name="_Toc510775818"/>
      <w:r w:rsidR="008E706C" w:rsidRPr="000A1966">
        <w:rPr>
          <w:lang w:val="nl-NL"/>
        </w:rPr>
        <w:lastRenderedPageBreak/>
        <w:t>I</w:t>
      </w:r>
      <w:bookmarkStart w:id="123" w:name="_Toc199312604"/>
      <w:r w:rsidR="008E706C" w:rsidRPr="000A1966">
        <w:rPr>
          <w:lang w:val="nl-NL"/>
        </w:rPr>
        <w:t>V. Acties en voorstellen van de Dienst Bevoegdheidsconflicten om de OCMW's te helpen bij het behandelen van de bevoegdheids</w:t>
      </w:r>
      <w:bookmarkEnd w:id="123"/>
      <w:r w:rsidR="008E706C" w:rsidRPr="000A1966">
        <w:rPr>
          <w:lang w:val="nl-NL"/>
        </w:rPr>
        <w:t>conflicten</w:t>
      </w:r>
      <w:bookmarkEnd w:id="122"/>
      <w:r w:rsidR="008E706C" w:rsidRPr="000A1966">
        <w:rPr>
          <w:lang w:val="nl-NL"/>
        </w:rPr>
        <w:t xml:space="preserve"> </w:t>
      </w:r>
    </w:p>
    <w:p w:rsidR="00464092" w:rsidRPr="006D0278" w:rsidRDefault="00464092" w:rsidP="00464092">
      <w:pPr>
        <w:jc w:val="both"/>
        <w:rPr>
          <w:lang w:val="nl-NL"/>
        </w:rPr>
      </w:pPr>
    </w:p>
    <w:p w:rsidR="00464092" w:rsidRDefault="00464092" w:rsidP="00464092">
      <w:pPr>
        <w:jc w:val="both"/>
        <w:rPr>
          <w:lang w:val="nl-NL"/>
        </w:rPr>
      </w:pPr>
    </w:p>
    <w:p w:rsidR="00CD422A" w:rsidRPr="00EA0784" w:rsidRDefault="00EA0784" w:rsidP="00464092">
      <w:pPr>
        <w:jc w:val="both"/>
        <w:rPr>
          <w:b/>
          <w:u w:val="single"/>
          <w:lang w:val="nl-NL"/>
        </w:rPr>
      </w:pPr>
      <w:r w:rsidRPr="00EA0784">
        <w:rPr>
          <w:b/>
          <w:u w:val="single"/>
          <w:lang w:val="nl-NL"/>
        </w:rPr>
        <w:t xml:space="preserve">1. Het interactief elektronisch formulier </w:t>
      </w:r>
    </w:p>
    <w:p w:rsidR="00CD422A" w:rsidRPr="006D0278" w:rsidRDefault="00CD422A" w:rsidP="00464092">
      <w:pPr>
        <w:jc w:val="both"/>
        <w:rPr>
          <w:lang w:val="nl-NL"/>
        </w:rPr>
      </w:pPr>
    </w:p>
    <w:p w:rsidR="00464092" w:rsidRPr="006D0278" w:rsidRDefault="005E2D5B" w:rsidP="00464092">
      <w:pPr>
        <w:jc w:val="both"/>
        <w:rPr>
          <w:lang w:val="nl-NL"/>
        </w:rPr>
      </w:pPr>
      <w:r>
        <w:rPr>
          <w:lang w:val="nl-NL"/>
        </w:rPr>
        <w:t>Het vermijden van bevoegdheidsconflicten betekent zowel voor de OCMW’s, als voor de Dienst Bevoegdheidsconflicten een uitgesproken tijdsbesparing. Mede i</w:t>
      </w:r>
      <w:r w:rsidR="008E706C" w:rsidRPr="006D0278">
        <w:rPr>
          <w:lang w:val="nl-NL"/>
        </w:rPr>
        <w:t xml:space="preserve">n het belang van de steunaanvrager geeft de dienst proactief adviezen aan de OCMW’s over de concrete toepassing van deze verschillende </w:t>
      </w:r>
      <w:r>
        <w:rPr>
          <w:lang w:val="nl-NL"/>
        </w:rPr>
        <w:t>territoriale bevoegdheids</w:t>
      </w:r>
      <w:r w:rsidR="008E706C" w:rsidRPr="006D0278">
        <w:rPr>
          <w:lang w:val="nl-NL"/>
        </w:rPr>
        <w:t>regels in specifieke situaties, zodat bevoegdheidsconflicten tussen OCMW’s kunnen worden vermeden.</w:t>
      </w:r>
    </w:p>
    <w:p w:rsidR="002A274B" w:rsidRPr="006D0278" w:rsidRDefault="002A274B" w:rsidP="00464092">
      <w:pPr>
        <w:jc w:val="both"/>
        <w:rPr>
          <w:lang w:val="nl-NL"/>
        </w:rPr>
      </w:pPr>
    </w:p>
    <w:p w:rsidR="009D1FA9" w:rsidRDefault="008E706C" w:rsidP="00464092">
      <w:pPr>
        <w:jc w:val="both"/>
        <w:rPr>
          <w:lang w:val="nl-NL"/>
        </w:rPr>
      </w:pPr>
      <w:r w:rsidRPr="006D0278">
        <w:rPr>
          <w:lang w:val="nl-NL"/>
        </w:rPr>
        <w:t xml:space="preserve">Met het oog op de administratieve vereenvoudiging en de verbetering van de procedure tot oplossing van bevoegdheidsconflicten, </w:t>
      </w:r>
      <w:r w:rsidR="005E2D5B">
        <w:rPr>
          <w:lang w:val="nl-NL"/>
        </w:rPr>
        <w:t xml:space="preserve">is een interactief formulier ontwikkeld, waarbij </w:t>
      </w:r>
      <w:r w:rsidRPr="006D0278">
        <w:rPr>
          <w:lang w:val="nl-NL"/>
        </w:rPr>
        <w:t>wordt gebruik gemaakt van de elektronische handtekening</w:t>
      </w:r>
      <w:r w:rsidR="005E2D5B">
        <w:rPr>
          <w:lang w:val="nl-NL"/>
        </w:rPr>
        <w:t xml:space="preserve">. </w:t>
      </w:r>
      <w:r w:rsidR="009D1FA9">
        <w:rPr>
          <w:lang w:val="nl-NL"/>
        </w:rPr>
        <w:t>Bovendien is het formulier zo ontworpen dat de indiener van het bevoegdheidsconflict op basis van de ingeroepen territoriale bevoegdheidsregel, de relevante informatierubrieken en bijlagen voorgeschoteld krijgt. Bij het respecteren van de interactieve procedure krijgt de indiener, mocht hij foute of onvolledige velden willen indienen, relevante gestandaardiseerde foutboodschappen.</w:t>
      </w:r>
    </w:p>
    <w:p w:rsidR="009D1FA9" w:rsidRDefault="009D1FA9" w:rsidP="00464092">
      <w:pPr>
        <w:jc w:val="both"/>
        <w:rPr>
          <w:lang w:val="nl-NL"/>
        </w:rPr>
      </w:pPr>
    </w:p>
    <w:p w:rsidR="005E2D5B" w:rsidRDefault="005E2D5B" w:rsidP="00464092">
      <w:pPr>
        <w:jc w:val="both"/>
        <w:rPr>
          <w:lang w:val="nl-NL"/>
        </w:rPr>
      </w:pPr>
      <w:r>
        <w:rPr>
          <w:lang w:val="nl-NL"/>
        </w:rPr>
        <w:t xml:space="preserve">Het OCMW dat de kennisgeving van onbevoegdheid over maakte aan het bevoegd geacht OCMW, wordt </w:t>
      </w:r>
      <w:r w:rsidR="009D1FA9">
        <w:rPr>
          <w:lang w:val="nl-NL"/>
        </w:rPr>
        <w:t xml:space="preserve">tevens </w:t>
      </w:r>
      <w:r>
        <w:rPr>
          <w:lang w:val="nl-NL"/>
        </w:rPr>
        <w:t xml:space="preserve">op de hoogte gebracht </w:t>
      </w:r>
      <w:r w:rsidR="009D1FA9">
        <w:rPr>
          <w:lang w:val="nl-NL"/>
        </w:rPr>
        <w:t>va</w:t>
      </w:r>
      <w:r>
        <w:rPr>
          <w:lang w:val="nl-NL"/>
        </w:rPr>
        <w:t xml:space="preserve">n de aanvraag tot oplossing van een bevoegdheidsconflict, als dit tweede OCMW zich eveneens onbevoegd acht. Hierdoor kan ook </w:t>
      </w:r>
      <w:r w:rsidR="009D1FA9">
        <w:rPr>
          <w:lang w:val="nl-NL"/>
        </w:rPr>
        <w:t>het</w:t>
      </w:r>
      <w:r>
        <w:rPr>
          <w:lang w:val="nl-NL"/>
        </w:rPr>
        <w:t xml:space="preserve"> OCMW </w:t>
      </w:r>
      <w:r w:rsidR="009D1FA9">
        <w:rPr>
          <w:lang w:val="nl-NL"/>
        </w:rPr>
        <w:t xml:space="preserve">dat de steunaanvraag als eerste ontving, eveneens </w:t>
      </w:r>
      <w:r>
        <w:rPr>
          <w:lang w:val="nl-NL"/>
        </w:rPr>
        <w:t>aan de Dienst Bevoegdheidsconflicten feitelijke en juridische elementen aandragen.</w:t>
      </w:r>
    </w:p>
    <w:p w:rsidR="005E2D5B" w:rsidRDefault="005E2D5B" w:rsidP="00464092">
      <w:pPr>
        <w:jc w:val="both"/>
        <w:rPr>
          <w:lang w:val="nl-NL"/>
        </w:rPr>
      </w:pPr>
    </w:p>
    <w:p w:rsidR="00464092" w:rsidRPr="006D0278" w:rsidRDefault="005E2D5B" w:rsidP="00464092">
      <w:pPr>
        <w:jc w:val="both"/>
        <w:rPr>
          <w:lang w:val="nl-NL"/>
        </w:rPr>
      </w:pPr>
      <w:r>
        <w:rPr>
          <w:lang w:val="nl-NL"/>
        </w:rPr>
        <w:t>Met het interactief formulier verloopt de hele informatiestroom</w:t>
      </w:r>
      <w:r w:rsidR="00050D84">
        <w:rPr>
          <w:lang w:val="nl-NL"/>
        </w:rPr>
        <w:t xml:space="preserve"> </w:t>
      </w:r>
      <w:r w:rsidR="008E706C" w:rsidRPr="006D0278">
        <w:rPr>
          <w:lang w:val="nl-NL"/>
        </w:rPr>
        <w:t>via elektronische weg.</w:t>
      </w:r>
      <w:r w:rsidR="009D1FA9">
        <w:rPr>
          <w:lang w:val="nl-NL"/>
        </w:rPr>
        <w:t xml:space="preserve"> Het respecteren van de applicatie volgens de beoogde procedure is essentieel om </w:t>
      </w:r>
      <w:r w:rsidR="00D3785C">
        <w:rPr>
          <w:lang w:val="nl-NL"/>
        </w:rPr>
        <w:t xml:space="preserve">de betrokken OCMW’s te ondersteunen. </w:t>
      </w:r>
    </w:p>
    <w:p w:rsidR="00191942" w:rsidRPr="006D0278" w:rsidRDefault="00191942" w:rsidP="00191942">
      <w:pPr>
        <w:rPr>
          <w:lang w:val="nl-NL"/>
        </w:rPr>
      </w:pPr>
    </w:p>
    <w:p w:rsidR="00240726" w:rsidRDefault="00D3785C" w:rsidP="00161F9B">
      <w:pPr>
        <w:jc w:val="both"/>
        <w:rPr>
          <w:lang w:val="nl-NL"/>
        </w:rPr>
      </w:pPr>
      <w:r>
        <w:rPr>
          <w:lang w:val="nl-NL"/>
        </w:rPr>
        <w:t>Het</w:t>
      </w:r>
      <w:r w:rsidRPr="00655650">
        <w:rPr>
          <w:lang w:val="nl-NL"/>
        </w:rPr>
        <w:t xml:space="preserve"> </w:t>
      </w:r>
      <w:r w:rsidR="00424CE2" w:rsidRPr="00655650">
        <w:rPr>
          <w:lang w:val="nl-NL"/>
        </w:rPr>
        <w:t>interactief electronisch formulier is beschikbaar op de website van de POD Maatschappelijke Integratie :</w:t>
      </w:r>
      <w:r w:rsidR="00502BC1">
        <w:rPr>
          <w:lang w:val="nl-NL"/>
        </w:rPr>
        <w:t xml:space="preserve"> </w:t>
      </w:r>
      <w:hyperlink r:id="rId14" w:history="1">
        <w:r w:rsidR="00424CE2" w:rsidRPr="00655650">
          <w:rPr>
            <w:rStyle w:val="Hyperlink"/>
            <w:lang w:val="nl-NL"/>
          </w:rPr>
          <w:t>www.mi-is.be</w:t>
        </w:r>
      </w:hyperlink>
      <w:r w:rsidR="00502BC1">
        <w:rPr>
          <w:lang w:val="nl-NL"/>
        </w:rPr>
        <w:t xml:space="preserve">, </w:t>
      </w:r>
      <w:r w:rsidR="00424CE2" w:rsidRPr="00655650">
        <w:rPr>
          <w:lang w:val="nl-NL"/>
        </w:rPr>
        <w:t xml:space="preserve">in de rubriek </w:t>
      </w:r>
      <w:r w:rsidR="00901F70">
        <w:rPr>
          <w:lang w:val="nl-NL"/>
        </w:rPr>
        <w:t xml:space="preserve">Tools </w:t>
      </w:r>
      <w:r w:rsidR="00424CE2" w:rsidRPr="00655650">
        <w:rPr>
          <w:lang w:val="nl-NL"/>
        </w:rPr>
        <w:t>OCMW, Bevoegdheidsconflicten, Document, Aanvraagformulier om een bevoegdheidsconflict op te lossen : interactieve versie.</w:t>
      </w:r>
    </w:p>
    <w:p w:rsidR="00EA0784" w:rsidRDefault="00EA0784" w:rsidP="00161F9B">
      <w:pPr>
        <w:jc w:val="both"/>
        <w:rPr>
          <w:lang w:val="nl-NL"/>
        </w:rPr>
      </w:pPr>
    </w:p>
    <w:p w:rsidR="00EA0784" w:rsidRDefault="00EA0784" w:rsidP="00161F9B">
      <w:pPr>
        <w:jc w:val="both"/>
        <w:rPr>
          <w:lang w:val="nl-NL"/>
        </w:rPr>
      </w:pPr>
    </w:p>
    <w:p w:rsidR="00EA0784" w:rsidRPr="001D2CD4" w:rsidRDefault="00BA0AB6" w:rsidP="00BA0AB6">
      <w:pPr>
        <w:jc w:val="both"/>
        <w:rPr>
          <w:b/>
          <w:u w:val="single"/>
          <w:lang w:val="nl-NL"/>
        </w:rPr>
      </w:pPr>
      <w:r w:rsidRPr="001D2CD4">
        <w:rPr>
          <w:b/>
          <w:u w:val="single"/>
          <w:lang w:val="nl-NL"/>
        </w:rPr>
        <w:t xml:space="preserve">2. </w:t>
      </w:r>
      <w:r w:rsidR="00ED04CC" w:rsidRPr="001D2CD4">
        <w:rPr>
          <w:b/>
          <w:u w:val="single"/>
          <w:lang w:val="nl-NL"/>
        </w:rPr>
        <w:t>Een n</w:t>
      </w:r>
      <w:r w:rsidRPr="001D2CD4">
        <w:rPr>
          <w:b/>
          <w:u w:val="single"/>
          <w:lang w:val="nl-NL"/>
        </w:rPr>
        <w:t>ieuwe bevoegdheidsregel artikel 2 § 9 van wet van 2 april 1965 voor medische hulp in 2018</w:t>
      </w:r>
    </w:p>
    <w:p w:rsidR="00BA0AB6" w:rsidRPr="001D2CD4" w:rsidRDefault="00BA0AB6" w:rsidP="00BA0AB6">
      <w:pPr>
        <w:jc w:val="both"/>
        <w:rPr>
          <w:lang w:val="nl-NL"/>
        </w:rPr>
      </w:pPr>
    </w:p>
    <w:p w:rsidR="00BA0AB6" w:rsidRPr="001D2CD4" w:rsidRDefault="00BA0AB6" w:rsidP="00BA0AB6">
      <w:pPr>
        <w:jc w:val="both"/>
        <w:rPr>
          <w:lang w:val="nl-NL"/>
        </w:rPr>
      </w:pPr>
      <w:r w:rsidRPr="001D2CD4">
        <w:rPr>
          <w:lang w:val="nl-NL"/>
        </w:rPr>
        <w:t>In het kader van de MediPrima-hervorming en de medische kaart is het aantal bevoegdheidsconflicten inzake steunaanvragen medische hulp in 2017 sterk toegenomen, vooral bij de Brusselse OCMW’s.</w:t>
      </w:r>
      <w:r w:rsidR="00E41207" w:rsidRPr="001D2CD4">
        <w:rPr>
          <w:lang w:val="nl-NL"/>
        </w:rPr>
        <w:t xml:space="preserve"> Daarom is er geopteerd om in 2018 een nieuwe territoriale bevoegdheidsregel artikel 2 § 9 van de wet van 2 april 1965 voor de medische hulp</w:t>
      </w:r>
      <w:r w:rsidR="00866A00" w:rsidRPr="001D2CD4">
        <w:rPr>
          <w:lang w:val="nl-NL"/>
        </w:rPr>
        <w:t xml:space="preserve"> te creëren om zo deze bevoegdheidsconflicten te vermijden; </w:t>
      </w:r>
      <w:r w:rsidR="00E41207" w:rsidRPr="001D2CD4">
        <w:rPr>
          <w:lang w:val="nl-NL"/>
        </w:rPr>
        <w:t xml:space="preserve">  </w:t>
      </w:r>
    </w:p>
    <w:p w:rsidR="00BA0AB6" w:rsidRPr="001D2CD4" w:rsidRDefault="00BA0AB6" w:rsidP="00BA0AB6">
      <w:pPr>
        <w:jc w:val="both"/>
        <w:rPr>
          <w:lang w:val="nl-NL"/>
        </w:rPr>
      </w:pPr>
    </w:p>
    <w:p w:rsidR="00866A00" w:rsidRPr="001D2CD4" w:rsidRDefault="00E41207" w:rsidP="00BA0AB6">
      <w:pPr>
        <w:jc w:val="both"/>
        <w:rPr>
          <w:lang w:val="nl-NL"/>
        </w:rPr>
      </w:pPr>
      <w:r w:rsidRPr="001D2CD4">
        <w:rPr>
          <w:lang w:val="nl-NL"/>
        </w:rPr>
        <w:t>Nu is het, tijdens de geldigheidsperiode van de medische kaart en / of tijdens een hospitalisatieperiode</w:t>
      </w:r>
      <w:r w:rsidR="00866A00" w:rsidRPr="001D2CD4">
        <w:rPr>
          <w:lang w:val="nl-NL"/>
        </w:rPr>
        <w:t xml:space="preserve"> van een persoon, mogelijk dat de territoriale bevoegdheid van een OCMW verandert.</w:t>
      </w:r>
    </w:p>
    <w:p w:rsidR="00866A00" w:rsidRPr="001D2CD4" w:rsidRDefault="00866A00" w:rsidP="00BA0AB6">
      <w:pPr>
        <w:jc w:val="both"/>
        <w:rPr>
          <w:lang w:val="nl-NL"/>
        </w:rPr>
      </w:pPr>
    </w:p>
    <w:p w:rsidR="00545F3F" w:rsidRPr="001D2CD4" w:rsidRDefault="00866A00" w:rsidP="00BA0AB6">
      <w:pPr>
        <w:jc w:val="both"/>
        <w:rPr>
          <w:lang w:val="nl-NL"/>
        </w:rPr>
      </w:pPr>
      <w:r w:rsidRPr="001D2CD4">
        <w:rPr>
          <w:lang w:val="nl-NL"/>
        </w:rPr>
        <w:lastRenderedPageBreak/>
        <w:t xml:space="preserve">Met deze nieuwe bevoegdheidsregel zal de medische hulp steeds verzekerd zijn voor de gebruiker, door een en hetzelfde OCMW, degene die een beslissing betreffende de medische hulp heeft genomen overeenkomstig artikel 9ter (procedure Mediprima), </w:t>
      </w:r>
      <w:r w:rsidR="00545F3F" w:rsidRPr="001D2CD4">
        <w:rPr>
          <w:lang w:val="nl-NL"/>
        </w:rPr>
        <w:t>en dit gedurende de gehele geldigheidsperiode van de beslissing betreffende de medische hulp en tijdens de ononderbroken hospitalisatieduur van de betrokkene.</w:t>
      </w:r>
    </w:p>
    <w:p w:rsidR="00545F3F" w:rsidRPr="001D2CD4" w:rsidRDefault="00545F3F" w:rsidP="00BA0AB6">
      <w:pPr>
        <w:jc w:val="both"/>
        <w:rPr>
          <w:lang w:val="nl-NL"/>
        </w:rPr>
      </w:pPr>
    </w:p>
    <w:p w:rsidR="00545F3F" w:rsidRPr="001D2CD4" w:rsidRDefault="00545F3F" w:rsidP="00BA0AB6">
      <w:pPr>
        <w:jc w:val="both"/>
        <w:rPr>
          <w:lang w:val="nl-NL"/>
        </w:rPr>
      </w:pPr>
      <w:r w:rsidRPr="001D2CD4">
        <w:rPr>
          <w:lang w:val="nl-NL"/>
        </w:rPr>
        <w:t>Het feit dat een en hetzelfde OCMW bevoegd is voor het verlenen van medische hulp en iedere andere vorm van hulp aan de persoon maakt het mogelijk een continuïteit in het verlenen van de hulp voor de gebruiker en in het ten laste nemen van de medische facturen voor de ziekenhuizen te verzekeren.</w:t>
      </w:r>
    </w:p>
    <w:p w:rsidR="00545F3F" w:rsidRPr="001D2CD4" w:rsidRDefault="00545F3F" w:rsidP="00BA0AB6">
      <w:pPr>
        <w:jc w:val="both"/>
        <w:rPr>
          <w:lang w:val="nl-NL"/>
        </w:rPr>
      </w:pPr>
    </w:p>
    <w:p w:rsidR="00545F3F" w:rsidRPr="001D2CD4" w:rsidRDefault="00545F3F" w:rsidP="00BA0AB6">
      <w:pPr>
        <w:jc w:val="both"/>
        <w:rPr>
          <w:lang w:val="nl-NL"/>
        </w:rPr>
      </w:pPr>
    </w:p>
    <w:p w:rsidR="00ED04CC" w:rsidRPr="001D2CD4" w:rsidRDefault="00ED04CC" w:rsidP="00ED04CC">
      <w:pPr>
        <w:jc w:val="both"/>
        <w:rPr>
          <w:b/>
          <w:u w:val="single"/>
          <w:lang w:val="nl-NL"/>
        </w:rPr>
      </w:pPr>
      <w:r w:rsidRPr="001D2CD4">
        <w:rPr>
          <w:b/>
          <w:u w:val="single"/>
          <w:lang w:val="nl-NL"/>
        </w:rPr>
        <w:t>3.</w:t>
      </w:r>
      <w:r w:rsidR="0072240A" w:rsidRPr="001D2CD4">
        <w:rPr>
          <w:b/>
          <w:u w:val="single"/>
          <w:lang w:val="nl-NL"/>
        </w:rPr>
        <w:t xml:space="preserve"> </w:t>
      </w:r>
      <w:r w:rsidR="004A107E" w:rsidRPr="001D2CD4">
        <w:rPr>
          <w:b/>
          <w:u w:val="single"/>
          <w:lang w:val="nl-NL"/>
        </w:rPr>
        <w:t>De</w:t>
      </w:r>
      <w:r w:rsidRPr="001D2CD4">
        <w:rPr>
          <w:b/>
          <w:u w:val="single"/>
          <w:lang w:val="nl-NL"/>
        </w:rPr>
        <w:t xml:space="preserve"> gebruikersgids “De territoriale Bevoegdheidsregels van de OCMW’s</w:t>
      </w:r>
      <w:r w:rsidR="004A107E" w:rsidRPr="001D2CD4">
        <w:rPr>
          <w:b/>
          <w:u w:val="single"/>
          <w:lang w:val="nl-NL"/>
        </w:rPr>
        <w:t xml:space="preserve"> </w:t>
      </w:r>
    </w:p>
    <w:p w:rsidR="00ED04CC" w:rsidRPr="001D2CD4" w:rsidRDefault="00ED04CC" w:rsidP="00ED04CC">
      <w:pPr>
        <w:jc w:val="both"/>
        <w:rPr>
          <w:lang w:val="nl-NL"/>
        </w:rPr>
      </w:pPr>
    </w:p>
    <w:p w:rsidR="0003002F" w:rsidRPr="001D2CD4" w:rsidRDefault="00ED04CC" w:rsidP="00ED04CC">
      <w:pPr>
        <w:jc w:val="both"/>
        <w:rPr>
          <w:lang w:val="nl-NL"/>
        </w:rPr>
      </w:pPr>
      <w:r w:rsidRPr="001D2CD4">
        <w:rPr>
          <w:lang w:val="nl-NL"/>
        </w:rPr>
        <w:t xml:space="preserve">Om de OCMW’s te helpen </w:t>
      </w:r>
      <w:r w:rsidR="0003002F" w:rsidRPr="001D2CD4">
        <w:rPr>
          <w:lang w:val="nl-NL"/>
        </w:rPr>
        <w:t>hun territoriale bevoegdheid te bepalen, heeft de dienst Bevoegdheidsconflicten een praktische gids opgesteld. Deze gebruikersgids behandelt alle bevoegdheidsregels op een praktische manier aan de hand van schema’s en met behulp van boomdiagrammen.</w:t>
      </w:r>
    </w:p>
    <w:p w:rsidR="0003002F" w:rsidRPr="001D2CD4" w:rsidRDefault="0003002F" w:rsidP="00ED04CC">
      <w:pPr>
        <w:jc w:val="both"/>
        <w:rPr>
          <w:lang w:val="nl-NL"/>
        </w:rPr>
      </w:pPr>
    </w:p>
    <w:p w:rsidR="00240726" w:rsidRDefault="00240726" w:rsidP="00161F9B">
      <w:pPr>
        <w:jc w:val="both"/>
        <w:rPr>
          <w:lang w:val="nl-NL"/>
        </w:rPr>
      </w:pPr>
    </w:p>
    <w:p w:rsidR="00240726" w:rsidRDefault="00240726" w:rsidP="00161F9B">
      <w:pPr>
        <w:jc w:val="both"/>
        <w:rPr>
          <w:lang w:val="nl-NL"/>
        </w:rPr>
      </w:pPr>
    </w:p>
    <w:p w:rsidR="00240726" w:rsidRDefault="00240726" w:rsidP="00161F9B">
      <w:pPr>
        <w:jc w:val="both"/>
        <w:rPr>
          <w:lang w:val="nl-NL"/>
        </w:rPr>
      </w:pPr>
    </w:p>
    <w:p w:rsidR="00240726" w:rsidRDefault="00240726" w:rsidP="00161F9B">
      <w:pPr>
        <w:jc w:val="both"/>
        <w:rPr>
          <w:lang w:val="nl-NL"/>
        </w:rPr>
      </w:pPr>
    </w:p>
    <w:p w:rsidR="00240726" w:rsidRPr="006D0278" w:rsidRDefault="00240726" w:rsidP="00161F9B">
      <w:pPr>
        <w:jc w:val="both"/>
        <w:rPr>
          <w:lang w:val="nl-NL"/>
        </w:rPr>
      </w:pPr>
    </w:p>
    <w:p w:rsidR="00161F9B" w:rsidRPr="006D0278" w:rsidRDefault="00161F9B" w:rsidP="00191942">
      <w:pPr>
        <w:rPr>
          <w:lang w:val="nl-NL"/>
        </w:rPr>
      </w:pPr>
    </w:p>
    <w:sectPr w:rsidR="00161F9B" w:rsidRPr="006D0278" w:rsidSect="009D6688">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BF4" w:rsidRDefault="00CC2BF4">
      <w:r>
        <w:separator/>
      </w:r>
    </w:p>
  </w:endnote>
  <w:endnote w:type="continuationSeparator" w:id="0">
    <w:p w:rsidR="00CC2BF4" w:rsidRDefault="00CC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NAJNLA+Tahoma">
    <w:altName w:val="Taho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7F" w:rsidRDefault="00B46E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B46E7F" w:rsidRDefault="00B46E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7F" w:rsidRDefault="00B46E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3CF">
      <w:rPr>
        <w:rStyle w:val="PageNumber"/>
        <w:noProof/>
      </w:rPr>
      <w:t>2</w:t>
    </w:r>
    <w:r>
      <w:rPr>
        <w:rStyle w:val="PageNumber"/>
      </w:rPr>
      <w:fldChar w:fldCharType="end"/>
    </w:r>
  </w:p>
  <w:p w:rsidR="00B46E7F" w:rsidRDefault="00B46E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BF4" w:rsidRDefault="00CC2BF4">
      <w:r>
        <w:separator/>
      </w:r>
    </w:p>
  </w:footnote>
  <w:footnote w:type="continuationSeparator" w:id="0">
    <w:p w:rsidR="00CC2BF4" w:rsidRDefault="00CC2BF4">
      <w:r>
        <w:continuationSeparator/>
      </w:r>
    </w:p>
  </w:footnote>
  <w:footnote w:id="1">
    <w:p w:rsidR="00B46E7F" w:rsidRPr="006D0278" w:rsidRDefault="00B46E7F" w:rsidP="00DB7A15">
      <w:pPr>
        <w:pStyle w:val="FootnoteText"/>
        <w:rPr>
          <w:lang w:val="nl-NL"/>
        </w:rPr>
      </w:pPr>
      <w:r>
        <w:rPr>
          <w:rStyle w:val="FootnoteReference"/>
        </w:rPr>
        <w:footnoteRef/>
      </w:r>
      <w:r w:rsidRPr="006D0278">
        <w:rPr>
          <w:lang w:val="nl-NL"/>
        </w:rPr>
        <w:t xml:space="preserve"> </w:t>
      </w:r>
      <w:r w:rsidRPr="006D0278">
        <w:rPr>
          <w:sz w:val="24"/>
          <w:szCs w:val="24"/>
          <w:lang w:val="nl-NL"/>
        </w:rPr>
        <w:t>Er wordt geen rekening gehouden met onontvankelijke dossiers en de aanvragen zonder voorwerp.</w:t>
      </w:r>
    </w:p>
  </w:footnote>
  <w:footnote w:id="2">
    <w:p w:rsidR="00B46E7F" w:rsidRPr="006D0278" w:rsidRDefault="00B46E7F" w:rsidP="0056642D">
      <w:pPr>
        <w:pStyle w:val="FootnoteText"/>
        <w:rPr>
          <w:lang w:val="nl-NL"/>
        </w:rPr>
      </w:pPr>
      <w:r w:rsidRPr="00BE42C4">
        <w:rPr>
          <w:rStyle w:val="FootnoteReference"/>
        </w:rPr>
        <w:footnoteRef/>
      </w:r>
      <w:r w:rsidRPr="006D0278">
        <w:rPr>
          <w:lang w:val="nl-NL"/>
        </w:rPr>
        <w:t>Kamer, 14/12/2004, CRIV 51 COM 438, vraag nr. V5104722, p.14</w:t>
      </w:r>
    </w:p>
  </w:footnote>
  <w:footnote w:id="3">
    <w:p w:rsidR="00B46E7F" w:rsidRPr="006D0278" w:rsidRDefault="00B46E7F" w:rsidP="00EF2DFE">
      <w:pPr>
        <w:pStyle w:val="FootnoteText"/>
        <w:jc w:val="both"/>
        <w:rPr>
          <w:lang w:val="nl-NL"/>
        </w:rPr>
      </w:pPr>
      <w:r>
        <w:rPr>
          <w:rStyle w:val="FootnoteReference"/>
        </w:rPr>
        <w:footnoteRef/>
      </w:r>
      <w:r w:rsidRPr="006D0278">
        <w:rPr>
          <w:lang w:val="nl-NL"/>
        </w:rPr>
        <w:t xml:space="preserve">  De wet van 24 mei 1994 tot oprichting van een wachtregister voor vreemdelingen die zich vluchteling verklaren of die vragen om als vluchteling te worden erkend (B.S. van 21.07.1994) heeft een paragraaf 5 toegevoegd aan artikel 2 van de wet van 02.04.1965 die voorziet in een bijzonder bevoegdheidsregel voor de kandidaat-vluchtelingen.</w:t>
      </w:r>
    </w:p>
  </w:footnote>
  <w:footnote w:id="4">
    <w:p w:rsidR="00B46E7F" w:rsidRPr="006D0278" w:rsidRDefault="00B46E7F" w:rsidP="00A353AD">
      <w:pPr>
        <w:pStyle w:val="FootnoteText"/>
        <w:jc w:val="both"/>
        <w:rPr>
          <w:lang w:val="nl-NL"/>
        </w:rPr>
      </w:pPr>
      <w:r w:rsidRPr="00216542">
        <w:rPr>
          <w:rStyle w:val="FootnoteReference"/>
          <w:sz w:val="22"/>
        </w:rPr>
        <w:footnoteRef/>
      </w:r>
      <w:r w:rsidRPr="006D0278">
        <w:rPr>
          <w:lang w:val="nl-NL"/>
        </w:rPr>
        <w:t xml:space="preserve"> Overeenkomstig de omzendbrief</w:t>
      </w:r>
      <w:r>
        <w:rPr>
          <w:lang w:val="nl-NL"/>
        </w:rPr>
        <w:t xml:space="preserve"> </w:t>
      </w:r>
      <w:r w:rsidRPr="006D0278">
        <w:rPr>
          <w:lang w:val="nl-NL"/>
        </w:rPr>
        <w:t>van de Minister van Binnenlandse Zaken van 30 oktober 1995 betreffende het houden van het wachtregister.</w:t>
      </w:r>
    </w:p>
  </w:footnote>
  <w:footnote w:id="5">
    <w:p w:rsidR="00B46E7F" w:rsidRPr="006D0278" w:rsidRDefault="00B46E7F" w:rsidP="00F00091">
      <w:pPr>
        <w:pStyle w:val="FootnoteText"/>
        <w:jc w:val="both"/>
        <w:rPr>
          <w:lang w:val="nl-NL"/>
        </w:rPr>
      </w:pPr>
      <w:r>
        <w:rPr>
          <w:rStyle w:val="FootnoteReference"/>
        </w:rPr>
        <w:footnoteRef/>
      </w:r>
      <w:r w:rsidRPr="006D0278">
        <w:rPr>
          <w:lang w:val="nl-NL"/>
        </w:rPr>
        <w:t xml:space="preserve"> Krachtens de wet van 15/12/1980 betreffende de toegang tot het grondgebied, het verblijf, de vestiging en de verwijdering van vreemdelingen wordt de kandidaat-vluchteling erkend als vluchteling op de datum van de beslissing tot erkenning van de hoedanigheid van vluchteling van de Commissaris-generaal voor de vluchtelingen en de staatlozen.</w:t>
      </w:r>
    </w:p>
  </w:footnote>
  <w:footnote w:id="6">
    <w:p w:rsidR="00B46E7F" w:rsidRPr="006D0278" w:rsidRDefault="00B46E7F" w:rsidP="008D6529">
      <w:pPr>
        <w:pStyle w:val="FootnoteText"/>
        <w:rPr>
          <w:lang w:val="nl-NL"/>
        </w:rPr>
      </w:pPr>
      <w:r>
        <w:rPr>
          <w:rStyle w:val="FootnoteReference"/>
        </w:rPr>
        <w:footnoteRef/>
      </w:r>
      <w:r w:rsidRPr="006D0278">
        <w:rPr>
          <w:lang w:val="nl-NL"/>
        </w:rPr>
        <w:t xml:space="preserve"> </w:t>
      </w:r>
      <w:r w:rsidRPr="006D0278">
        <w:rPr>
          <w:sz w:val="18"/>
          <w:szCs w:val="18"/>
          <w:lang w:val="nl-NL"/>
        </w:rPr>
        <w:t>Doc. Parl. Kamer, nr. 52/1608/001, p.11.</w:t>
      </w:r>
    </w:p>
  </w:footnote>
  <w:footnote w:id="7">
    <w:p w:rsidR="00B46E7F" w:rsidRPr="006D0278" w:rsidRDefault="00B46E7F" w:rsidP="00F96962">
      <w:pPr>
        <w:autoSpaceDE w:val="0"/>
        <w:autoSpaceDN w:val="0"/>
        <w:adjustRightInd w:val="0"/>
        <w:jc w:val="both"/>
        <w:rPr>
          <w:lang w:val="nl-NL"/>
        </w:rPr>
      </w:pPr>
      <w:r>
        <w:rPr>
          <w:rStyle w:val="FootnoteReference"/>
        </w:rPr>
        <w:footnoteRef/>
      </w:r>
      <w:r w:rsidRPr="006D0278">
        <w:rPr>
          <w:lang w:val="nl-NL"/>
        </w:rPr>
        <w:t xml:space="preserve"> </w:t>
      </w:r>
      <w:r w:rsidRPr="006D0278">
        <w:rPr>
          <w:sz w:val="20"/>
          <w:szCs w:val="20"/>
          <w:lang w:val="nl-NL"/>
        </w:rPr>
        <w:t>Omzendbrief van 07/05/2007 betreffende de wet van 26 oktober 2006 tot wijziging van de wet van 26 mei 2002 betreffende het recht op maatschappelijke integratie, tot aanmoediging van de inspanning die een openbaar centrum voor maatschappelijk welzijn levert voor de integratie van daklozen.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767"/>
    <w:multiLevelType w:val="multilevel"/>
    <w:tmpl w:val="6930DA02"/>
    <w:lvl w:ilvl="0">
      <w:start w:val="1"/>
      <w:numFmt w:val="decimal"/>
      <w:lvlText w:val="%1."/>
      <w:lvlJc w:val="left"/>
      <w:pPr>
        <w:tabs>
          <w:tab w:val="num" w:pos="720"/>
        </w:tabs>
        <w:ind w:left="720" w:hanging="360"/>
      </w:pPr>
    </w:lvl>
    <w:lvl w:ilvl="1">
      <w:start w:val="2"/>
      <w:numFmt w:val="decimal"/>
      <w:isLgl/>
      <w:lvlText w:val="%1.%2."/>
      <w:lvlJc w:val="left"/>
      <w:pPr>
        <w:ind w:left="112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9344519"/>
    <w:multiLevelType w:val="hybridMultilevel"/>
    <w:tmpl w:val="3B6286B8"/>
    <w:lvl w:ilvl="0" w:tplc="4CB66A4A">
      <w:start w:val="1"/>
      <w:numFmt w:val="bullet"/>
      <w:lvlText w:val=""/>
      <w:lvlJc w:val="left"/>
      <w:pPr>
        <w:tabs>
          <w:tab w:val="num" w:pos="2520"/>
        </w:tabs>
        <w:ind w:left="2520" w:hanging="360"/>
      </w:pPr>
      <w:rPr>
        <w:rFonts w:ascii="Symbol" w:hAnsi="Symbol" w:hint="default"/>
        <w:color w:val="auto"/>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B26645E"/>
    <w:multiLevelType w:val="hybridMultilevel"/>
    <w:tmpl w:val="78DC0836"/>
    <w:lvl w:ilvl="0" w:tplc="13AAE0C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105F33A5"/>
    <w:multiLevelType w:val="hybridMultilevel"/>
    <w:tmpl w:val="87844548"/>
    <w:lvl w:ilvl="0" w:tplc="C1E28248">
      <w:numFmt w:val="bullet"/>
      <w:lvlText w:val="-"/>
      <w:lvlJc w:val="left"/>
      <w:pPr>
        <w:tabs>
          <w:tab w:val="num" w:pos="1100"/>
        </w:tabs>
        <w:ind w:left="1100" w:hanging="540"/>
      </w:pPr>
      <w:rPr>
        <w:rFonts w:ascii="Arial" w:eastAsia="Times New Roman" w:hAnsi="Arial" w:cs="Arial" w:hint="default"/>
      </w:rPr>
    </w:lvl>
    <w:lvl w:ilvl="1" w:tplc="040C0003" w:tentative="1">
      <w:start w:val="1"/>
      <w:numFmt w:val="bullet"/>
      <w:lvlText w:val="o"/>
      <w:lvlJc w:val="left"/>
      <w:pPr>
        <w:tabs>
          <w:tab w:val="num" w:pos="1640"/>
        </w:tabs>
        <w:ind w:left="1640" w:hanging="360"/>
      </w:pPr>
      <w:rPr>
        <w:rFonts w:ascii="Courier New" w:hAnsi="Courier New" w:cs="Courier New" w:hint="default"/>
      </w:rPr>
    </w:lvl>
    <w:lvl w:ilvl="2" w:tplc="040C0005" w:tentative="1">
      <w:start w:val="1"/>
      <w:numFmt w:val="bullet"/>
      <w:lvlText w:val=""/>
      <w:lvlJc w:val="left"/>
      <w:pPr>
        <w:tabs>
          <w:tab w:val="num" w:pos="2360"/>
        </w:tabs>
        <w:ind w:left="2360" w:hanging="360"/>
      </w:pPr>
      <w:rPr>
        <w:rFonts w:ascii="Wingdings" w:hAnsi="Wingdings" w:hint="default"/>
      </w:rPr>
    </w:lvl>
    <w:lvl w:ilvl="3" w:tplc="040C0001" w:tentative="1">
      <w:start w:val="1"/>
      <w:numFmt w:val="bullet"/>
      <w:lvlText w:val=""/>
      <w:lvlJc w:val="left"/>
      <w:pPr>
        <w:tabs>
          <w:tab w:val="num" w:pos="3080"/>
        </w:tabs>
        <w:ind w:left="3080" w:hanging="360"/>
      </w:pPr>
      <w:rPr>
        <w:rFonts w:ascii="Symbol" w:hAnsi="Symbol" w:hint="default"/>
      </w:rPr>
    </w:lvl>
    <w:lvl w:ilvl="4" w:tplc="040C0003" w:tentative="1">
      <w:start w:val="1"/>
      <w:numFmt w:val="bullet"/>
      <w:lvlText w:val="o"/>
      <w:lvlJc w:val="left"/>
      <w:pPr>
        <w:tabs>
          <w:tab w:val="num" w:pos="3800"/>
        </w:tabs>
        <w:ind w:left="3800" w:hanging="360"/>
      </w:pPr>
      <w:rPr>
        <w:rFonts w:ascii="Courier New" w:hAnsi="Courier New" w:cs="Courier New" w:hint="default"/>
      </w:rPr>
    </w:lvl>
    <w:lvl w:ilvl="5" w:tplc="040C0005" w:tentative="1">
      <w:start w:val="1"/>
      <w:numFmt w:val="bullet"/>
      <w:lvlText w:val=""/>
      <w:lvlJc w:val="left"/>
      <w:pPr>
        <w:tabs>
          <w:tab w:val="num" w:pos="4520"/>
        </w:tabs>
        <w:ind w:left="4520" w:hanging="360"/>
      </w:pPr>
      <w:rPr>
        <w:rFonts w:ascii="Wingdings" w:hAnsi="Wingdings" w:hint="default"/>
      </w:rPr>
    </w:lvl>
    <w:lvl w:ilvl="6" w:tplc="040C0001" w:tentative="1">
      <w:start w:val="1"/>
      <w:numFmt w:val="bullet"/>
      <w:lvlText w:val=""/>
      <w:lvlJc w:val="left"/>
      <w:pPr>
        <w:tabs>
          <w:tab w:val="num" w:pos="5240"/>
        </w:tabs>
        <w:ind w:left="5240" w:hanging="360"/>
      </w:pPr>
      <w:rPr>
        <w:rFonts w:ascii="Symbol" w:hAnsi="Symbol" w:hint="default"/>
      </w:rPr>
    </w:lvl>
    <w:lvl w:ilvl="7" w:tplc="040C0003" w:tentative="1">
      <w:start w:val="1"/>
      <w:numFmt w:val="bullet"/>
      <w:lvlText w:val="o"/>
      <w:lvlJc w:val="left"/>
      <w:pPr>
        <w:tabs>
          <w:tab w:val="num" w:pos="5960"/>
        </w:tabs>
        <w:ind w:left="5960" w:hanging="360"/>
      </w:pPr>
      <w:rPr>
        <w:rFonts w:ascii="Courier New" w:hAnsi="Courier New" w:cs="Courier New" w:hint="default"/>
      </w:rPr>
    </w:lvl>
    <w:lvl w:ilvl="8" w:tplc="040C0005" w:tentative="1">
      <w:start w:val="1"/>
      <w:numFmt w:val="bullet"/>
      <w:lvlText w:val=""/>
      <w:lvlJc w:val="left"/>
      <w:pPr>
        <w:tabs>
          <w:tab w:val="num" w:pos="6680"/>
        </w:tabs>
        <w:ind w:left="6680" w:hanging="360"/>
      </w:pPr>
      <w:rPr>
        <w:rFonts w:ascii="Wingdings" w:hAnsi="Wingdings" w:hint="default"/>
      </w:rPr>
    </w:lvl>
  </w:abstractNum>
  <w:abstractNum w:abstractNumId="4" w15:restartNumberingAfterBreak="0">
    <w:nsid w:val="12F60F06"/>
    <w:multiLevelType w:val="hybridMultilevel"/>
    <w:tmpl w:val="861EC75C"/>
    <w:lvl w:ilvl="0" w:tplc="D162292A">
      <w:start w:val="7"/>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1A82108C"/>
    <w:multiLevelType w:val="hybridMultilevel"/>
    <w:tmpl w:val="3870B18E"/>
    <w:lvl w:ilvl="0" w:tplc="0809000F">
      <w:start w:val="2"/>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D267806"/>
    <w:multiLevelType w:val="hybridMultilevel"/>
    <w:tmpl w:val="6C8EDC8C"/>
    <w:lvl w:ilvl="0" w:tplc="5616105E">
      <w:start w:val="1"/>
      <w:numFmt w:val="lowerLetter"/>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7" w15:restartNumberingAfterBreak="0">
    <w:nsid w:val="1D96423D"/>
    <w:multiLevelType w:val="hybridMultilevel"/>
    <w:tmpl w:val="AF8E5E96"/>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E7D6221"/>
    <w:multiLevelType w:val="hybridMultilevel"/>
    <w:tmpl w:val="FD9275D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9B4355"/>
    <w:multiLevelType w:val="hybridMultilevel"/>
    <w:tmpl w:val="E132DD30"/>
    <w:lvl w:ilvl="0" w:tplc="C1E28248">
      <w:numFmt w:val="bullet"/>
      <w:lvlText w:val="-"/>
      <w:lvlJc w:val="left"/>
      <w:pPr>
        <w:tabs>
          <w:tab w:val="num" w:pos="1440"/>
        </w:tabs>
        <w:ind w:left="1440" w:hanging="540"/>
      </w:pPr>
      <w:rPr>
        <w:rFonts w:ascii="Arial" w:eastAsia="Times New Roman" w:hAnsi="Arial" w:cs="Arial" w:hint="default"/>
      </w:rPr>
    </w:lvl>
    <w:lvl w:ilvl="1" w:tplc="04130003" w:tentative="1">
      <w:start w:val="1"/>
      <w:numFmt w:val="bullet"/>
      <w:lvlText w:val="o"/>
      <w:lvlJc w:val="left"/>
      <w:pPr>
        <w:tabs>
          <w:tab w:val="num" w:pos="1980"/>
        </w:tabs>
        <w:ind w:left="1980" w:hanging="360"/>
      </w:pPr>
      <w:rPr>
        <w:rFonts w:ascii="Courier New" w:hAnsi="Courier New" w:cs="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cs="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cs="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4DE185F"/>
    <w:multiLevelType w:val="hybridMultilevel"/>
    <w:tmpl w:val="70EC7412"/>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5EC1A61"/>
    <w:multiLevelType w:val="hybridMultilevel"/>
    <w:tmpl w:val="0A3883FE"/>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82D0962"/>
    <w:multiLevelType w:val="hybridMultilevel"/>
    <w:tmpl w:val="319A4F88"/>
    <w:lvl w:ilvl="0" w:tplc="C30EAAF6">
      <w:start w:val="1"/>
      <w:numFmt w:val="bullet"/>
      <w:lvlText w:val="-"/>
      <w:lvlJc w:val="left"/>
      <w:pPr>
        <w:tabs>
          <w:tab w:val="num" w:pos="2520"/>
        </w:tabs>
        <w:ind w:left="2520" w:hanging="360"/>
      </w:pPr>
      <w:rPr>
        <w:rFonts w:ascii="Times New Roman" w:eastAsia="Times New Roman" w:hAnsi="Times New Roman" w:cs="Times New Roman" w:hint="default"/>
      </w:rPr>
    </w:lvl>
    <w:lvl w:ilvl="1" w:tplc="040C0005">
      <w:start w:val="1"/>
      <w:numFmt w:val="bullet"/>
      <w:lvlText w:val=""/>
      <w:lvlJc w:val="left"/>
      <w:pPr>
        <w:tabs>
          <w:tab w:val="num" w:pos="2160"/>
        </w:tabs>
        <w:ind w:left="2160" w:hanging="360"/>
      </w:pPr>
      <w:rPr>
        <w:rFonts w:ascii="Wingdings" w:hAnsi="Wingdings"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15:restartNumberingAfterBreak="0">
    <w:nsid w:val="2DDC1E88"/>
    <w:multiLevelType w:val="hybridMultilevel"/>
    <w:tmpl w:val="9C969390"/>
    <w:lvl w:ilvl="0" w:tplc="999A29A2">
      <w:start w:val="1"/>
      <w:numFmt w:val="decimal"/>
      <w:lvlText w:val="%1."/>
      <w:lvlJc w:val="left"/>
      <w:pPr>
        <w:ind w:left="1800" w:hanging="360"/>
      </w:pPr>
    </w:lvl>
    <w:lvl w:ilvl="1" w:tplc="080C0019">
      <w:start w:val="1"/>
      <w:numFmt w:val="lowerLetter"/>
      <w:lvlText w:val="%2."/>
      <w:lvlJc w:val="left"/>
      <w:pPr>
        <w:ind w:left="2520" w:hanging="360"/>
      </w:pPr>
    </w:lvl>
    <w:lvl w:ilvl="2" w:tplc="080C001B">
      <w:start w:val="1"/>
      <w:numFmt w:val="lowerRoman"/>
      <w:lvlText w:val="%3."/>
      <w:lvlJc w:val="right"/>
      <w:pPr>
        <w:ind w:left="3240" w:hanging="180"/>
      </w:pPr>
    </w:lvl>
    <w:lvl w:ilvl="3" w:tplc="080C000F">
      <w:start w:val="1"/>
      <w:numFmt w:val="decimal"/>
      <w:lvlText w:val="%4."/>
      <w:lvlJc w:val="left"/>
      <w:pPr>
        <w:ind w:left="3960" w:hanging="360"/>
      </w:pPr>
    </w:lvl>
    <w:lvl w:ilvl="4" w:tplc="080C0019">
      <w:start w:val="1"/>
      <w:numFmt w:val="lowerLetter"/>
      <w:lvlText w:val="%5."/>
      <w:lvlJc w:val="left"/>
      <w:pPr>
        <w:ind w:left="4680" w:hanging="360"/>
      </w:pPr>
    </w:lvl>
    <w:lvl w:ilvl="5" w:tplc="080C001B">
      <w:start w:val="1"/>
      <w:numFmt w:val="lowerRoman"/>
      <w:lvlText w:val="%6."/>
      <w:lvlJc w:val="right"/>
      <w:pPr>
        <w:ind w:left="5400" w:hanging="180"/>
      </w:pPr>
    </w:lvl>
    <w:lvl w:ilvl="6" w:tplc="080C000F">
      <w:start w:val="1"/>
      <w:numFmt w:val="decimal"/>
      <w:lvlText w:val="%7."/>
      <w:lvlJc w:val="left"/>
      <w:pPr>
        <w:ind w:left="6120" w:hanging="360"/>
      </w:pPr>
    </w:lvl>
    <w:lvl w:ilvl="7" w:tplc="080C0019">
      <w:start w:val="1"/>
      <w:numFmt w:val="lowerLetter"/>
      <w:lvlText w:val="%8."/>
      <w:lvlJc w:val="left"/>
      <w:pPr>
        <w:ind w:left="6840" w:hanging="360"/>
      </w:pPr>
    </w:lvl>
    <w:lvl w:ilvl="8" w:tplc="080C001B">
      <w:start w:val="1"/>
      <w:numFmt w:val="lowerRoman"/>
      <w:lvlText w:val="%9."/>
      <w:lvlJc w:val="right"/>
      <w:pPr>
        <w:ind w:left="7560" w:hanging="180"/>
      </w:pPr>
    </w:lvl>
  </w:abstractNum>
  <w:abstractNum w:abstractNumId="14" w15:restartNumberingAfterBreak="0">
    <w:nsid w:val="386F48F4"/>
    <w:multiLevelType w:val="hybridMultilevel"/>
    <w:tmpl w:val="671E4240"/>
    <w:lvl w:ilvl="0" w:tplc="EC8409E8">
      <w:start w:val="1"/>
      <w:numFmt w:val="upperLetter"/>
      <w:lvlText w:val="%1)"/>
      <w:lvlJc w:val="left"/>
      <w:pPr>
        <w:ind w:left="1440" w:hanging="360"/>
      </w:p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15" w15:restartNumberingAfterBreak="0">
    <w:nsid w:val="3BBE2FAC"/>
    <w:multiLevelType w:val="multilevel"/>
    <w:tmpl w:val="5F906BA4"/>
    <w:lvl w:ilvl="0">
      <w:start w:val="1"/>
      <w:numFmt w:val="decimal"/>
      <w:lvlText w:val="%1."/>
      <w:lvlJc w:val="left"/>
      <w:pPr>
        <w:ind w:left="126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140" w:hanging="1800"/>
      </w:pPr>
      <w:rPr>
        <w:rFonts w:hint="default"/>
      </w:rPr>
    </w:lvl>
  </w:abstractNum>
  <w:abstractNum w:abstractNumId="16" w15:restartNumberingAfterBreak="0">
    <w:nsid w:val="3CDC1230"/>
    <w:multiLevelType w:val="hybridMultilevel"/>
    <w:tmpl w:val="6862E8C2"/>
    <w:lvl w:ilvl="0" w:tplc="040C0005">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0723F1"/>
    <w:multiLevelType w:val="hybridMultilevel"/>
    <w:tmpl w:val="3726212E"/>
    <w:lvl w:ilvl="0" w:tplc="1D70C084">
      <w:numFmt w:val="bullet"/>
      <w:lvlText w:val="-"/>
      <w:lvlJc w:val="left"/>
      <w:pPr>
        <w:tabs>
          <w:tab w:val="num" w:pos="1440"/>
        </w:tabs>
        <w:ind w:left="1440" w:hanging="360"/>
      </w:pPr>
      <w:rPr>
        <w:rFonts w:ascii="Arial" w:eastAsia="Times New Roman" w:hAnsi="Arial" w:cs="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10D5E5A"/>
    <w:multiLevelType w:val="hybridMultilevel"/>
    <w:tmpl w:val="2CF0471C"/>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9" w15:restartNumberingAfterBreak="0">
    <w:nsid w:val="41FC1F49"/>
    <w:multiLevelType w:val="hybridMultilevel"/>
    <w:tmpl w:val="035EAC24"/>
    <w:lvl w:ilvl="0" w:tplc="7C3A38C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45AB6AED"/>
    <w:multiLevelType w:val="hybridMultilevel"/>
    <w:tmpl w:val="C5886D82"/>
    <w:lvl w:ilvl="0" w:tplc="0813000F">
      <w:start w:val="1"/>
      <w:numFmt w:val="decimal"/>
      <w:lvlText w:val="%1."/>
      <w:lvlJc w:val="left"/>
      <w:pPr>
        <w:ind w:left="1800" w:hanging="360"/>
      </w:p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1" w15:restartNumberingAfterBreak="0">
    <w:nsid w:val="4C0D5A84"/>
    <w:multiLevelType w:val="hybridMultilevel"/>
    <w:tmpl w:val="2EF86184"/>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827EC4"/>
    <w:multiLevelType w:val="hybridMultilevel"/>
    <w:tmpl w:val="1C6224E4"/>
    <w:lvl w:ilvl="0" w:tplc="A224C88C">
      <w:start w:val="1"/>
      <w:numFmt w:val="lowerLetter"/>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23" w15:restartNumberingAfterBreak="0">
    <w:nsid w:val="50131EF6"/>
    <w:multiLevelType w:val="hybridMultilevel"/>
    <w:tmpl w:val="84AAFAD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0DC5926"/>
    <w:multiLevelType w:val="hybridMultilevel"/>
    <w:tmpl w:val="961C2F08"/>
    <w:lvl w:ilvl="0" w:tplc="EFBEF26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30705BF"/>
    <w:multiLevelType w:val="hybridMultilevel"/>
    <w:tmpl w:val="827677E0"/>
    <w:lvl w:ilvl="0" w:tplc="080C0011">
      <w:start w:val="1"/>
      <w:numFmt w:val="decimal"/>
      <w:lvlText w:val="%1)"/>
      <w:lvlJc w:val="left"/>
      <w:pPr>
        <w:ind w:left="1440" w:hanging="360"/>
      </w:p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26" w15:restartNumberingAfterBreak="0">
    <w:nsid w:val="54F21057"/>
    <w:multiLevelType w:val="hybridMultilevel"/>
    <w:tmpl w:val="25C417F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9AA1460"/>
    <w:multiLevelType w:val="hybridMultilevel"/>
    <w:tmpl w:val="FA648140"/>
    <w:lvl w:ilvl="0" w:tplc="46C0A54C">
      <w:start w:val="1"/>
      <w:numFmt w:val="lowerLetter"/>
      <w:lvlText w:val="%1)"/>
      <w:lvlJc w:val="left"/>
      <w:pPr>
        <w:ind w:left="1800" w:hanging="360"/>
      </w:pPr>
      <w:rPr>
        <w:rFonts w:hint="default"/>
      </w:rPr>
    </w:lvl>
    <w:lvl w:ilvl="1" w:tplc="080C0019">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28" w15:restartNumberingAfterBreak="0">
    <w:nsid w:val="59F43366"/>
    <w:multiLevelType w:val="hybridMultilevel"/>
    <w:tmpl w:val="02746586"/>
    <w:lvl w:ilvl="0" w:tplc="AB5C5ED8">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29" w15:restartNumberingAfterBreak="0">
    <w:nsid w:val="5AF07C64"/>
    <w:multiLevelType w:val="hybridMultilevel"/>
    <w:tmpl w:val="BA087E5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BF80770"/>
    <w:multiLevelType w:val="hybridMultilevel"/>
    <w:tmpl w:val="FB3CBB08"/>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04C1D06"/>
    <w:multiLevelType w:val="hybridMultilevel"/>
    <w:tmpl w:val="29643456"/>
    <w:lvl w:ilvl="0" w:tplc="08130001">
      <w:start w:val="1"/>
      <w:numFmt w:val="bullet"/>
      <w:lvlText w:val=""/>
      <w:lvlJc w:val="left"/>
      <w:pPr>
        <w:ind w:left="1620" w:hanging="360"/>
      </w:pPr>
      <w:rPr>
        <w:rFonts w:ascii="Symbol" w:hAnsi="Symbol" w:hint="default"/>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32" w15:restartNumberingAfterBreak="0">
    <w:nsid w:val="60BC6413"/>
    <w:multiLevelType w:val="hybridMultilevel"/>
    <w:tmpl w:val="673E2494"/>
    <w:lvl w:ilvl="0" w:tplc="628E37B4">
      <w:start w:val="7"/>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3" w15:restartNumberingAfterBreak="0">
    <w:nsid w:val="61CF0CC1"/>
    <w:multiLevelType w:val="hybridMultilevel"/>
    <w:tmpl w:val="545CD2F0"/>
    <w:lvl w:ilvl="0" w:tplc="555C3AF6">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15:restartNumberingAfterBreak="0">
    <w:nsid w:val="647C297D"/>
    <w:multiLevelType w:val="hybridMultilevel"/>
    <w:tmpl w:val="8B42ECB0"/>
    <w:lvl w:ilvl="0" w:tplc="2FECBCA4">
      <w:start w:val="1"/>
      <w:numFmt w:val="decimal"/>
      <w:lvlText w:val="%1)"/>
      <w:lvlJc w:val="left"/>
      <w:pPr>
        <w:ind w:left="1800" w:hanging="360"/>
      </w:pPr>
    </w:lvl>
    <w:lvl w:ilvl="1" w:tplc="080C0019">
      <w:start w:val="1"/>
      <w:numFmt w:val="lowerLetter"/>
      <w:lvlText w:val="%2."/>
      <w:lvlJc w:val="left"/>
      <w:pPr>
        <w:ind w:left="2520" w:hanging="360"/>
      </w:pPr>
    </w:lvl>
    <w:lvl w:ilvl="2" w:tplc="080C001B">
      <w:start w:val="1"/>
      <w:numFmt w:val="lowerRoman"/>
      <w:lvlText w:val="%3."/>
      <w:lvlJc w:val="right"/>
      <w:pPr>
        <w:ind w:left="3240" w:hanging="180"/>
      </w:pPr>
    </w:lvl>
    <w:lvl w:ilvl="3" w:tplc="080C000F">
      <w:start w:val="1"/>
      <w:numFmt w:val="decimal"/>
      <w:lvlText w:val="%4."/>
      <w:lvlJc w:val="left"/>
      <w:pPr>
        <w:ind w:left="3960" w:hanging="360"/>
      </w:pPr>
    </w:lvl>
    <w:lvl w:ilvl="4" w:tplc="080C0019">
      <w:start w:val="1"/>
      <w:numFmt w:val="lowerLetter"/>
      <w:lvlText w:val="%5."/>
      <w:lvlJc w:val="left"/>
      <w:pPr>
        <w:ind w:left="4680" w:hanging="360"/>
      </w:pPr>
    </w:lvl>
    <w:lvl w:ilvl="5" w:tplc="080C001B">
      <w:start w:val="1"/>
      <w:numFmt w:val="lowerRoman"/>
      <w:lvlText w:val="%6."/>
      <w:lvlJc w:val="right"/>
      <w:pPr>
        <w:ind w:left="5400" w:hanging="180"/>
      </w:pPr>
    </w:lvl>
    <w:lvl w:ilvl="6" w:tplc="080C000F">
      <w:start w:val="1"/>
      <w:numFmt w:val="decimal"/>
      <w:lvlText w:val="%7."/>
      <w:lvlJc w:val="left"/>
      <w:pPr>
        <w:ind w:left="6120" w:hanging="360"/>
      </w:pPr>
    </w:lvl>
    <w:lvl w:ilvl="7" w:tplc="080C0019">
      <w:start w:val="1"/>
      <w:numFmt w:val="lowerLetter"/>
      <w:lvlText w:val="%8."/>
      <w:lvlJc w:val="left"/>
      <w:pPr>
        <w:ind w:left="6840" w:hanging="360"/>
      </w:pPr>
    </w:lvl>
    <w:lvl w:ilvl="8" w:tplc="080C001B">
      <w:start w:val="1"/>
      <w:numFmt w:val="lowerRoman"/>
      <w:lvlText w:val="%9."/>
      <w:lvlJc w:val="right"/>
      <w:pPr>
        <w:ind w:left="7560" w:hanging="180"/>
      </w:pPr>
    </w:lvl>
  </w:abstractNum>
  <w:abstractNum w:abstractNumId="35" w15:restartNumberingAfterBreak="0">
    <w:nsid w:val="65E67D2C"/>
    <w:multiLevelType w:val="hybridMultilevel"/>
    <w:tmpl w:val="25C0AEAE"/>
    <w:lvl w:ilvl="0" w:tplc="080C000F">
      <w:start w:val="1"/>
      <w:numFmt w:val="decimal"/>
      <w:lvlText w:val="%1."/>
      <w:lvlJc w:val="left"/>
      <w:pPr>
        <w:ind w:left="1080" w:hanging="360"/>
      </w:pPr>
      <w:rPr>
        <w:rFonts w:hint="default"/>
      </w:rPr>
    </w:lvl>
    <w:lvl w:ilvl="1" w:tplc="F8545C68">
      <w:start w:val="2"/>
      <w:numFmt w:val="upperLetter"/>
      <w:lvlText w:val="%2."/>
      <w:lvlJc w:val="left"/>
      <w:pPr>
        <w:tabs>
          <w:tab w:val="num" w:pos="1800"/>
        </w:tabs>
        <w:ind w:left="1800" w:hanging="360"/>
      </w:pPr>
      <w:rPr>
        <w:rFonts w:hint="default"/>
      </w:rPr>
    </w:lvl>
    <w:lvl w:ilvl="2" w:tplc="FBDA75EC">
      <w:start w:val="2"/>
      <w:numFmt w:val="decimal"/>
      <w:lvlText w:val="%3)"/>
      <w:lvlJc w:val="left"/>
      <w:pPr>
        <w:tabs>
          <w:tab w:val="num" w:pos="2700"/>
        </w:tabs>
        <w:ind w:left="2700" w:hanging="360"/>
      </w:pPr>
      <w:rPr>
        <w:rFonts w:hint="default"/>
      </w:r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67EE6BA2"/>
    <w:multiLevelType w:val="multilevel"/>
    <w:tmpl w:val="1166C854"/>
    <w:lvl w:ilvl="0">
      <w:start w:val="1"/>
      <w:numFmt w:val="decimal"/>
      <w:lvlText w:val="%1."/>
      <w:lvlJc w:val="left"/>
      <w:pPr>
        <w:ind w:left="1260" w:hanging="360"/>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140"/>
        </w:tabs>
        <w:ind w:left="414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580"/>
        </w:tabs>
        <w:ind w:left="5580" w:hanging="1440"/>
      </w:pPr>
      <w:rPr>
        <w:rFonts w:hint="default"/>
      </w:rPr>
    </w:lvl>
    <w:lvl w:ilvl="7">
      <w:start w:val="1"/>
      <w:numFmt w:val="decimal"/>
      <w:isLgl/>
      <w:lvlText w:val="%1.%2.%3.%4.%5.%6.%7.%8."/>
      <w:lvlJc w:val="left"/>
      <w:pPr>
        <w:tabs>
          <w:tab w:val="num" w:pos="6120"/>
        </w:tabs>
        <w:ind w:left="6120" w:hanging="1440"/>
      </w:pPr>
      <w:rPr>
        <w:rFonts w:hint="default"/>
      </w:rPr>
    </w:lvl>
    <w:lvl w:ilvl="8">
      <w:start w:val="1"/>
      <w:numFmt w:val="decimal"/>
      <w:isLgl/>
      <w:lvlText w:val="%1.%2.%3.%4.%5.%6.%7.%8.%9."/>
      <w:lvlJc w:val="left"/>
      <w:pPr>
        <w:tabs>
          <w:tab w:val="num" w:pos="7020"/>
        </w:tabs>
        <w:ind w:left="7020" w:hanging="1800"/>
      </w:pPr>
      <w:rPr>
        <w:rFonts w:hint="default"/>
      </w:rPr>
    </w:lvl>
  </w:abstractNum>
  <w:abstractNum w:abstractNumId="37" w15:restartNumberingAfterBreak="0">
    <w:nsid w:val="6CF846F4"/>
    <w:multiLevelType w:val="hybridMultilevel"/>
    <w:tmpl w:val="FF12DF04"/>
    <w:lvl w:ilvl="0" w:tplc="C30EAAF6">
      <w:start w:val="1"/>
      <w:numFmt w:val="bullet"/>
      <w:lvlText w:val="-"/>
      <w:lvlJc w:val="left"/>
      <w:pPr>
        <w:tabs>
          <w:tab w:val="num" w:pos="1800"/>
        </w:tabs>
        <w:ind w:left="1800" w:hanging="360"/>
      </w:pPr>
      <w:rPr>
        <w:rFonts w:ascii="Times New Roman" w:eastAsia="Times New Roman" w:hAnsi="Times New Roman" w:cs="Times New Roman"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6D8A03CF"/>
    <w:multiLevelType w:val="hybridMultilevel"/>
    <w:tmpl w:val="D8D860C0"/>
    <w:lvl w:ilvl="0" w:tplc="080C000B">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9" w15:restartNumberingAfterBreak="0">
    <w:nsid w:val="6FD80467"/>
    <w:multiLevelType w:val="hybridMultilevel"/>
    <w:tmpl w:val="77AC96CE"/>
    <w:lvl w:ilvl="0" w:tplc="DDF0E520">
      <w:start w:val="1"/>
      <w:numFmt w:val="decimal"/>
      <w:lvlText w:val="%1)"/>
      <w:lvlJc w:val="left"/>
      <w:pPr>
        <w:tabs>
          <w:tab w:val="num" w:pos="2160"/>
        </w:tabs>
        <w:ind w:left="2160" w:hanging="36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40" w15:restartNumberingAfterBreak="0">
    <w:nsid w:val="71C849D7"/>
    <w:multiLevelType w:val="hybridMultilevel"/>
    <w:tmpl w:val="2752C17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65572"/>
    <w:multiLevelType w:val="hybridMultilevel"/>
    <w:tmpl w:val="B966126A"/>
    <w:lvl w:ilvl="0" w:tplc="17429A3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2" w15:restartNumberingAfterBreak="0">
    <w:nsid w:val="758D04C7"/>
    <w:multiLevelType w:val="hybridMultilevel"/>
    <w:tmpl w:val="F9BAECEA"/>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9E7CBC"/>
    <w:multiLevelType w:val="hybridMultilevel"/>
    <w:tmpl w:val="AA4A7C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9"/>
  </w:num>
  <w:num w:numId="2">
    <w:abstractNumId w:val="24"/>
  </w:num>
  <w:num w:numId="3">
    <w:abstractNumId w:val="37"/>
  </w:num>
  <w:num w:numId="4">
    <w:abstractNumId w:val="5"/>
  </w:num>
  <w:num w:numId="5">
    <w:abstractNumId w:val="1"/>
  </w:num>
  <w:num w:numId="6">
    <w:abstractNumId w:val="26"/>
  </w:num>
  <w:num w:numId="7">
    <w:abstractNumId w:val="17"/>
  </w:num>
  <w:num w:numId="8">
    <w:abstractNumId w:val="11"/>
  </w:num>
  <w:num w:numId="9">
    <w:abstractNumId w:val="0"/>
  </w:num>
  <w:num w:numId="10">
    <w:abstractNumId w:val="41"/>
  </w:num>
  <w:num w:numId="11">
    <w:abstractNumId w:val="12"/>
  </w:num>
  <w:num w:numId="12">
    <w:abstractNumId w:val="33"/>
  </w:num>
  <w:num w:numId="13">
    <w:abstractNumId w:val="6"/>
  </w:num>
  <w:num w:numId="14">
    <w:abstractNumId w:val="35"/>
  </w:num>
  <w:num w:numId="15">
    <w:abstractNumId w:val="36"/>
  </w:num>
  <w:num w:numId="16">
    <w:abstractNumId w:val="15"/>
  </w:num>
  <w:num w:numId="17">
    <w:abstractNumId w:val="30"/>
  </w:num>
  <w:num w:numId="18">
    <w:abstractNumId w:val="10"/>
  </w:num>
  <w:num w:numId="19">
    <w:abstractNumId w:val="16"/>
  </w:num>
  <w:num w:numId="20">
    <w:abstractNumId w:val="40"/>
  </w:num>
  <w:num w:numId="21">
    <w:abstractNumId w:val="21"/>
  </w:num>
  <w:num w:numId="22">
    <w:abstractNumId w:val="42"/>
  </w:num>
  <w:num w:numId="23">
    <w:abstractNumId w:val="9"/>
  </w:num>
  <w:num w:numId="24">
    <w:abstractNumId w:val="3"/>
  </w:num>
  <w:num w:numId="25">
    <w:abstractNumId w:val="23"/>
  </w:num>
  <w:num w:numId="26">
    <w:abstractNumId w:val="22"/>
  </w:num>
  <w:num w:numId="27">
    <w:abstractNumId w:val="27"/>
  </w:num>
  <w:num w:numId="28">
    <w:abstractNumId w:val="18"/>
  </w:num>
  <w:num w:numId="29">
    <w:abstractNumId w:val="8"/>
  </w:num>
  <w:num w:numId="30">
    <w:abstractNumId w:val="20"/>
  </w:num>
  <w:num w:numId="31">
    <w:abstractNumId w:val="29"/>
  </w:num>
  <w:num w:numId="32">
    <w:abstractNumId w:val="38"/>
  </w:num>
  <w:num w:numId="33">
    <w:abstractNumId w:val="7"/>
  </w:num>
  <w:num w:numId="34">
    <w:abstractNumId w:val="43"/>
  </w:num>
  <w:num w:numId="35">
    <w:abstractNumId w:val="31"/>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w_prof" w:val="@default@"/>
  </w:docVars>
  <w:rsids>
    <w:rsidRoot w:val="00BD1685"/>
    <w:rsid w:val="00004A25"/>
    <w:rsid w:val="00006549"/>
    <w:rsid w:val="000072BE"/>
    <w:rsid w:val="00007652"/>
    <w:rsid w:val="000077E5"/>
    <w:rsid w:val="000109E2"/>
    <w:rsid w:val="00012226"/>
    <w:rsid w:val="000145B6"/>
    <w:rsid w:val="00014758"/>
    <w:rsid w:val="0002059C"/>
    <w:rsid w:val="00024247"/>
    <w:rsid w:val="0002480D"/>
    <w:rsid w:val="000251CA"/>
    <w:rsid w:val="00025AA7"/>
    <w:rsid w:val="00027160"/>
    <w:rsid w:val="00027470"/>
    <w:rsid w:val="0003002F"/>
    <w:rsid w:val="000308E0"/>
    <w:rsid w:val="000322D0"/>
    <w:rsid w:val="000372E5"/>
    <w:rsid w:val="00041D9B"/>
    <w:rsid w:val="00043507"/>
    <w:rsid w:val="00045EB5"/>
    <w:rsid w:val="00050870"/>
    <w:rsid w:val="00050D84"/>
    <w:rsid w:val="00052B7E"/>
    <w:rsid w:val="00055029"/>
    <w:rsid w:val="000579B8"/>
    <w:rsid w:val="00062345"/>
    <w:rsid w:val="0006442F"/>
    <w:rsid w:val="00064CF8"/>
    <w:rsid w:val="00070672"/>
    <w:rsid w:val="00072421"/>
    <w:rsid w:val="00072535"/>
    <w:rsid w:val="000729EC"/>
    <w:rsid w:val="000743A9"/>
    <w:rsid w:val="00075090"/>
    <w:rsid w:val="0007583D"/>
    <w:rsid w:val="00077F0B"/>
    <w:rsid w:val="00080F90"/>
    <w:rsid w:val="00082913"/>
    <w:rsid w:val="00085A6E"/>
    <w:rsid w:val="000861CE"/>
    <w:rsid w:val="000901F2"/>
    <w:rsid w:val="00092002"/>
    <w:rsid w:val="00093DEB"/>
    <w:rsid w:val="00096984"/>
    <w:rsid w:val="000A1296"/>
    <w:rsid w:val="000A174A"/>
    <w:rsid w:val="000A1966"/>
    <w:rsid w:val="000A2DEA"/>
    <w:rsid w:val="000A5F0C"/>
    <w:rsid w:val="000A67E3"/>
    <w:rsid w:val="000B00D1"/>
    <w:rsid w:val="000B0CBB"/>
    <w:rsid w:val="000B2430"/>
    <w:rsid w:val="000B588B"/>
    <w:rsid w:val="000B62C2"/>
    <w:rsid w:val="000B7A4A"/>
    <w:rsid w:val="000C16D2"/>
    <w:rsid w:val="000C1E2C"/>
    <w:rsid w:val="000C50EC"/>
    <w:rsid w:val="000D1800"/>
    <w:rsid w:val="000D259D"/>
    <w:rsid w:val="000D335E"/>
    <w:rsid w:val="000D4DBC"/>
    <w:rsid w:val="000D532E"/>
    <w:rsid w:val="000D70EC"/>
    <w:rsid w:val="000E1C2A"/>
    <w:rsid w:val="000E37FB"/>
    <w:rsid w:val="000E4C64"/>
    <w:rsid w:val="000E531B"/>
    <w:rsid w:val="000E6974"/>
    <w:rsid w:val="000F0381"/>
    <w:rsid w:val="000F2298"/>
    <w:rsid w:val="000F4559"/>
    <w:rsid w:val="000F53EF"/>
    <w:rsid w:val="001015DB"/>
    <w:rsid w:val="00102302"/>
    <w:rsid w:val="00102A75"/>
    <w:rsid w:val="00104172"/>
    <w:rsid w:val="00106762"/>
    <w:rsid w:val="00110986"/>
    <w:rsid w:val="00111864"/>
    <w:rsid w:val="00111B79"/>
    <w:rsid w:val="001157D0"/>
    <w:rsid w:val="00116A32"/>
    <w:rsid w:val="0012170D"/>
    <w:rsid w:val="0012689F"/>
    <w:rsid w:val="00127B97"/>
    <w:rsid w:val="00127F93"/>
    <w:rsid w:val="00130B3E"/>
    <w:rsid w:val="00130BE0"/>
    <w:rsid w:val="00131457"/>
    <w:rsid w:val="00131A7A"/>
    <w:rsid w:val="00132F44"/>
    <w:rsid w:val="001332A5"/>
    <w:rsid w:val="0013358E"/>
    <w:rsid w:val="001335F9"/>
    <w:rsid w:val="001336AC"/>
    <w:rsid w:val="0013393B"/>
    <w:rsid w:val="0013431F"/>
    <w:rsid w:val="00134C80"/>
    <w:rsid w:val="00136795"/>
    <w:rsid w:val="00136E2A"/>
    <w:rsid w:val="00140DB1"/>
    <w:rsid w:val="001421EB"/>
    <w:rsid w:val="00144A50"/>
    <w:rsid w:val="00145577"/>
    <w:rsid w:val="00145D90"/>
    <w:rsid w:val="00146A27"/>
    <w:rsid w:val="00150F29"/>
    <w:rsid w:val="00151BD2"/>
    <w:rsid w:val="00156101"/>
    <w:rsid w:val="001614F4"/>
    <w:rsid w:val="001615F7"/>
    <w:rsid w:val="00161F9B"/>
    <w:rsid w:val="00163D56"/>
    <w:rsid w:val="00163F31"/>
    <w:rsid w:val="001641EB"/>
    <w:rsid w:val="001653F7"/>
    <w:rsid w:val="001700CB"/>
    <w:rsid w:val="001702EC"/>
    <w:rsid w:val="0017104C"/>
    <w:rsid w:val="00171B62"/>
    <w:rsid w:val="00176FE0"/>
    <w:rsid w:val="001773FE"/>
    <w:rsid w:val="00177E94"/>
    <w:rsid w:val="00181914"/>
    <w:rsid w:val="0018622E"/>
    <w:rsid w:val="00191942"/>
    <w:rsid w:val="0019194A"/>
    <w:rsid w:val="00196CA1"/>
    <w:rsid w:val="001A0FDB"/>
    <w:rsid w:val="001A1AB0"/>
    <w:rsid w:val="001A2287"/>
    <w:rsid w:val="001A24D7"/>
    <w:rsid w:val="001A3A9B"/>
    <w:rsid w:val="001A4C52"/>
    <w:rsid w:val="001A61BD"/>
    <w:rsid w:val="001B023F"/>
    <w:rsid w:val="001B13A8"/>
    <w:rsid w:val="001B235A"/>
    <w:rsid w:val="001B4CAD"/>
    <w:rsid w:val="001C0301"/>
    <w:rsid w:val="001C1E01"/>
    <w:rsid w:val="001C6E66"/>
    <w:rsid w:val="001D07A6"/>
    <w:rsid w:val="001D0B69"/>
    <w:rsid w:val="001D1B90"/>
    <w:rsid w:val="001D2CD4"/>
    <w:rsid w:val="001D4267"/>
    <w:rsid w:val="001D57CE"/>
    <w:rsid w:val="001D66B4"/>
    <w:rsid w:val="001D718E"/>
    <w:rsid w:val="001D7A90"/>
    <w:rsid w:val="001E065F"/>
    <w:rsid w:val="001E362E"/>
    <w:rsid w:val="001E5C47"/>
    <w:rsid w:val="001E604F"/>
    <w:rsid w:val="001F12F1"/>
    <w:rsid w:val="001F138E"/>
    <w:rsid w:val="001F17DC"/>
    <w:rsid w:val="001F394B"/>
    <w:rsid w:val="001F4D0F"/>
    <w:rsid w:val="002001DC"/>
    <w:rsid w:val="002018E1"/>
    <w:rsid w:val="00201D4E"/>
    <w:rsid w:val="002024FC"/>
    <w:rsid w:val="0020394A"/>
    <w:rsid w:val="002105B4"/>
    <w:rsid w:val="00214DA1"/>
    <w:rsid w:val="00214FEF"/>
    <w:rsid w:val="00216775"/>
    <w:rsid w:val="0021749A"/>
    <w:rsid w:val="00220C3C"/>
    <w:rsid w:val="002210C1"/>
    <w:rsid w:val="002213A3"/>
    <w:rsid w:val="00221B13"/>
    <w:rsid w:val="00222D69"/>
    <w:rsid w:val="0022590B"/>
    <w:rsid w:val="00225991"/>
    <w:rsid w:val="0022652F"/>
    <w:rsid w:val="00226946"/>
    <w:rsid w:val="00226BAD"/>
    <w:rsid w:val="0022795E"/>
    <w:rsid w:val="00230968"/>
    <w:rsid w:val="00230DDC"/>
    <w:rsid w:val="00233D17"/>
    <w:rsid w:val="00234BC4"/>
    <w:rsid w:val="00236908"/>
    <w:rsid w:val="00240726"/>
    <w:rsid w:val="00240C5E"/>
    <w:rsid w:val="00241185"/>
    <w:rsid w:val="002422E1"/>
    <w:rsid w:val="00242815"/>
    <w:rsid w:val="00242CBB"/>
    <w:rsid w:val="0024570B"/>
    <w:rsid w:val="00245FB5"/>
    <w:rsid w:val="00246B1B"/>
    <w:rsid w:val="00247B91"/>
    <w:rsid w:val="00250E7B"/>
    <w:rsid w:val="00253031"/>
    <w:rsid w:val="00257C37"/>
    <w:rsid w:val="00262EAE"/>
    <w:rsid w:val="0026343C"/>
    <w:rsid w:val="002653FF"/>
    <w:rsid w:val="002668EA"/>
    <w:rsid w:val="00267C5A"/>
    <w:rsid w:val="00270191"/>
    <w:rsid w:val="002710D0"/>
    <w:rsid w:val="00271C3C"/>
    <w:rsid w:val="00272476"/>
    <w:rsid w:val="00277024"/>
    <w:rsid w:val="00277ADA"/>
    <w:rsid w:val="00277DB7"/>
    <w:rsid w:val="00277E29"/>
    <w:rsid w:val="00281247"/>
    <w:rsid w:val="002838FD"/>
    <w:rsid w:val="00287266"/>
    <w:rsid w:val="002872BB"/>
    <w:rsid w:val="00290DAA"/>
    <w:rsid w:val="002911AC"/>
    <w:rsid w:val="00292548"/>
    <w:rsid w:val="00292CAC"/>
    <w:rsid w:val="002930CF"/>
    <w:rsid w:val="0029691B"/>
    <w:rsid w:val="00296A2B"/>
    <w:rsid w:val="00296D5D"/>
    <w:rsid w:val="00297D97"/>
    <w:rsid w:val="002A1B46"/>
    <w:rsid w:val="002A274B"/>
    <w:rsid w:val="002A4346"/>
    <w:rsid w:val="002B0198"/>
    <w:rsid w:val="002B0D8F"/>
    <w:rsid w:val="002B1856"/>
    <w:rsid w:val="002B535D"/>
    <w:rsid w:val="002B67F9"/>
    <w:rsid w:val="002B7A22"/>
    <w:rsid w:val="002C2969"/>
    <w:rsid w:val="002C526B"/>
    <w:rsid w:val="002D2B37"/>
    <w:rsid w:val="002D393D"/>
    <w:rsid w:val="002D406C"/>
    <w:rsid w:val="002D61BF"/>
    <w:rsid w:val="002D7634"/>
    <w:rsid w:val="002E0FF3"/>
    <w:rsid w:val="002E59DD"/>
    <w:rsid w:val="002E6527"/>
    <w:rsid w:val="002E6979"/>
    <w:rsid w:val="002E69B7"/>
    <w:rsid w:val="002E7175"/>
    <w:rsid w:val="002F2F9C"/>
    <w:rsid w:val="002F4F24"/>
    <w:rsid w:val="002F5490"/>
    <w:rsid w:val="002F6832"/>
    <w:rsid w:val="002F6D38"/>
    <w:rsid w:val="0030020B"/>
    <w:rsid w:val="003003B6"/>
    <w:rsid w:val="0030541E"/>
    <w:rsid w:val="00305A3A"/>
    <w:rsid w:val="0030616C"/>
    <w:rsid w:val="003136EF"/>
    <w:rsid w:val="003152B6"/>
    <w:rsid w:val="0031589C"/>
    <w:rsid w:val="0031595E"/>
    <w:rsid w:val="00316A91"/>
    <w:rsid w:val="0031752A"/>
    <w:rsid w:val="00317DC2"/>
    <w:rsid w:val="0032285A"/>
    <w:rsid w:val="00322F19"/>
    <w:rsid w:val="00323F90"/>
    <w:rsid w:val="00325CA5"/>
    <w:rsid w:val="00326ACE"/>
    <w:rsid w:val="00326B3B"/>
    <w:rsid w:val="0033058E"/>
    <w:rsid w:val="00330DAC"/>
    <w:rsid w:val="00332164"/>
    <w:rsid w:val="003328AC"/>
    <w:rsid w:val="003331CF"/>
    <w:rsid w:val="00334A69"/>
    <w:rsid w:val="00334AAA"/>
    <w:rsid w:val="00337F62"/>
    <w:rsid w:val="003403AD"/>
    <w:rsid w:val="00341034"/>
    <w:rsid w:val="00341C0E"/>
    <w:rsid w:val="00344282"/>
    <w:rsid w:val="003449FF"/>
    <w:rsid w:val="00344F0A"/>
    <w:rsid w:val="0034638E"/>
    <w:rsid w:val="00346A96"/>
    <w:rsid w:val="00347405"/>
    <w:rsid w:val="0034746C"/>
    <w:rsid w:val="0034772F"/>
    <w:rsid w:val="00351821"/>
    <w:rsid w:val="003532E7"/>
    <w:rsid w:val="00356FA9"/>
    <w:rsid w:val="003571CA"/>
    <w:rsid w:val="00361074"/>
    <w:rsid w:val="00363E9D"/>
    <w:rsid w:val="00372F94"/>
    <w:rsid w:val="00373537"/>
    <w:rsid w:val="00374FCF"/>
    <w:rsid w:val="00376C37"/>
    <w:rsid w:val="00377DBB"/>
    <w:rsid w:val="00381A84"/>
    <w:rsid w:val="00381E9B"/>
    <w:rsid w:val="0038394A"/>
    <w:rsid w:val="00383E3D"/>
    <w:rsid w:val="003863B5"/>
    <w:rsid w:val="0038667E"/>
    <w:rsid w:val="00390527"/>
    <w:rsid w:val="003915BC"/>
    <w:rsid w:val="003919E1"/>
    <w:rsid w:val="0039251E"/>
    <w:rsid w:val="00393A06"/>
    <w:rsid w:val="003961EE"/>
    <w:rsid w:val="003A0AC1"/>
    <w:rsid w:val="003A0E9C"/>
    <w:rsid w:val="003A199E"/>
    <w:rsid w:val="003A6DA2"/>
    <w:rsid w:val="003A708A"/>
    <w:rsid w:val="003B046B"/>
    <w:rsid w:val="003B192A"/>
    <w:rsid w:val="003B3643"/>
    <w:rsid w:val="003B4606"/>
    <w:rsid w:val="003B4ABE"/>
    <w:rsid w:val="003B667A"/>
    <w:rsid w:val="003B6DC0"/>
    <w:rsid w:val="003B7EF6"/>
    <w:rsid w:val="003C0F48"/>
    <w:rsid w:val="003C1CD4"/>
    <w:rsid w:val="003C292B"/>
    <w:rsid w:val="003C6341"/>
    <w:rsid w:val="003C74AF"/>
    <w:rsid w:val="003C7E41"/>
    <w:rsid w:val="003D0416"/>
    <w:rsid w:val="003D0B25"/>
    <w:rsid w:val="003D1E62"/>
    <w:rsid w:val="003D2AE3"/>
    <w:rsid w:val="003D41B4"/>
    <w:rsid w:val="003D4AC8"/>
    <w:rsid w:val="003D6724"/>
    <w:rsid w:val="003E5CCE"/>
    <w:rsid w:val="003E60E5"/>
    <w:rsid w:val="003E6C3D"/>
    <w:rsid w:val="003F0892"/>
    <w:rsid w:val="003F1927"/>
    <w:rsid w:val="003F3F37"/>
    <w:rsid w:val="003F6A60"/>
    <w:rsid w:val="004023AA"/>
    <w:rsid w:val="004037A0"/>
    <w:rsid w:val="00403FE7"/>
    <w:rsid w:val="004044F5"/>
    <w:rsid w:val="00410229"/>
    <w:rsid w:val="00416537"/>
    <w:rsid w:val="004215B8"/>
    <w:rsid w:val="00421DE5"/>
    <w:rsid w:val="00424679"/>
    <w:rsid w:val="00424CE2"/>
    <w:rsid w:val="0042573D"/>
    <w:rsid w:val="00426E33"/>
    <w:rsid w:val="0042789B"/>
    <w:rsid w:val="00427D84"/>
    <w:rsid w:val="00427DE5"/>
    <w:rsid w:val="004313CA"/>
    <w:rsid w:val="00431E76"/>
    <w:rsid w:val="00433BBE"/>
    <w:rsid w:val="00435298"/>
    <w:rsid w:val="0043539E"/>
    <w:rsid w:val="00441BD0"/>
    <w:rsid w:val="00447E8E"/>
    <w:rsid w:val="004517CB"/>
    <w:rsid w:val="00452184"/>
    <w:rsid w:val="00452C63"/>
    <w:rsid w:val="00453EBC"/>
    <w:rsid w:val="0045448C"/>
    <w:rsid w:val="0045504A"/>
    <w:rsid w:val="004560F9"/>
    <w:rsid w:val="004562EB"/>
    <w:rsid w:val="00464092"/>
    <w:rsid w:val="00465B75"/>
    <w:rsid w:val="00470325"/>
    <w:rsid w:val="004705B8"/>
    <w:rsid w:val="00470771"/>
    <w:rsid w:val="0047190A"/>
    <w:rsid w:val="0047247B"/>
    <w:rsid w:val="0047444E"/>
    <w:rsid w:val="004760B5"/>
    <w:rsid w:val="00480831"/>
    <w:rsid w:val="0048268D"/>
    <w:rsid w:val="00487C2A"/>
    <w:rsid w:val="004908CC"/>
    <w:rsid w:val="00492853"/>
    <w:rsid w:val="00493C80"/>
    <w:rsid w:val="00493E42"/>
    <w:rsid w:val="0049472A"/>
    <w:rsid w:val="004952D5"/>
    <w:rsid w:val="004957B0"/>
    <w:rsid w:val="00495B93"/>
    <w:rsid w:val="00496A96"/>
    <w:rsid w:val="00496EAB"/>
    <w:rsid w:val="004A107E"/>
    <w:rsid w:val="004A68BB"/>
    <w:rsid w:val="004A6EC7"/>
    <w:rsid w:val="004B0B92"/>
    <w:rsid w:val="004B1B27"/>
    <w:rsid w:val="004B1F39"/>
    <w:rsid w:val="004B45CB"/>
    <w:rsid w:val="004B49A8"/>
    <w:rsid w:val="004B6A7A"/>
    <w:rsid w:val="004C0560"/>
    <w:rsid w:val="004C1227"/>
    <w:rsid w:val="004C1763"/>
    <w:rsid w:val="004C22BC"/>
    <w:rsid w:val="004C3987"/>
    <w:rsid w:val="004C674D"/>
    <w:rsid w:val="004D00F6"/>
    <w:rsid w:val="004D1C2F"/>
    <w:rsid w:val="004D3F6F"/>
    <w:rsid w:val="004D4093"/>
    <w:rsid w:val="004D44F1"/>
    <w:rsid w:val="004D4948"/>
    <w:rsid w:val="004D4C9B"/>
    <w:rsid w:val="004E0970"/>
    <w:rsid w:val="004E16D0"/>
    <w:rsid w:val="004E1970"/>
    <w:rsid w:val="004E28B5"/>
    <w:rsid w:val="004E3981"/>
    <w:rsid w:val="004E6BEE"/>
    <w:rsid w:val="004E6D5E"/>
    <w:rsid w:val="004F012C"/>
    <w:rsid w:val="004F0FA6"/>
    <w:rsid w:val="004F2431"/>
    <w:rsid w:val="004F3F26"/>
    <w:rsid w:val="004F5116"/>
    <w:rsid w:val="004F534B"/>
    <w:rsid w:val="00500321"/>
    <w:rsid w:val="00500A07"/>
    <w:rsid w:val="00502BC1"/>
    <w:rsid w:val="00503252"/>
    <w:rsid w:val="00503A26"/>
    <w:rsid w:val="00505DDA"/>
    <w:rsid w:val="00505F0E"/>
    <w:rsid w:val="00506146"/>
    <w:rsid w:val="005079CA"/>
    <w:rsid w:val="00510C5B"/>
    <w:rsid w:val="0051449C"/>
    <w:rsid w:val="00515169"/>
    <w:rsid w:val="00516844"/>
    <w:rsid w:val="00521E4E"/>
    <w:rsid w:val="0052222D"/>
    <w:rsid w:val="005246B3"/>
    <w:rsid w:val="0053026C"/>
    <w:rsid w:val="00530D7D"/>
    <w:rsid w:val="00531107"/>
    <w:rsid w:val="00537A63"/>
    <w:rsid w:val="005431F1"/>
    <w:rsid w:val="005431FC"/>
    <w:rsid w:val="00545949"/>
    <w:rsid w:val="00545F3F"/>
    <w:rsid w:val="005470D0"/>
    <w:rsid w:val="0054710B"/>
    <w:rsid w:val="005471FF"/>
    <w:rsid w:val="00550FA0"/>
    <w:rsid w:val="00551D20"/>
    <w:rsid w:val="00552673"/>
    <w:rsid w:val="00557127"/>
    <w:rsid w:val="00563717"/>
    <w:rsid w:val="005644CC"/>
    <w:rsid w:val="0056642D"/>
    <w:rsid w:val="00566B60"/>
    <w:rsid w:val="00567013"/>
    <w:rsid w:val="00571417"/>
    <w:rsid w:val="00572623"/>
    <w:rsid w:val="00574555"/>
    <w:rsid w:val="00575E90"/>
    <w:rsid w:val="005800A1"/>
    <w:rsid w:val="00580BEC"/>
    <w:rsid w:val="00581C22"/>
    <w:rsid w:val="00581C31"/>
    <w:rsid w:val="005831DE"/>
    <w:rsid w:val="0058324E"/>
    <w:rsid w:val="00583356"/>
    <w:rsid w:val="00583AF2"/>
    <w:rsid w:val="00584306"/>
    <w:rsid w:val="00590513"/>
    <w:rsid w:val="0059059B"/>
    <w:rsid w:val="00593BFD"/>
    <w:rsid w:val="00593E28"/>
    <w:rsid w:val="00595FD0"/>
    <w:rsid w:val="005A029D"/>
    <w:rsid w:val="005A03BD"/>
    <w:rsid w:val="005A141D"/>
    <w:rsid w:val="005A148A"/>
    <w:rsid w:val="005A33E8"/>
    <w:rsid w:val="005A445C"/>
    <w:rsid w:val="005A58F8"/>
    <w:rsid w:val="005A621C"/>
    <w:rsid w:val="005A6A5A"/>
    <w:rsid w:val="005B0531"/>
    <w:rsid w:val="005B4475"/>
    <w:rsid w:val="005B4C8A"/>
    <w:rsid w:val="005B5179"/>
    <w:rsid w:val="005B5D6A"/>
    <w:rsid w:val="005B5E7C"/>
    <w:rsid w:val="005B60BF"/>
    <w:rsid w:val="005C2976"/>
    <w:rsid w:val="005C2C6D"/>
    <w:rsid w:val="005C31E7"/>
    <w:rsid w:val="005C45A8"/>
    <w:rsid w:val="005D2ABA"/>
    <w:rsid w:val="005D63AA"/>
    <w:rsid w:val="005D7B10"/>
    <w:rsid w:val="005E0103"/>
    <w:rsid w:val="005E12BE"/>
    <w:rsid w:val="005E2D5B"/>
    <w:rsid w:val="005E4AD0"/>
    <w:rsid w:val="005E6B51"/>
    <w:rsid w:val="005F2614"/>
    <w:rsid w:val="005F516A"/>
    <w:rsid w:val="005F6222"/>
    <w:rsid w:val="005F6C03"/>
    <w:rsid w:val="005F7F4C"/>
    <w:rsid w:val="006000A9"/>
    <w:rsid w:val="00600BF3"/>
    <w:rsid w:val="00602FCB"/>
    <w:rsid w:val="006039D1"/>
    <w:rsid w:val="0060522B"/>
    <w:rsid w:val="006073AB"/>
    <w:rsid w:val="00614011"/>
    <w:rsid w:val="006163A9"/>
    <w:rsid w:val="00620B5F"/>
    <w:rsid w:val="006210D2"/>
    <w:rsid w:val="006215F7"/>
    <w:rsid w:val="00623140"/>
    <w:rsid w:val="0062338E"/>
    <w:rsid w:val="00624AF5"/>
    <w:rsid w:val="00625EF8"/>
    <w:rsid w:val="00625F75"/>
    <w:rsid w:val="00627101"/>
    <w:rsid w:val="00632020"/>
    <w:rsid w:val="006336C3"/>
    <w:rsid w:val="00634CA0"/>
    <w:rsid w:val="006362EE"/>
    <w:rsid w:val="00640E9C"/>
    <w:rsid w:val="00644B00"/>
    <w:rsid w:val="00644CCE"/>
    <w:rsid w:val="00651869"/>
    <w:rsid w:val="0065496C"/>
    <w:rsid w:val="00655650"/>
    <w:rsid w:val="0065737E"/>
    <w:rsid w:val="00661D2E"/>
    <w:rsid w:val="00665772"/>
    <w:rsid w:val="00665CC0"/>
    <w:rsid w:val="00666646"/>
    <w:rsid w:val="0067158C"/>
    <w:rsid w:val="0067181F"/>
    <w:rsid w:val="00672255"/>
    <w:rsid w:val="006745B3"/>
    <w:rsid w:val="00674EE2"/>
    <w:rsid w:val="006766A3"/>
    <w:rsid w:val="006816EF"/>
    <w:rsid w:val="00683DB3"/>
    <w:rsid w:val="006906A9"/>
    <w:rsid w:val="00690C35"/>
    <w:rsid w:val="0069130A"/>
    <w:rsid w:val="00691940"/>
    <w:rsid w:val="0069222D"/>
    <w:rsid w:val="006942C1"/>
    <w:rsid w:val="006958F9"/>
    <w:rsid w:val="00695A84"/>
    <w:rsid w:val="00697BC9"/>
    <w:rsid w:val="006A151A"/>
    <w:rsid w:val="006A18FA"/>
    <w:rsid w:val="006A3E4B"/>
    <w:rsid w:val="006A7269"/>
    <w:rsid w:val="006B2704"/>
    <w:rsid w:val="006B4A54"/>
    <w:rsid w:val="006B5488"/>
    <w:rsid w:val="006B5726"/>
    <w:rsid w:val="006B6B70"/>
    <w:rsid w:val="006B7BBA"/>
    <w:rsid w:val="006C0384"/>
    <w:rsid w:val="006C03C9"/>
    <w:rsid w:val="006C0B14"/>
    <w:rsid w:val="006C23F1"/>
    <w:rsid w:val="006C2733"/>
    <w:rsid w:val="006C4B54"/>
    <w:rsid w:val="006C62FC"/>
    <w:rsid w:val="006C633F"/>
    <w:rsid w:val="006C7339"/>
    <w:rsid w:val="006C7BE7"/>
    <w:rsid w:val="006C7D07"/>
    <w:rsid w:val="006C7F98"/>
    <w:rsid w:val="006D0278"/>
    <w:rsid w:val="006D1583"/>
    <w:rsid w:val="006D2D4D"/>
    <w:rsid w:val="006D3D96"/>
    <w:rsid w:val="006D47BA"/>
    <w:rsid w:val="006D4A80"/>
    <w:rsid w:val="006D4F53"/>
    <w:rsid w:val="006D6083"/>
    <w:rsid w:val="006D7B1D"/>
    <w:rsid w:val="006E052A"/>
    <w:rsid w:val="006E054D"/>
    <w:rsid w:val="006E340C"/>
    <w:rsid w:val="006E5798"/>
    <w:rsid w:val="006E6D8E"/>
    <w:rsid w:val="006E7408"/>
    <w:rsid w:val="006F20A2"/>
    <w:rsid w:val="006F27C8"/>
    <w:rsid w:val="006F5B59"/>
    <w:rsid w:val="006F733F"/>
    <w:rsid w:val="00701636"/>
    <w:rsid w:val="0070187B"/>
    <w:rsid w:val="007029B0"/>
    <w:rsid w:val="00702A4A"/>
    <w:rsid w:val="00703A40"/>
    <w:rsid w:val="0070545F"/>
    <w:rsid w:val="00711C69"/>
    <w:rsid w:val="00712368"/>
    <w:rsid w:val="00714E1E"/>
    <w:rsid w:val="00715E19"/>
    <w:rsid w:val="00716D4B"/>
    <w:rsid w:val="00717691"/>
    <w:rsid w:val="00717B8C"/>
    <w:rsid w:val="007215D2"/>
    <w:rsid w:val="00722052"/>
    <w:rsid w:val="0072240A"/>
    <w:rsid w:val="00722E6B"/>
    <w:rsid w:val="007339C2"/>
    <w:rsid w:val="00733E4A"/>
    <w:rsid w:val="007345EF"/>
    <w:rsid w:val="00734A2D"/>
    <w:rsid w:val="007358B7"/>
    <w:rsid w:val="007405F3"/>
    <w:rsid w:val="00741710"/>
    <w:rsid w:val="00743E74"/>
    <w:rsid w:val="00747BBD"/>
    <w:rsid w:val="00750210"/>
    <w:rsid w:val="0075062A"/>
    <w:rsid w:val="007511FD"/>
    <w:rsid w:val="00751C36"/>
    <w:rsid w:val="00752CAC"/>
    <w:rsid w:val="00753218"/>
    <w:rsid w:val="00753508"/>
    <w:rsid w:val="00754696"/>
    <w:rsid w:val="00761705"/>
    <w:rsid w:val="00761AE2"/>
    <w:rsid w:val="00761E92"/>
    <w:rsid w:val="0076621B"/>
    <w:rsid w:val="007666F1"/>
    <w:rsid w:val="007706D0"/>
    <w:rsid w:val="00775B96"/>
    <w:rsid w:val="00777B6A"/>
    <w:rsid w:val="00781466"/>
    <w:rsid w:val="007819C7"/>
    <w:rsid w:val="0078232E"/>
    <w:rsid w:val="007823E9"/>
    <w:rsid w:val="007846B9"/>
    <w:rsid w:val="007906B5"/>
    <w:rsid w:val="00790750"/>
    <w:rsid w:val="007909B4"/>
    <w:rsid w:val="00790ACF"/>
    <w:rsid w:val="00792EA5"/>
    <w:rsid w:val="00793E2D"/>
    <w:rsid w:val="00794C93"/>
    <w:rsid w:val="007956DD"/>
    <w:rsid w:val="00796487"/>
    <w:rsid w:val="00796C67"/>
    <w:rsid w:val="007A0619"/>
    <w:rsid w:val="007A0930"/>
    <w:rsid w:val="007A1027"/>
    <w:rsid w:val="007A3320"/>
    <w:rsid w:val="007A3D8D"/>
    <w:rsid w:val="007A5445"/>
    <w:rsid w:val="007A61FA"/>
    <w:rsid w:val="007A6C00"/>
    <w:rsid w:val="007B0F28"/>
    <w:rsid w:val="007B28C0"/>
    <w:rsid w:val="007B50F8"/>
    <w:rsid w:val="007B5277"/>
    <w:rsid w:val="007B585C"/>
    <w:rsid w:val="007B5C1A"/>
    <w:rsid w:val="007B6367"/>
    <w:rsid w:val="007B7A44"/>
    <w:rsid w:val="007B7F98"/>
    <w:rsid w:val="007C0B48"/>
    <w:rsid w:val="007C1E31"/>
    <w:rsid w:val="007C3900"/>
    <w:rsid w:val="007C537F"/>
    <w:rsid w:val="007C5499"/>
    <w:rsid w:val="007C7751"/>
    <w:rsid w:val="007D410C"/>
    <w:rsid w:val="007D4C0A"/>
    <w:rsid w:val="007D67DC"/>
    <w:rsid w:val="007E0666"/>
    <w:rsid w:val="007E1E75"/>
    <w:rsid w:val="007E23A8"/>
    <w:rsid w:val="007F2670"/>
    <w:rsid w:val="007F3E05"/>
    <w:rsid w:val="007F700D"/>
    <w:rsid w:val="008009B6"/>
    <w:rsid w:val="008009E9"/>
    <w:rsid w:val="00801468"/>
    <w:rsid w:val="00803D09"/>
    <w:rsid w:val="008043B3"/>
    <w:rsid w:val="00805E74"/>
    <w:rsid w:val="00805FCD"/>
    <w:rsid w:val="00807189"/>
    <w:rsid w:val="00807224"/>
    <w:rsid w:val="008117E8"/>
    <w:rsid w:val="0081448B"/>
    <w:rsid w:val="00816020"/>
    <w:rsid w:val="00816877"/>
    <w:rsid w:val="00816F75"/>
    <w:rsid w:val="00817F7B"/>
    <w:rsid w:val="0082030D"/>
    <w:rsid w:val="0082321B"/>
    <w:rsid w:val="008234AE"/>
    <w:rsid w:val="00824408"/>
    <w:rsid w:val="00826710"/>
    <w:rsid w:val="00831186"/>
    <w:rsid w:val="00833824"/>
    <w:rsid w:val="00834A10"/>
    <w:rsid w:val="00837124"/>
    <w:rsid w:val="008377F8"/>
    <w:rsid w:val="00841B2F"/>
    <w:rsid w:val="00843780"/>
    <w:rsid w:val="00844371"/>
    <w:rsid w:val="00845B9A"/>
    <w:rsid w:val="00845FE8"/>
    <w:rsid w:val="008461D9"/>
    <w:rsid w:val="008503A6"/>
    <w:rsid w:val="00850E1E"/>
    <w:rsid w:val="00851AFC"/>
    <w:rsid w:val="00852502"/>
    <w:rsid w:val="00852ACF"/>
    <w:rsid w:val="00855C1D"/>
    <w:rsid w:val="00856AFB"/>
    <w:rsid w:val="00857992"/>
    <w:rsid w:val="0086046F"/>
    <w:rsid w:val="00861870"/>
    <w:rsid w:val="00861ADD"/>
    <w:rsid w:val="008630ED"/>
    <w:rsid w:val="00865859"/>
    <w:rsid w:val="00866A00"/>
    <w:rsid w:val="008705E7"/>
    <w:rsid w:val="0087118A"/>
    <w:rsid w:val="008724F3"/>
    <w:rsid w:val="00873E60"/>
    <w:rsid w:val="00874CBD"/>
    <w:rsid w:val="00874E04"/>
    <w:rsid w:val="00876D32"/>
    <w:rsid w:val="008776AC"/>
    <w:rsid w:val="00880411"/>
    <w:rsid w:val="008808CC"/>
    <w:rsid w:val="00883A48"/>
    <w:rsid w:val="00883A9D"/>
    <w:rsid w:val="00884A4F"/>
    <w:rsid w:val="008851B4"/>
    <w:rsid w:val="00885732"/>
    <w:rsid w:val="00886CE2"/>
    <w:rsid w:val="00887801"/>
    <w:rsid w:val="0089115D"/>
    <w:rsid w:val="008973DE"/>
    <w:rsid w:val="008974B5"/>
    <w:rsid w:val="008A012E"/>
    <w:rsid w:val="008A0C73"/>
    <w:rsid w:val="008A1C00"/>
    <w:rsid w:val="008A2078"/>
    <w:rsid w:val="008A3EB1"/>
    <w:rsid w:val="008A41B2"/>
    <w:rsid w:val="008A51A6"/>
    <w:rsid w:val="008A620C"/>
    <w:rsid w:val="008A67D0"/>
    <w:rsid w:val="008A6845"/>
    <w:rsid w:val="008A74AE"/>
    <w:rsid w:val="008B1A1D"/>
    <w:rsid w:val="008B4EA3"/>
    <w:rsid w:val="008B51D1"/>
    <w:rsid w:val="008B787F"/>
    <w:rsid w:val="008B7EF6"/>
    <w:rsid w:val="008C1424"/>
    <w:rsid w:val="008C1E3E"/>
    <w:rsid w:val="008C3CD8"/>
    <w:rsid w:val="008C4441"/>
    <w:rsid w:val="008C5861"/>
    <w:rsid w:val="008C5E4F"/>
    <w:rsid w:val="008C7D73"/>
    <w:rsid w:val="008D083A"/>
    <w:rsid w:val="008D1FF1"/>
    <w:rsid w:val="008D286F"/>
    <w:rsid w:val="008D4438"/>
    <w:rsid w:val="008D48F1"/>
    <w:rsid w:val="008D56AC"/>
    <w:rsid w:val="008D6529"/>
    <w:rsid w:val="008E293E"/>
    <w:rsid w:val="008E4278"/>
    <w:rsid w:val="008E56AF"/>
    <w:rsid w:val="008E5D07"/>
    <w:rsid w:val="008E67A4"/>
    <w:rsid w:val="008E6D4E"/>
    <w:rsid w:val="008E706C"/>
    <w:rsid w:val="008E7B09"/>
    <w:rsid w:val="008F31B3"/>
    <w:rsid w:val="008F5770"/>
    <w:rsid w:val="008F7458"/>
    <w:rsid w:val="009011AE"/>
    <w:rsid w:val="00901CE9"/>
    <w:rsid w:val="00901F70"/>
    <w:rsid w:val="00902151"/>
    <w:rsid w:val="009027CE"/>
    <w:rsid w:val="0090319E"/>
    <w:rsid w:val="00903E5A"/>
    <w:rsid w:val="00903FC0"/>
    <w:rsid w:val="00904A8F"/>
    <w:rsid w:val="00904D90"/>
    <w:rsid w:val="00904DDC"/>
    <w:rsid w:val="009051EB"/>
    <w:rsid w:val="00905C5D"/>
    <w:rsid w:val="009061F5"/>
    <w:rsid w:val="00907123"/>
    <w:rsid w:val="0091166D"/>
    <w:rsid w:val="00911751"/>
    <w:rsid w:val="009124F3"/>
    <w:rsid w:val="00913BDD"/>
    <w:rsid w:val="00915D76"/>
    <w:rsid w:val="00915E77"/>
    <w:rsid w:val="009161E4"/>
    <w:rsid w:val="00916E8E"/>
    <w:rsid w:val="00921B1B"/>
    <w:rsid w:val="00925639"/>
    <w:rsid w:val="00925CE4"/>
    <w:rsid w:val="009278B8"/>
    <w:rsid w:val="00932C22"/>
    <w:rsid w:val="009330B8"/>
    <w:rsid w:val="00933714"/>
    <w:rsid w:val="009343CF"/>
    <w:rsid w:val="009347DE"/>
    <w:rsid w:val="009350EE"/>
    <w:rsid w:val="00935118"/>
    <w:rsid w:val="00941F8F"/>
    <w:rsid w:val="00946137"/>
    <w:rsid w:val="00946D62"/>
    <w:rsid w:val="0094704B"/>
    <w:rsid w:val="009501E2"/>
    <w:rsid w:val="00951DE5"/>
    <w:rsid w:val="00951DFC"/>
    <w:rsid w:val="009521B0"/>
    <w:rsid w:val="0095252A"/>
    <w:rsid w:val="00954E31"/>
    <w:rsid w:val="00955BB0"/>
    <w:rsid w:val="00960470"/>
    <w:rsid w:val="00962C3E"/>
    <w:rsid w:val="00963C5D"/>
    <w:rsid w:val="0096433A"/>
    <w:rsid w:val="009667F9"/>
    <w:rsid w:val="0096697F"/>
    <w:rsid w:val="009708B5"/>
    <w:rsid w:val="00970D57"/>
    <w:rsid w:val="009713CD"/>
    <w:rsid w:val="0097332E"/>
    <w:rsid w:val="0097767B"/>
    <w:rsid w:val="00977FDC"/>
    <w:rsid w:val="009803C1"/>
    <w:rsid w:val="00980918"/>
    <w:rsid w:val="00980B85"/>
    <w:rsid w:val="00980CE9"/>
    <w:rsid w:val="00980FEF"/>
    <w:rsid w:val="0098254E"/>
    <w:rsid w:val="009914A4"/>
    <w:rsid w:val="0099209B"/>
    <w:rsid w:val="009920D9"/>
    <w:rsid w:val="009937F1"/>
    <w:rsid w:val="009960F4"/>
    <w:rsid w:val="009A181E"/>
    <w:rsid w:val="009A2FD4"/>
    <w:rsid w:val="009A3392"/>
    <w:rsid w:val="009A3A5C"/>
    <w:rsid w:val="009A3D4F"/>
    <w:rsid w:val="009A5450"/>
    <w:rsid w:val="009B1A28"/>
    <w:rsid w:val="009B2296"/>
    <w:rsid w:val="009B33DB"/>
    <w:rsid w:val="009B5D1A"/>
    <w:rsid w:val="009C03F8"/>
    <w:rsid w:val="009C10EA"/>
    <w:rsid w:val="009C1E29"/>
    <w:rsid w:val="009C3BE1"/>
    <w:rsid w:val="009C44E8"/>
    <w:rsid w:val="009C7E92"/>
    <w:rsid w:val="009C7FBD"/>
    <w:rsid w:val="009D099D"/>
    <w:rsid w:val="009D1FA9"/>
    <w:rsid w:val="009D57C1"/>
    <w:rsid w:val="009D6688"/>
    <w:rsid w:val="009D6AAD"/>
    <w:rsid w:val="009E025B"/>
    <w:rsid w:val="009E26C0"/>
    <w:rsid w:val="009E2F7B"/>
    <w:rsid w:val="009E4332"/>
    <w:rsid w:val="009E5242"/>
    <w:rsid w:val="009E5AA0"/>
    <w:rsid w:val="009E5F5A"/>
    <w:rsid w:val="009E6DB5"/>
    <w:rsid w:val="009E7711"/>
    <w:rsid w:val="009F26F7"/>
    <w:rsid w:val="009F2CCA"/>
    <w:rsid w:val="009F35AC"/>
    <w:rsid w:val="009F3B54"/>
    <w:rsid w:val="009F4D14"/>
    <w:rsid w:val="009F51BD"/>
    <w:rsid w:val="00A00A62"/>
    <w:rsid w:val="00A00B72"/>
    <w:rsid w:val="00A06C6B"/>
    <w:rsid w:val="00A119A4"/>
    <w:rsid w:val="00A1435F"/>
    <w:rsid w:val="00A15F8E"/>
    <w:rsid w:val="00A17152"/>
    <w:rsid w:val="00A17A5D"/>
    <w:rsid w:val="00A205A8"/>
    <w:rsid w:val="00A22BDE"/>
    <w:rsid w:val="00A244B8"/>
    <w:rsid w:val="00A26618"/>
    <w:rsid w:val="00A27BDE"/>
    <w:rsid w:val="00A30ED9"/>
    <w:rsid w:val="00A3184C"/>
    <w:rsid w:val="00A35068"/>
    <w:rsid w:val="00A35374"/>
    <w:rsid w:val="00A353AD"/>
    <w:rsid w:val="00A419AB"/>
    <w:rsid w:val="00A45758"/>
    <w:rsid w:val="00A50424"/>
    <w:rsid w:val="00A56C73"/>
    <w:rsid w:val="00A5736F"/>
    <w:rsid w:val="00A653CA"/>
    <w:rsid w:val="00A67D59"/>
    <w:rsid w:val="00A704C0"/>
    <w:rsid w:val="00A71396"/>
    <w:rsid w:val="00A72AD9"/>
    <w:rsid w:val="00A775A1"/>
    <w:rsid w:val="00A8079D"/>
    <w:rsid w:val="00A81553"/>
    <w:rsid w:val="00A85283"/>
    <w:rsid w:val="00A87E1F"/>
    <w:rsid w:val="00A92725"/>
    <w:rsid w:val="00A93D26"/>
    <w:rsid w:val="00A96FF0"/>
    <w:rsid w:val="00A97D89"/>
    <w:rsid w:val="00AA008C"/>
    <w:rsid w:val="00AA5431"/>
    <w:rsid w:val="00AA7674"/>
    <w:rsid w:val="00AB140D"/>
    <w:rsid w:val="00AB1636"/>
    <w:rsid w:val="00AB1FBB"/>
    <w:rsid w:val="00AB6AD7"/>
    <w:rsid w:val="00AB7E6B"/>
    <w:rsid w:val="00AC03E7"/>
    <w:rsid w:val="00AC04DF"/>
    <w:rsid w:val="00AC2D5E"/>
    <w:rsid w:val="00AC4A43"/>
    <w:rsid w:val="00AC69EE"/>
    <w:rsid w:val="00AD1722"/>
    <w:rsid w:val="00AD4B7C"/>
    <w:rsid w:val="00AD520F"/>
    <w:rsid w:val="00AD6063"/>
    <w:rsid w:val="00AD6B01"/>
    <w:rsid w:val="00AD7C5F"/>
    <w:rsid w:val="00AE137D"/>
    <w:rsid w:val="00AE27D4"/>
    <w:rsid w:val="00AE2BAC"/>
    <w:rsid w:val="00AE366F"/>
    <w:rsid w:val="00AE4B22"/>
    <w:rsid w:val="00AE7DF6"/>
    <w:rsid w:val="00AF2730"/>
    <w:rsid w:val="00AF330F"/>
    <w:rsid w:val="00AF3AEB"/>
    <w:rsid w:val="00AF42A4"/>
    <w:rsid w:val="00AF4B2D"/>
    <w:rsid w:val="00AF62C3"/>
    <w:rsid w:val="00AF7DAD"/>
    <w:rsid w:val="00B014B3"/>
    <w:rsid w:val="00B0316C"/>
    <w:rsid w:val="00B06AF1"/>
    <w:rsid w:val="00B07EF4"/>
    <w:rsid w:val="00B07F98"/>
    <w:rsid w:val="00B133F3"/>
    <w:rsid w:val="00B15D02"/>
    <w:rsid w:val="00B2068D"/>
    <w:rsid w:val="00B20820"/>
    <w:rsid w:val="00B20CFC"/>
    <w:rsid w:val="00B22F0D"/>
    <w:rsid w:val="00B244A8"/>
    <w:rsid w:val="00B24CEB"/>
    <w:rsid w:val="00B25311"/>
    <w:rsid w:val="00B25D29"/>
    <w:rsid w:val="00B267A1"/>
    <w:rsid w:val="00B3183C"/>
    <w:rsid w:val="00B328D8"/>
    <w:rsid w:val="00B33103"/>
    <w:rsid w:val="00B35342"/>
    <w:rsid w:val="00B400A5"/>
    <w:rsid w:val="00B4114F"/>
    <w:rsid w:val="00B413B0"/>
    <w:rsid w:val="00B42A88"/>
    <w:rsid w:val="00B45027"/>
    <w:rsid w:val="00B46E7F"/>
    <w:rsid w:val="00B477D2"/>
    <w:rsid w:val="00B5154C"/>
    <w:rsid w:val="00B52939"/>
    <w:rsid w:val="00B52C69"/>
    <w:rsid w:val="00B54A57"/>
    <w:rsid w:val="00B55B55"/>
    <w:rsid w:val="00B566F0"/>
    <w:rsid w:val="00B6043C"/>
    <w:rsid w:val="00B66DF8"/>
    <w:rsid w:val="00B703B8"/>
    <w:rsid w:val="00B75B5E"/>
    <w:rsid w:val="00B80BAB"/>
    <w:rsid w:val="00B81C0B"/>
    <w:rsid w:val="00B824DD"/>
    <w:rsid w:val="00B83670"/>
    <w:rsid w:val="00B83C4A"/>
    <w:rsid w:val="00B83F8E"/>
    <w:rsid w:val="00B847DD"/>
    <w:rsid w:val="00B91448"/>
    <w:rsid w:val="00B92F0B"/>
    <w:rsid w:val="00B96867"/>
    <w:rsid w:val="00BA0332"/>
    <w:rsid w:val="00BA0AB6"/>
    <w:rsid w:val="00BA316D"/>
    <w:rsid w:val="00BA4BC6"/>
    <w:rsid w:val="00BA606B"/>
    <w:rsid w:val="00BA6691"/>
    <w:rsid w:val="00BB106B"/>
    <w:rsid w:val="00BB262B"/>
    <w:rsid w:val="00BC217D"/>
    <w:rsid w:val="00BD1272"/>
    <w:rsid w:val="00BD1685"/>
    <w:rsid w:val="00BD2403"/>
    <w:rsid w:val="00BD2AF0"/>
    <w:rsid w:val="00BD3AC2"/>
    <w:rsid w:val="00BD3B46"/>
    <w:rsid w:val="00BD4506"/>
    <w:rsid w:val="00BD643A"/>
    <w:rsid w:val="00BD6505"/>
    <w:rsid w:val="00BD6964"/>
    <w:rsid w:val="00BD7C74"/>
    <w:rsid w:val="00BE1C59"/>
    <w:rsid w:val="00BE42C4"/>
    <w:rsid w:val="00BE4739"/>
    <w:rsid w:val="00BE55E6"/>
    <w:rsid w:val="00BF0A81"/>
    <w:rsid w:val="00BF1F5C"/>
    <w:rsid w:val="00BF3143"/>
    <w:rsid w:val="00BF37EC"/>
    <w:rsid w:val="00BF3C89"/>
    <w:rsid w:val="00BF4308"/>
    <w:rsid w:val="00BF4785"/>
    <w:rsid w:val="00BF4C67"/>
    <w:rsid w:val="00BF5479"/>
    <w:rsid w:val="00BF690D"/>
    <w:rsid w:val="00C00C80"/>
    <w:rsid w:val="00C00D31"/>
    <w:rsid w:val="00C011D1"/>
    <w:rsid w:val="00C04D85"/>
    <w:rsid w:val="00C067B5"/>
    <w:rsid w:val="00C07EB2"/>
    <w:rsid w:val="00C10C1F"/>
    <w:rsid w:val="00C11D59"/>
    <w:rsid w:val="00C13C2C"/>
    <w:rsid w:val="00C1435E"/>
    <w:rsid w:val="00C15533"/>
    <w:rsid w:val="00C155F6"/>
    <w:rsid w:val="00C15CC3"/>
    <w:rsid w:val="00C162F0"/>
    <w:rsid w:val="00C16399"/>
    <w:rsid w:val="00C16DE4"/>
    <w:rsid w:val="00C1714D"/>
    <w:rsid w:val="00C2360C"/>
    <w:rsid w:val="00C24920"/>
    <w:rsid w:val="00C26F5B"/>
    <w:rsid w:val="00C270FC"/>
    <w:rsid w:val="00C3274E"/>
    <w:rsid w:val="00C34FA0"/>
    <w:rsid w:val="00C366C8"/>
    <w:rsid w:val="00C367B6"/>
    <w:rsid w:val="00C41A14"/>
    <w:rsid w:val="00C4527B"/>
    <w:rsid w:val="00C506DC"/>
    <w:rsid w:val="00C54BF8"/>
    <w:rsid w:val="00C55303"/>
    <w:rsid w:val="00C553A0"/>
    <w:rsid w:val="00C555B9"/>
    <w:rsid w:val="00C564F6"/>
    <w:rsid w:val="00C576DE"/>
    <w:rsid w:val="00C57702"/>
    <w:rsid w:val="00C578F0"/>
    <w:rsid w:val="00C60FA4"/>
    <w:rsid w:val="00C6115E"/>
    <w:rsid w:val="00C626B8"/>
    <w:rsid w:val="00C6416A"/>
    <w:rsid w:val="00C6633D"/>
    <w:rsid w:val="00C66DD4"/>
    <w:rsid w:val="00C70196"/>
    <w:rsid w:val="00C71B44"/>
    <w:rsid w:val="00C74CBD"/>
    <w:rsid w:val="00C75B99"/>
    <w:rsid w:val="00C75DA1"/>
    <w:rsid w:val="00C76D6F"/>
    <w:rsid w:val="00C82CAE"/>
    <w:rsid w:val="00C83049"/>
    <w:rsid w:val="00C83D78"/>
    <w:rsid w:val="00C848AF"/>
    <w:rsid w:val="00C864BE"/>
    <w:rsid w:val="00C86ACC"/>
    <w:rsid w:val="00C876EA"/>
    <w:rsid w:val="00C927CA"/>
    <w:rsid w:val="00C93D15"/>
    <w:rsid w:val="00C952B1"/>
    <w:rsid w:val="00C95454"/>
    <w:rsid w:val="00C96C9A"/>
    <w:rsid w:val="00CA1CA1"/>
    <w:rsid w:val="00CA249C"/>
    <w:rsid w:val="00CA2735"/>
    <w:rsid w:val="00CA34C4"/>
    <w:rsid w:val="00CA365A"/>
    <w:rsid w:val="00CA4C51"/>
    <w:rsid w:val="00CA6048"/>
    <w:rsid w:val="00CB06A0"/>
    <w:rsid w:val="00CB5291"/>
    <w:rsid w:val="00CB6846"/>
    <w:rsid w:val="00CB72BB"/>
    <w:rsid w:val="00CB7855"/>
    <w:rsid w:val="00CB7A4A"/>
    <w:rsid w:val="00CC26BF"/>
    <w:rsid w:val="00CC2BF4"/>
    <w:rsid w:val="00CC2FBF"/>
    <w:rsid w:val="00CC370F"/>
    <w:rsid w:val="00CC5422"/>
    <w:rsid w:val="00CC6693"/>
    <w:rsid w:val="00CC6ECC"/>
    <w:rsid w:val="00CD422A"/>
    <w:rsid w:val="00CD4352"/>
    <w:rsid w:val="00CD4A3C"/>
    <w:rsid w:val="00CD52AE"/>
    <w:rsid w:val="00CD54CE"/>
    <w:rsid w:val="00CD6021"/>
    <w:rsid w:val="00CD6D65"/>
    <w:rsid w:val="00CD7682"/>
    <w:rsid w:val="00CD7A69"/>
    <w:rsid w:val="00CE3E45"/>
    <w:rsid w:val="00CE4544"/>
    <w:rsid w:val="00CE5267"/>
    <w:rsid w:val="00CE67EF"/>
    <w:rsid w:val="00CE7A7A"/>
    <w:rsid w:val="00CF0008"/>
    <w:rsid w:val="00CF1F2D"/>
    <w:rsid w:val="00CF5BF0"/>
    <w:rsid w:val="00CF6FEC"/>
    <w:rsid w:val="00D01665"/>
    <w:rsid w:val="00D03B04"/>
    <w:rsid w:val="00D06512"/>
    <w:rsid w:val="00D07A24"/>
    <w:rsid w:val="00D10198"/>
    <w:rsid w:val="00D102CC"/>
    <w:rsid w:val="00D13B18"/>
    <w:rsid w:val="00D14F77"/>
    <w:rsid w:val="00D157EC"/>
    <w:rsid w:val="00D162F6"/>
    <w:rsid w:val="00D1706F"/>
    <w:rsid w:val="00D23309"/>
    <w:rsid w:val="00D248B6"/>
    <w:rsid w:val="00D24B18"/>
    <w:rsid w:val="00D3089A"/>
    <w:rsid w:val="00D3253B"/>
    <w:rsid w:val="00D33C9C"/>
    <w:rsid w:val="00D36156"/>
    <w:rsid w:val="00D375CD"/>
    <w:rsid w:val="00D3785C"/>
    <w:rsid w:val="00D405F5"/>
    <w:rsid w:val="00D418C2"/>
    <w:rsid w:val="00D4222A"/>
    <w:rsid w:val="00D43090"/>
    <w:rsid w:val="00D44E86"/>
    <w:rsid w:val="00D45152"/>
    <w:rsid w:val="00D503EA"/>
    <w:rsid w:val="00D50F03"/>
    <w:rsid w:val="00D52996"/>
    <w:rsid w:val="00D53878"/>
    <w:rsid w:val="00D56D67"/>
    <w:rsid w:val="00D6060C"/>
    <w:rsid w:val="00D63988"/>
    <w:rsid w:val="00D64DA0"/>
    <w:rsid w:val="00D67AB4"/>
    <w:rsid w:val="00D71327"/>
    <w:rsid w:val="00D75882"/>
    <w:rsid w:val="00D77206"/>
    <w:rsid w:val="00D803A5"/>
    <w:rsid w:val="00D82512"/>
    <w:rsid w:val="00D83BBC"/>
    <w:rsid w:val="00D84B40"/>
    <w:rsid w:val="00D873C7"/>
    <w:rsid w:val="00D878B0"/>
    <w:rsid w:val="00D900E6"/>
    <w:rsid w:val="00D94B4E"/>
    <w:rsid w:val="00DA0C6C"/>
    <w:rsid w:val="00DA101F"/>
    <w:rsid w:val="00DA3160"/>
    <w:rsid w:val="00DA777F"/>
    <w:rsid w:val="00DB2750"/>
    <w:rsid w:val="00DB37C5"/>
    <w:rsid w:val="00DB7A15"/>
    <w:rsid w:val="00DC1DF8"/>
    <w:rsid w:val="00DC2F22"/>
    <w:rsid w:val="00DC33AA"/>
    <w:rsid w:val="00DC4134"/>
    <w:rsid w:val="00DC6360"/>
    <w:rsid w:val="00DD1004"/>
    <w:rsid w:val="00DD1646"/>
    <w:rsid w:val="00DD238F"/>
    <w:rsid w:val="00DD329F"/>
    <w:rsid w:val="00DD63EA"/>
    <w:rsid w:val="00DD6A22"/>
    <w:rsid w:val="00DD7670"/>
    <w:rsid w:val="00DE01E3"/>
    <w:rsid w:val="00DE06CD"/>
    <w:rsid w:val="00DF0311"/>
    <w:rsid w:val="00DF2C7C"/>
    <w:rsid w:val="00DF4C76"/>
    <w:rsid w:val="00E012DA"/>
    <w:rsid w:val="00E02ECD"/>
    <w:rsid w:val="00E047D8"/>
    <w:rsid w:val="00E04BC2"/>
    <w:rsid w:val="00E05770"/>
    <w:rsid w:val="00E06506"/>
    <w:rsid w:val="00E07551"/>
    <w:rsid w:val="00E101DB"/>
    <w:rsid w:val="00E1196F"/>
    <w:rsid w:val="00E13BC3"/>
    <w:rsid w:val="00E173B4"/>
    <w:rsid w:val="00E1791D"/>
    <w:rsid w:val="00E2186D"/>
    <w:rsid w:val="00E24CAB"/>
    <w:rsid w:val="00E26494"/>
    <w:rsid w:val="00E26811"/>
    <w:rsid w:val="00E26B18"/>
    <w:rsid w:val="00E26FD5"/>
    <w:rsid w:val="00E27B4F"/>
    <w:rsid w:val="00E30744"/>
    <w:rsid w:val="00E332B3"/>
    <w:rsid w:val="00E33B99"/>
    <w:rsid w:val="00E354A1"/>
    <w:rsid w:val="00E36121"/>
    <w:rsid w:val="00E41207"/>
    <w:rsid w:val="00E413F7"/>
    <w:rsid w:val="00E42B57"/>
    <w:rsid w:val="00E43958"/>
    <w:rsid w:val="00E4464A"/>
    <w:rsid w:val="00E44C33"/>
    <w:rsid w:val="00E46C88"/>
    <w:rsid w:val="00E522CD"/>
    <w:rsid w:val="00E55F7F"/>
    <w:rsid w:val="00E60E5B"/>
    <w:rsid w:val="00E62F1C"/>
    <w:rsid w:val="00E65DB0"/>
    <w:rsid w:val="00E66B85"/>
    <w:rsid w:val="00E67637"/>
    <w:rsid w:val="00E67DF4"/>
    <w:rsid w:val="00E7057F"/>
    <w:rsid w:val="00E7082C"/>
    <w:rsid w:val="00E71452"/>
    <w:rsid w:val="00E71E50"/>
    <w:rsid w:val="00E73854"/>
    <w:rsid w:val="00E73BDE"/>
    <w:rsid w:val="00E74ABE"/>
    <w:rsid w:val="00E74CCE"/>
    <w:rsid w:val="00E84266"/>
    <w:rsid w:val="00E8676F"/>
    <w:rsid w:val="00E90237"/>
    <w:rsid w:val="00E911E4"/>
    <w:rsid w:val="00E92E8E"/>
    <w:rsid w:val="00E934AE"/>
    <w:rsid w:val="00E9362B"/>
    <w:rsid w:val="00E938FD"/>
    <w:rsid w:val="00E94338"/>
    <w:rsid w:val="00E95E00"/>
    <w:rsid w:val="00E964BC"/>
    <w:rsid w:val="00E97D0C"/>
    <w:rsid w:val="00EA04AC"/>
    <w:rsid w:val="00EA0784"/>
    <w:rsid w:val="00EA693A"/>
    <w:rsid w:val="00EA6F02"/>
    <w:rsid w:val="00EA7153"/>
    <w:rsid w:val="00EB0DB9"/>
    <w:rsid w:val="00EB0F0F"/>
    <w:rsid w:val="00EB1F29"/>
    <w:rsid w:val="00EB3164"/>
    <w:rsid w:val="00EB3E0E"/>
    <w:rsid w:val="00EB4C4F"/>
    <w:rsid w:val="00EC10DE"/>
    <w:rsid w:val="00EC2750"/>
    <w:rsid w:val="00EC2D17"/>
    <w:rsid w:val="00EC4CD8"/>
    <w:rsid w:val="00EC52F1"/>
    <w:rsid w:val="00EC5711"/>
    <w:rsid w:val="00EC5FEA"/>
    <w:rsid w:val="00ED04CC"/>
    <w:rsid w:val="00ED1305"/>
    <w:rsid w:val="00ED1666"/>
    <w:rsid w:val="00ED6EFC"/>
    <w:rsid w:val="00EE1871"/>
    <w:rsid w:val="00EE296E"/>
    <w:rsid w:val="00EE2A21"/>
    <w:rsid w:val="00EE3273"/>
    <w:rsid w:val="00EE422E"/>
    <w:rsid w:val="00EE4BD9"/>
    <w:rsid w:val="00EE5842"/>
    <w:rsid w:val="00EF2B6C"/>
    <w:rsid w:val="00EF2DFE"/>
    <w:rsid w:val="00EF4122"/>
    <w:rsid w:val="00EF6AB3"/>
    <w:rsid w:val="00EF6BB2"/>
    <w:rsid w:val="00F00091"/>
    <w:rsid w:val="00F00376"/>
    <w:rsid w:val="00F00A8C"/>
    <w:rsid w:val="00F02B80"/>
    <w:rsid w:val="00F0327B"/>
    <w:rsid w:val="00F0571E"/>
    <w:rsid w:val="00F06924"/>
    <w:rsid w:val="00F06C48"/>
    <w:rsid w:val="00F07B68"/>
    <w:rsid w:val="00F10CB8"/>
    <w:rsid w:val="00F10D50"/>
    <w:rsid w:val="00F1333E"/>
    <w:rsid w:val="00F13FE6"/>
    <w:rsid w:val="00F16CDE"/>
    <w:rsid w:val="00F24C0B"/>
    <w:rsid w:val="00F24D96"/>
    <w:rsid w:val="00F25613"/>
    <w:rsid w:val="00F25783"/>
    <w:rsid w:val="00F260A5"/>
    <w:rsid w:val="00F269F4"/>
    <w:rsid w:val="00F26C0C"/>
    <w:rsid w:val="00F27493"/>
    <w:rsid w:val="00F277A9"/>
    <w:rsid w:val="00F377C3"/>
    <w:rsid w:val="00F40033"/>
    <w:rsid w:val="00F40984"/>
    <w:rsid w:val="00F4134F"/>
    <w:rsid w:val="00F417EA"/>
    <w:rsid w:val="00F443C7"/>
    <w:rsid w:val="00F44527"/>
    <w:rsid w:val="00F44EC7"/>
    <w:rsid w:val="00F46289"/>
    <w:rsid w:val="00F50D3D"/>
    <w:rsid w:val="00F5106B"/>
    <w:rsid w:val="00F51C25"/>
    <w:rsid w:val="00F524F1"/>
    <w:rsid w:val="00F545CE"/>
    <w:rsid w:val="00F55861"/>
    <w:rsid w:val="00F55CB0"/>
    <w:rsid w:val="00F569F1"/>
    <w:rsid w:val="00F56BD4"/>
    <w:rsid w:val="00F575AA"/>
    <w:rsid w:val="00F57B4D"/>
    <w:rsid w:val="00F60337"/>
    <w:rsid w:val="00F611A8"/>
    <w:rsid w:val="00F62218"/>
    <w:rsid w:val="00F63D5D"/>
    <w:rsid w:val="00F6440D"/>
    <w:rsid w:val="00F656AE"/>
    <w:rsid w:val="00F70E91"/>
    <w:rsid w:val="00F7180E"/>
    <w:rsid w:val="00F71EFD"/>
    <w:rsid w:val="00F722B4"/>
    <w:rsid w:val="00F74666"/>
    <w:rsid w:val="00F74855"/>
    <w:rsid w:val="00F75051"/>
    <w:rsid w:val="00F84357"/>
    <w:rsid w:val="00F8637E"/>
    <w:rsid w:val="00F8768C"/>
    <w:rsid w:val="00F87B86"/>
    <w:rsid w:val="00F90AB7"/>
    <w:rsid w:val="00F90BA6"/>
    <w:rsid w:val="00F92102"/>
    <w:rsid w:val="00F9388F"/>
    <w:rsid w:val="00F93B68"/>
    <w:rsid w:val="00F93E52"/>
    <w:rsid w:val="00F94D91"/>
    <w:rsid w:val="00F96962"/>
    <w:rsid w:val="00FA0479"/>
    <w:rsid w:val="00FA1D3D"/>
    <w:rsid w:val="00FA670A"/>
    <w:rsid w:val="00FA753B"/>
    <w:rsid w:val="00FB07B8"/>
    <w:rsid w:val="00FB1470"/>
    <w:rsid w:val="00FB1DDC"/>
    <w:rsid w:val="00FB3C54"/>
    <w:rsid w:val="00FB3E2C"/>
    <w:rsid w:val="00FB4BA1"/>
    <w:rsid w:val="00FB78D8"/>
    <w:rsid w:val="00FC2321"/>
    <w:rsid w:val="00FC2675"/>
    <w:rsid w:val="00FC2BD0"/>
    <w:rsid w:val="00FC4E57"/>
    <w:rsid w:val="00FC521F"/>
    <w:rsid w:val="00FC588E"/>
    <w:rsid w:val="00FC6A26"/>
    <w:rsid w:val="00FC7F1B"/>
    <w:rsid w:val="00FD0478"/>
    <w:rsid w:val="00FD1AF6"/>
    <w:rsid w:val="00FD2672"/>
    <w:rsid w:val="00FD6CB0"/>
    <w:rsid w:val="00FE0063"/>
    <w:rsid w:val="00FE0925"/>
    <w:rsid w:val="00FE5252"/>
    <w:rsid w:val="00FE7FE3"/>
    <w:rsid w:val="00FF15BE"/>
    <w:rsid w:val="00FF5D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4EA00C-9D65-48D7-8681-98BB03E5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lang w:val="fr-BE"/>
    </w:rPr>
  </w:style>
  <w:style w:type="paragraph" w:styleId="Heading2">
    <w:name w:val="heading 2"/>
    <w:basedOn w:val="Normal"/>
    <w:next w:val="Normal"/>
    <w:link w:val="Heading2Char"/>
    <w:qFormat/>
    <w:pPr>
      <w:keepNext/>
      <w:ind w:left="900" w:hanging="540"/>
      <w:jc w:val="both"/>
      <w:outlineLvl w:val="1"/>
    </w:pPr>
    <w:rPr>
      <w:b/>
      <w:bCs/>
      <w:lang w:val="fr-FR"/>
    </w:rPr>
  </w:style>
  <w:style w:type="paragraph" w:styleId="Heading3">
    <w:name w:val="heading 3"/>
    <w:basedOn w:val="Normal"/>
    <w:next w:val="Normal"/>
    <w:link w:val="Heading3Char"/>
    <w:qFormat/>
    <w:pPr>
      <w:keepNext/>
      <w:spacing w:before="240" w:after="60"/>
      <w:ind w:firstLine="720"/>
      <w:outlineLvl w:val="2"/>
    </w:pPr>
    <w:rPr>
      <w:sz w:val="26"/>
      <w:szCs w:val="26"/>
      <w:lang w:val="fr-FR"/>
    </w:rPr>
  </w:style>
  <w:style w:type="paragraph" w:styleId="Heading4">
    <w:name w:val="heading 4"/>
    <w:basedOn w:val="Normal"/>
    <w:next w:val="Normal"/>
    <w:qFormat/>
    <w:pPr>
      <w:keepNext/>
      <w:ind w:left="360"/>
      <w:outlineLvl w:val="3"/>
    </w:pPr>
    <w:rPr>
      <w:b/>
      <w:bCs/>
      <w:lang w:val="fr-BE"/>
    </w:rPr>
  </w:style>
  <w:style w:type="paragraph" w:styleId="Heading5">
    <w:name w:val="heading 5"/>
    <w:basedOn w:val="Normal"/>
    <w:next w:val="Normal"/>
    <w:link w:val="Heading5Char"/>
    <w:qFormat/>
    <w:pPr>
      <w:keepNext/>
      <w:outlineLvl w:val="4"/>
    </w:pPr>
    <w:rPr>
      <w:rFonts w:ascii="Tahoma" w:hAnsi="Tahoma" w:cs="Tahoma"/>
      <w:b/>
      <w:bCs/>
      <w:i/>
      <w:iCs/>
      <w:lang w:val="nl-NL"/>
    </w:rPr>
  </w:style>
  <w:style w:type="paragraph" w:styleId="Heading7">
    <w:name w:val="heading 7"/>
    <w:basedOn w:val="Normal"/>
    <w:next w:val="Normal"/>
    <w:qFormat/>
    <w:pPr>
      <w:keepNext/>
      <w:outlineLvl w:val="6"/>
    </w:pPr>
    <w:rPr>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58324E"/>
    <w:pPr>
      <w:ind w:left="240"/>
    </w:pPr>
    <w:rPr>
      <w:smallCaps/>
      <w:szCs w:val="20"/>
    </w:rPr>
  </w:style>
  <w:style w:type="paragraph" w:styleId="BodyText">
    <w:name w:val="Body Text"/>
    <w:basedOn w:val="Normal"/>
    <w:pPr>
      <w:jc w:val="both"/>
    </w:pPr>
    <w:rPr>
      <w:lang w:val="fr-FR"/>
    </w:rPr>
  </w:style>
  <w:style w:type="paragraph" w:styleId="BodyTextIndent">
    <w:name w:val="Body Text Indent"/>
    <w:basedOn w:val="Normal"/>
    <w:pPr>
      <w:ind w:left="1080"/>
      <w:jc w:val="both"/>
    </w:pPr>
    <w:rPr>
      <w:lang w:val="fr-FR"/>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2">
    <w:name w:val="Body Text Indent 2"/>
    <w:basedOn w:val="Normal"/>
    <w:pPr>
      <w:ind w:left="1440"/>
      <w:jc w:val="both"/>
    </w:pPr>
    <w:rPr>
      <w:lang w:val="fr-FR"/>
    </w:rPr>
  </w:style>
  <w:style w:type="paragraph" w:styleId="BodyTextIndent3">
    <w:name w:val="Body Text Indent 3"/>
    <w:basedOn w:val="Normal"/>
    <w:pPr>
      <w:ind w:left="360"/>
    </w:pPr>
    <w:rPr>
      <w:lang w:val="fr-FR"/>
    </w:rPr>
  </w:style>
  <w:style w:type="paragraph" w:customStyle="1" w:styleId="Opmaakprofiel1">
    <w:name w:val="Opmaakprofiel1"/>
    <w:basedOn w:val="Header"/>
    <w:pPr>
      <w:tabs>
        <w:tab w:val="clear" w:pos="4536"/>
        <w:tab w:val="clear" w:pos="9072"/>
      </w:tabs>
      <w:jc w:val="both"/>
    </w:pPr>
    <w:rPr>
      <w:u w:val="single"/>
    </w:rPr>
  </w:style>
  <w:style w:type="paragraph" w:styleId="Header">
    <w:name w:val="header"/>
    <w:basedOn w:val="Normal"/>
    <w:pPr>
      <w:tabs>
        <w:tab w:val="center" w:pos="4536"/>
        <w:tab w:val="right" w:pos="9072"/>
      </w:tabs>
    </w:pPr>
    <w:rPr>
      <w:lang w:val="nl-NL"/>
    </w:rPr>
  </w:style>
  <w:style w:type="paragraph" w:styleId="FootnoteText">
    <w:name w:val="footnote text"/>
    <w:basedOn w:val="Normal"/>
    <w:link w:val="FootnoteTextChar"/>
    <w:rPr>
      <w:sz w:val="20"/>
      <w:szCs w:val="20"/>
    </w:rPr>
  </w:style>
  <w:style w:type="character" w:styleId="FootnoteReference">
    <w:name w:val="footnote reference"/>
    <w:rPr>
      <w:vertAlign w:val="superscript"/>
    </w:rPr>
  </w:style>
  <w:style w:type="paragraph" w:styleId="TOC1">
    <w:name w:val="toc 1"/>
    <w:basedOn w:val="Normal"/>
    <w:next w:val="Normal"/>
    <w:autoRedefine/>
    <w:uiPriority w:val="39"/>
    <w:rsid w:val="00620B5F"/>
    <w:pPr>
      <w:tabs>
        <w:tab w:val="right" w:leader="dot" w:pos="9062"/>
      </w:tabs>
      <w:spacing w:before="120" w:after="120"/>
    </w:pPr>
    <w:rPr>
      <w:b/>
      <w:bCs/>
      <w:caps/>
      <w:noProof/>
      <w:sz w:val="22"/>
      <w:szCs w:val="22"/>
      <w:lang w:val="nl-NL"/>
    </w:rPr>
  </w:style>
  <w:style w:type="paragraph" w:styleId="TOC3">
    <w:name w:val="toc 3"/>
    <w:basedOn w:val="Normal"/>
    <w:next w:val="Normal"/>
    <w:autoRedefine/>
    <w:uiPriority w:val="39"/>
    <w:rsid w:val="0058324E"/>
    <w:pPr>
      <w:ind w:left="480"/>
    </w:pPr>
    <w:rPr>
      <w:i/>
      <w:iCs/>
      <w:szCs w:val="20"/>
    </w:rPr>
  </w:style>
  <w:style w:type="paragraph" w:styleId="TOC4">
    <w:name w:val="toc 4"/>
    <w:basedOn w:val="Normal"/>
    <w:next w:val="Normal"/>
    <w:autoRedefine/>
    <w:uiPriority w:val="39"/>
    <w:rsid w:val="0058324E"/>
    <w:pPr>
      <w:ind w:left="720"/>
    </w:pPr>
    <w:rPr>
      <w:szCs w:val="18"/>
    </w:rPr>
  </w:style>
  <w:style w:type="paragraph" w:styleId="TOC5">
    <w:name w:val="toc 5"/>
    <w:basedOn w:val="Normal"/>
    <w:next w:val="Normal"/>
    <w:autoRedefine/>
    <w:uiPriority w:val="39"/>
    <w:rsid w:val="0058324E"/>
    <w:pPr>
      <w:ind w:left="960"/>
    </w:pPr>
    <w:rPr>
      <w:szCs w:val="18"/>
    </w:rPr>
  </w:style>
  <w:style w:type="paragraph" w:styleId="TOC6">
    <w:name w:val="toc 6"/>
    <w:basedOn w:val="Normal"/>
    <w:next w:val="Normal"/>
    <w:autoRedefine/>
    <w:uiPriority w:val="39"/>
    <w:rsid w:val="0058324E"/>
    <w:pPr>
      <w:ind w:left="1200"/>
    </w:pPr>
    <w:rPr>
      <w:sz w:val="22"/>
      <w:szCs w:val="18"/>
    </w:rPr>
  </w:style>
  <w:style w:type="paragraph" w:styleId="TOC7">
    <w:name w:val="toc 7"/>
    <w:basedOn w:val="Normal"/>
    <w:next w:val="Normal"/>
    <w:autoRedefine/>
    <w:uiPriority w:val="39"/>
    <w:rsid w:val="0058324E"/>
    <w:pPr>
      <w:ind w:left="1440"/>
    </w:pPr>
    <w:rPr>
      <w:sz w:val="22"/>
      <w:szCs w:val="18"/>
    </w:rPr>
  </w:style>
  <w:style w:type="paragraph" w:styleId="TOC8">
    <w:name w:val="toc 8"/>
    <w:basedOn w:val="Normal"/>
    <w:next w:val="Normal"/>
    <w:autoRedefine/>
    <w:uiPriority w:val="39"/>
    <w:rsid w:val="0058324E"/>
    <w:pPr>
      <w:ind w:left="1680"/>
    </w:pPr>
    <w:rPr>
      <w:sz w:val="20"/>
      <w:szCs w:val="18"/>
    </w:rPr>
  </w:style>
  <w:style w:type="paragraph" w:styleId="TOC9">
    <w:name w:val="toc 9"/>
    <w:basedOn w:val="Normal"/>
    <w:next w:val="Normal"/>
    <w:autoRedefine/>
    <w:uiPriority w:val="39"/>
    <w:pPr>
      <w:ind w:left="1920"/>
    </w:pPr>
    <w:rPr>
      <w:sz w:val="18"/>
      <w:szCs w:val="18"/>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Heading2Char">
    <w:name w:val="Heading 2 Char"/>
    <w:link w:val="Heading2"/>
    <w:rsid w:val="008973DE"/>
    <w:rPr>
      <w:b/>
      <w:bCs/>
      <w:sz w:val="24"/>
      <w:szCs w:val="24"/>
      <w:lang w:val="fr-FR" w:eastAsia="en-US" w:bidi="ar-SA"/>
    </w:rPr>
  </w:style>
  <w:style w:type="paragraph" w:styleId="BalloonText">
    <w:name w:val="Balloon Text"/>
    <w:basedOn w:val="Normal"/>
    <w:semiHidden/>
    <w:rsid w:val="00F62218"/>
    <w:rPr>
      <w:rFonts w:ascii="Tahoma" w:hAnsi="Tahoma" w:cs="Tahoma"/>
      <w:sz w:val="16"/>
      <w:szCs w:val="16"/>
    </w:rPr>
  </w:style>
  <w:style w:type="paragraph" w:customStyle="1" w:styleId="Letter">
    <w:name w:val="Letter"/>
    <w:basedOn w:val="Normal"/>
    <w:link w:val="LetterCar"/>
    <w:rsid w:val="004A6EC7"/>
    <w:rPr>
      <w:rFonts w:ascii="Arial" w:hAnsi="Arial"/>
      <w:sz w:val="22"/>
      <w:szCs w:val="20"/>
      <w:lang w:val="fr-FR"/>
    </w:rPr>
  </w:style>
  <w:style w:type="character" w:customStyle="1" w:styleId="CarCar">
    <w:name w:val="Car Car"/>
    <w:rsid w:val="003863B5"/>
    <w:rPr>
      <w:b/>
      <w:bCs/>
      <w:sz w:val="24"/>
      <w:szCs w:val="24"/>
      <w:lang w:val="fr-FR" w:eastAsia="en-US" w:bidi="ar-SA"/>
    </w:rPr>
  </w:style>
  <w:style w:type="character" w:customStyle="1" w:styleId="LetterCar">
    <w:name w:val="Letter Car"/>
    <w:link w:val="Letter"/>
    <w:rsid w:val="00062345"/>
    <w:rPr>
      <w:rFonts w:ascii="Arial" w:hAnsi="Arial"/>
      <w:sz w:val="22"/>
      <w:lang w:val="fr-FR" w:eastAsia="en-US" w:bidi="ar-SA"/>
    </w:rPr>
  </w:style>
  <w:style w:type="character" w:customStyle="1" w:styleId="Titre2Car">
    <w:name w:val="Titre 2 Car"/>
    <w:locked/>
    <w:rsid w:val="002024FC"/>
    <w:rPr>
      <w:b/>
      <w:bCs/>
      <w:sz w:val="24"/>
      <w:szCs w:val="24"/>
      <w:lang w:val="fr-FR" w:eastAsia="en-US" w:bidi="ar-SA"/>
    </w:rPr>
  </w:style>
  <w:style w:type="table" w:styleId="TableGrid">
    <w:name w:val="Table Grid"/>
    <w:basedOn w:val="TableNormal"/>
    <w:rsid w:val="000A5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writingstijl">
    <w:name w:val="Copywritingstijl"/>
    <w:rsid w:val="007B28C0"/>
    <w:pPr>
      <w:spacing w:line="360" w:lineRule="auto"/>
      <w:ind w:left="567"/>
    </w:pPr>
    <w:rPr>
      <w:rFonts w:ascii="Palatino" w:eastAsia="ヒラギノ角ゴ Pro W3" w:hAnsi="Palatino"/>
      <w:color w:val="000000"/>
      <w:sz w:val="24"/>
      <w:lang w:val="nl-NL" w:eastAsia="fr-BE"/>
    </w:rPr>
  </w:style>
  <w:style w:type="paragraph" w:styleId="ListParagraph">
    <w:name w:val="List Paragraph"/>
    <w:basedOn w:val="Normal"/>
    <w:uiPriority w:val="34"/>
    <w:qFormat/>
    <w:rsid w:val="0091166D"/>
    <w:pPr>
      <w:ind w:left="708"/>
    </w:pPr>
  </w:style>
  <w:style w:type="paragraph" w:styleId="Title">
    <w:name w:val="Title"/>
    <w:basedOn w:val="Normal"/>
    <w:next w:val="Normal"/>
    <w:link w:val="TitleChar"/>
    <w:qFormat/>
    <w:rsid w:val="006C2733"/>
    <w:pPr>
      <w:spacing w:before="240" w:after="60"/>
      <w:jc w:val="center"/>
      <w:outlineLvl w:val="0"/>
    </w:pPr>
    <w:rPr>
      <w:rFonts w:ascii="Cambria" w:hAnsi="Cambria"/>
      <w:b/>
      <w:bCs/>
      <w:kern w:val="28"/>
      <w:sz w:val="32"/>
      <w:szCs w:val="32"/>
    </w:rPr>
  </w:style>
  <w:style w:type="character" w:customStyle="1" w:styleId="TitleChar">
    <w:name w:val="Title Char"/>
    <w:link w:val="Title"/>
    <w:rsid w:val="006C2733"/>
    <w:rPr>
      <w:rFonts w:ascii="Cambria" w:eastAsia="Times New Roman" w:hAnsi="Cambria" w:cs="Times New Roman"/>
      <w:b/>
      <w:bCs/>
      <w:kern w:val="28"/>
      <w:sz w:val="32"/>
      <w:szCs w:val="32"/>
      <w:lang w:val="en-GB" w:eastAsia="en-US"/>
    </w:rPr>
  </w:style>
  <w:style w:type="character" w:customStyle="1" w:styleId="FootnoteTextChar">
    <w:name w:val="Footnote Text Char"/>
    <w:link w:val="FootnoteText"/>
    <w:rsid w:val="00325CA5"/>
    <w:rPr>
      <w:lang w:val="en-GB" w:eastAsia="en-US"/>
    </w:rPr>
  </w:style>
  <w:style w:type="paragraph" w:customStyle="1" w:styleId="Koptekst1">
    <w:name w:val="Koptekst1"/>
    <w:basedOn w:val="Normal"/>
    <w:next w:val="Normal"/>
    <w:rsid w:val="000308E0"/>
    <w:pPr>
      <w:autoSpaceDE w:val="0"/>
      <w:autoSpaceDN w:val="0"/>
      <w:adjustRightInd w:val="0"/>
    </w:pPr>
    <w:rPr>
      <w:rFonts w:ascii="NAJNLA+Tahoma" w:hAnsi="NAJNLA+Tahoma"/>
      <w:lang w:val="fr-FR" w:eastAsia="fr-FR"/>
    </w:rPr>
  </w:style>
  <w:style w:type="character" w:customStyle="1" w:styleId="Heading5Char">
    <w:name w:val="Heading 5 Char"/>
    <w:link w:val="Heading5"/>
    <w:rsid w:val="00470771"/>
    <w:rPr>
      <w:rFonts w:ascii="Tahoma" w:hAnsi="Tahoma" w:cs="Tahoma"/>
      <w:b/>
      <w:bCs/>
      <w:i/>
      <w:iCs/>
      <w:sz w:val="24"/>
      <w:szCs w:val="24"/>
      <w:lang w:val="nl-NL" w:eastAsia="en-US" w:bidi="ar-SA"/>
    </w:rPr>
  </w:style>
  <w:style w:type="character" w:customStyle="1" w:styleId="Heading3Char">
    <w:name w:val="Heading 3 Char"/>
    <w:link w:val="Heading3"/>
    <w:rsid w:val="00F50D3D"/>
    <w:rPr>
      <w:sz w:val="26"/>
      <w:szCs w:val="26"/>
      <w:lang w:val="fr-FR" w:eastAsia="en-US" w:bidi="ar-SA"/>
    </w:rPr>
  </w:style>
  <w:style w:type="paragraph" w:styleId="Caption">
    <w:name w:val="caption"/>
    <w:basedOn w:val="Normal"/>
    <w:next w:val="Normal"/>
    <w:unhideWhenUsed/>
    <w:qFormat/>
    <w:rsid w:val="0059059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867">
      <w:bodyDiv w:val="1"/>
      <w:marLeft w:val="0"/>
      <w:marRight w:val="0"/>
      <w:marTop w:val="0"/>
      <w:marBottom w:val="0"/>
      <w:divBdr>
        <w:top w:val="none" w:sz="0" w:space="0" w:color="auto"/>
        <w:left w:val="none" w:sz="0" w:space="0" w:color="auto"/>
        <w:bottom w:val="none" w:sz="0" w:space="0" w:color="auto"/>
        <w:right w:val="none" w:sz="0" w:space="0" w:color="auto"/>
      </w:divBdr>
    </w:div>
    <w:div w:id="25370650">
      <w:bodyDiv w:val="1"/>
      <w:marLeft w:val="0"/>
      <w:marRight w:val="0"/>
      <w:marTop w:val="0"/>
      <w:marBottom w:val="0"/>
      <w:divBdr>
        <w:top w:val="none" w:sz="0" w:space="0" w:color="auto"/>
        <w:left w:val="none" w:sz="0" w:space="0" w:color="auto"/>
        <w:bottom w:val="none" w:sz="0" w:space="0" w:color="auto"/>
        <w:right w:val="none" w:sz="0" w:space="0" w:color="auto"/>
      </w:divBdr>
      <w:divsChild>
        <w:div w:id="560215901">
          <w:marLeft w:val="0"/>
          <w:marRight w:val="0"/>
          <w:marTop w:val="86"/>
          <w:marBottom w:val="0"/>
          <w:divBdr>
            <w:top w:val="none" w:sz="0" w:space="0" w:color="auto"/>
            <w:left w:val="none" w:sz="0" w:space="0" w:color="auto"/>
            <w:bottom w:val="none" w:sz="0" w:space="0" w:color="auto"/>
            <w:right w:val="none" w:sz="0" w:space="0" w:color="auto"/>
          </w:divBdr>
        </w:div>
      </w:divsChild>
    </w:div>
    <w:div w:id="27919381">
      <w:bodyDiv w:val="1"/>
      <w:marLeft w:val="0"/>
      <w:marRight w:val="0"/>
      <w:marTop w:val="0"/>
      <w:marBottom w:val="0"/>
      <w:divBdr>
        <w:top w:val="none" w:sz="0" w:space="0" w:color="auto"/>
        <w:left w:val="none" w:sz="0" w:space="0" w:color="auto"/>
        <w:bottom w:val="none" w:sz="0" w:space="0" w:color="auto"/>
        <w:right w:val="none" w:sz="0" w:space="0" w:color="auto"/>
      </w:divBdr>
    </w:div>
    <w:div w:id="84350497">
      <w:bodyDiv w:val="1"/>
      <w:marLeft w:val="0"/>
      <w:marRight w:val="0"/>
      <w:marTop w:val="0"/>
      <w:marBottom w:val="0"/>
      <w:divBdr>
        <w:top w:val="none" w:sz="0" w:space="0" w:color="auto"/>
        <w:left w:val="none" w:sz="0" w:space="0" w:color="auto"/>
        <w:bottom w:val="none" w:sz="0" w:space="0" w:color="auto"/>
        <w:right w:val="none" w:sz="0" w:space="0" w:color="auto"/>
      </w:divBdr>
      <w:divsChild>
        <w:div w:id="1287392127">
          <w:marLeft w:val="360"/>
          <w:marRight w:val="0"/>
          <w:marTop w:val="86"/>
          <w:marBottom w:val="0"/>
          <w:divBdr>
            <w:top w:val="none" w:sz="0" w:space="0" w:color="auto"/>
            <w:left w:val="none" w:sz="0" w:space="0" w:color="auto"/>
            <w:bottom w:val="none" w:sz="0" w:space="0" w:color="auto"/>
            <w:right w:val="none" w:sz="0" w:space="0" w:color="auto"/>
          </w:divBdr>
        </w:div>
        <w:div w:id="1913082579">
          <w:marLeft w:val="360"/>
          <w:marRight w:val="0"/>
          <w:marTop w:val="86"/>
          <w:marBottom w:val="0"/>
          <w:divBdr>
            <w:top w:val="none" w:sz="0" w:space="0" w:color="auto"/>
            <w:left w:val="none" w:sz="0" w:space="0" w:color="auto"/>
            <w:bottom w:val="none" w:sz="0" w:space="0" w:color="auto"/>
            <w:right w:val="none" w:sz="0" w:space="0" w:color="auto"/>
          </w:divBdr>
        </w:div>
        <w:div w:id="2049840563">
          <w:marLeft w:val="360"/>
          <w:marRight w:val="0"/>
          <w:marTop w:val="86"/>
          <w:marBottom w:val="0"/>
          <w:divBdr>
            <w:top w:val="none" w:sz="0" w:space="0" w:color="auto"/>
            <w:left w:val="none" w:sz="0" w:space="0" w:color="auto"/>
            <w:bottom w:val="none" w:sz="0" w:space="0" w:color="auto"/>
            <w:right w:val="none" w:sz="0" w:space="0" w:color="auto"/>
          </w:divBdr>
        </w:div>
        <w:div w:id="2083212783">
          <w:marLeft w:val="360"/>
          <w:marRight w:val="0"/>
          <w:marTop w:val="86"/>
          <w:marBottom w:val="0"/>
          <w:divBdr>
            <w:top w:val="none" w:sz="0" w:space="0" w:color="auto"/>
            <w:left w:val="none" w:sz="0" w:space="0" w:color="auto"/>
            <w:bottom w:val="none" w:sz="0" w:space="0" w:color="auto"/>
            <w:right w:val="none" w:sz="0" w:space="0" w:color="auto"/>
          </w:divBdr>
        </w:div>
        <w:div w:id="2099789166">
          <w:marLeft w:val="360"/>
          <w:marRight w:val="0"/>
          <w:marTop w:val="86"/>
          <w:marBottom w:val="0"/>
          <w:divBdr>
            <w:top w:val="none" w:sz="0" w:space="0" w:color="auto"/>
            <w:left w:val="none" w:sz="0" w:space="0" w:color="auto"/>
            <w:bottom w:val="none" w:sz="0" w:space="0" w:color="auto"/>
            <w:right w:val="none" w:sz="0" w:space="0" w:color="auto"/>
          </w:divBdr>
        </w:div>
      </w:divsChild>
    </w:div>
    <w:div w:id="121770770">
      <w:bodyDiv w:val="1"/>
      <w:marLeft w:val="0"/>
      <w:marRight w:val="0"/>
      <w:marTop w:val="0"/>
      <w:marBottom w:val="0"/>
      <w:divBdr>
        <w:top w:val="none" w:sz="0" w:space="0" w:color="auto"/>
        <w:left w:val="none" w:sz="0" w:space="0" w:color="auto"/>
        <w:bottom w:val="none" w:sz="0" w:space="0" w:color="auto"/>
        <w:right w:val="none" w:sz="0" w:space="0" w:color="auto"/>
      </w:divBdr>
      <w:divsChild>
        <w:div w:id="1023482604">
          <w:marLeft w:val="0"/>
          <w:marRight w:val="0"/>
          <w:marTop w:val="86"/>
          <w:marBottom w:val="0"/>
          <w:divBdr>
            <w:top w:val="none" w:sz="0" w:space="0" w:color="auto"/>
            <w:left w:val="none" w:sz="0" w:space="0" w:color="auto"/>
            <w:bottom w:val="none" w:sz="0" w:space="0" w:color="auto"/>
            <w:right w:val="none" w:sz="0" w:space="0" w:color="auto"/>
          </w:divBdr>
        </w:div>
        <w:div w:id="1623150717">
          <w:marLeft w:val="0"/>
          <w:marRight w:val="0"/>
          <w:marTop w:val="86"/>
          <w:marBottom w:val="0"/>
          <w:divBdr>
            <w:top w:val="none" w:sz="0" w:space="0" w:color="auto"/>
            <w:left w:val="none" w:sz="0" w:space="0" w:color="auto"/>
            <w:bottom w:val="none" w:sz="0" w:space="0" w:color="auto"/>
            <w:right w:val="none" w:sz="0" w:space="0" w:color="auto"/>
          </w:divBdr>
        </w:div>
        <w:div w:id="1655792645">
          <w:marLeft w:val="0"/>
          <w:marRight w:val="0"/>
          <w:marTop w:val="86"/>
          <w:marBottom w:val="0"/>
          <w:divBdr>
            <w:top w:val="none" w:sz="0" w:space="0" w:color="auto"/>
            <w:left w:val="none" w:sz="0" w:space="0" w:color="auto"/>
            <w:bottom w:val="none" w:sz="0" w:space="0" w:color="auto"/>
            <w:right w:val="none" w:sz="0" w:space="0" w:color="auto"/>
          </w:divBdr>
        </w:div>
        <w:div w:id="1665040323">
          <w:marLeft w:val="0"/>
          <w:marRight w:val="0"/>
          <w:marTop w:val="86"/>
          <w:marBottom w:val="0"/>
          <w:divBdr>
            <w:top w:val="none" w:sz="0" w:space="0" w:color="auto"/>
            <w:left w:val="none" w:sz="0" w:space="0" w:color="auto"/>
            <w:bottom w:val="none" w:sz="0" w:space="0" w:color="auto"/>
            <w:right w:val="none" w:sz="0" w:space="0" w:color="auto"/>
          </w:divBdr>
        </w:div>
      </w:divsChild>
    </w:div>
    <w:div w:id="198859597">
      <w:bodyDiv w:val="1"/>
      <w:marLeft w:val="0"/>
      <w:marRight w:val="0"/>
      <w:marTop w:val="0"/>
      <w:marBottom w:val="0"/>
      <w:divBdr>
        <w:top w:val="none" w:sz="0" w:space="0" w:color="auto"/>
        <w:left w:val="none" w:sz="0" w:space="0" w:color="auto"/>
        <w:bottom w:val="none" w:sz="0" w:space="0" w:color="auto"/>
        <w:right w:val="none" w:sz="0" w:space="0" w:color="auto"/>
      </w:divBdr>
      <w:divsChild>
        <w:div w:id="305744692">
          <w:marLeft w:val="0"/>
          <w:marRight w:val="0"/>
          <w:marTop w:val="86"/>
          <w:marBottom w:val="0"/>
          <w:divBdr>
            <w:top w:val="none" w:sz="0" w:space="0" w:color="auto"/>
            <w:left w:val="none" w:sz="0" w:space="0" w:color="auto"/>
            <w:bottom w:val="none" w:sz="0" w:space="0" w:color="auto"/>
            <w:right w:val="none" w:sz="0" w:space="0" w:color="auto"/>
          </w:divBdr>
        </w:div>
        <w:div w:id="680670036">
          <w:marLeft w:val="0"/>
          <w:marRight w:val="0"/>
          <w:marTop w:val="86"/>
          <w:marBottom w:val="0"/>
          <w:divBdr>
            <w:top w:val="none" w:sz="0" w:space="0" w:color="auto"/>
            <w:left w:val="none" w:sz="0" w:space="0" w:color="auto"/>
            <w:bottom w:val="none" w:sz="0" w:space="0" w:color="auto"/>
            <w:right w:val="none" w:sz="0" w:space="0" w:color="auto"/>
          </w:divBdr>
        </w:div>
        <w:div w:id="1067918170">
          <w:marLeft w:val="0"/>
          <w:marRight w:val="0"/>
          <w:marTop w:val="86"/>
          <w:marBottom w:val="0"/>
          <w:divBdr>
            <w:top w:val="none" w:sz="0" w:space="0" w:color="auto"/>
            <w:left w:val="none" w:sz="0" w:space="0" w:color="auto"/>
            <w:bottom w:val="none" w:sz="0" w:space="0" w:color="auto"/>
            <w:right w:val="none" w:sz="0" w:space="0" w:color="auto"/>
          </w:divBdr>
        </w:div>
        <w:div w:id="1197081093">
          <w:marLeft w:val="0"/>
          <w:marRight w:val="0"/>
          <w:marTop w:val="86"/>
          <w:marBottom w:val="0"/>
          <w:divBdr>
            <w:top w:val="none" w:sz="0" w:space="0" w:color="auto"/>
            <w:left w:val="none" w:sz="0" w:space="0" w:color="auto"/>
            <w:bottom w:val="none" w:sz="0" w:space="0" w:color="auto"/>
            <w:right w:val="none" w:sz="0" w:space="0" w:color="auto"/>
          </w:divBdr>
        </w:div>
        <w:div w:id="1487629301">
          <w:marLeft w:val="0"/>
          <w:marRight w:val="0"/>
          <w:marTop w:val="86"/>
          <w:marBottom w:val="0"/>
          <w:divBdr>
            <w:top w:val="none" w:sz="0" w:space="0" w:color="auto"/>
            <w:left w:val="none" w:sz="0" w:space="0" w:color="auto"/>
            <w:bottom w:val="none" w:sz="0" w:space="0" w:color="auto"/>
            <w:right w:val="none" w:sz="0" w:space="0" w:color="auto"/>
          </w:divBdr>
        </w:div>
        <w:div w:id="1928270939">
          <w:marLeft w:val="0"/>
          <w:marRight w:val="0"/>
          <w:marTop w:val="86"/>
          <w:marBottom w:val="0"/>
          <w:divBdr>
            <w:top w:val="none" w:sz="0" w:space="0" w:color="auto"/>
            <w:left w:val="none" w:sz="0" w:space="0" w:color="auto"/>
            <w:bottom w:val="none" w:sz="0" w:space="0" w:color="auto"/>
            <w:right w:val="none" w:sz="0" w:space="0" w:color="auto"/>
          </w:divBdr>
        </w:div>
        <w:div w:id="2005624991">
          <w:marLeft w:val="0"/>
          <w:marRight w:val="0"/>
          <w:marTop w:val="86"/>
          <w:marBottom w:val="0"/>
          <w:divBdr>
            <w:top w:val="none" w:sz="0" w:space="0" w:color="auto"/>
            <w:left w:val="none" w:sz="0" w:space="0" w:color="auto"/>
            <w:bottom w:val="none" w:sz="0" w:space="0" w:color="auto"/>
            <w:right w:val="none" w:sz="0" w:space="0" w:color="auto"/>
          </w:divBdr>
        </w:div>
      </w:divsChild>
    </w:div>
    <w:div w:id="235628008">
      <w:bodyDiv w:val="1"/>
      <w:marLeft w:val="0"/>
      <w:marRight w:val="0"/>
      <w:marTop w:val="0"/>
      <w:marBottom w:val="0"/>
      <w:divBdr>
        <w:top w:val="none" w:sz="0" w:space="0" w:color="auto"/>
        <w:left w:val="none" w:sz="0" w:space="0" w:color="auto"/>
        <w:bottom w:val="none" w:sz="0" w:space="0" w:color="auto"/>
        <w:right w:val="none" w:sz="0" w:space="0" w:color="auto"/>
      </w:divBdr>
    </w:div>
    <w:div w:id="434906922">
      <w:bodyDiv w:val="1"/>
      <w:marLeft w:val="0"/>
      <w:marRight w:val="0"/>
      <w:marTop w:val="0"/>
      <w:marBottom w:val="0"/>
      <w:divBdr>
        <w:top w:val="none" w:sz="0" w:space="0" w:color="auto"/>
        <w:left w:val="none" w:sz="0" w:space="0" w:color="auto"/>
        <w:bottom w:val="none" w:sz="0" w:space="0" w:color="auto"/>
        <w:right w:val="none" w:sz="0" w:space="0" w:color="auto"/>
      </w:divBdr>
    </w:div>
    <w:div w:id="442383790">
      <w:bodyDiv w:val="1"/>
      <w:marLeft w:val="0"/>
      <w:marRight w:val="0"/>
      <w:marTop w:val="0"/>
      <w:marBottom w:val="0"/>
      <w:divBdr>
        <w:top w:val="none" w:sz="0" w:space="0" w:color="auto"/>
        <w:left w:val="none" w:sz="0" w:space="0" w:color="auto"/>
        <w:bottom w:val="none" w:sz="0" w:space="0" w:color="auto"/>
        <w:right w:val="none" w:sz="0" w:space="0" w:color="auto"/>
      </w:divBdr>
    </w:div>
    <w:div w:id="498009069">
      <w:bodyDiv w:val="1"/>
      <w:marLeft w:val="0"/>
      <w:marRight w:val="0"/>
      <w:marTop w:val="0"/>
      <w:marBottom w:val="0"/>
      <w:divBdr>
        <w:top w:val="none" w:sz="0" w:space="0" w:color="auto"/>
        <w:left w:val="none" w:sz="0" w:space="0" w:color="auto"/>
        <w:bottom w:val="none" w:sz="0" w:space="0" w:color="auto"/>
        <w:right w:val="none" w:sz="0" w:space="0" w:color="auto"/>
      </w:divBdr>
    </w:div>
    <w:div w:id="498958299">
      <w:bodyDiv w:val="1"/>
      <w:marLeft w:val="0"/>
      <w:marRight w:val="0"/>
      <w:marTop w:val="0"/>
      <w:marBottom w:val="0"/>
      <w:divBdr>
        <w:top w:val="none" w:sz="0" w:space="0" w:color="auto"/>
        <w:left w:val="none" w:sz="0" w:space="0" w:color="auto"/>
        <w:bottom w:val="none" w:sz="0" w:space="0" w:color="auto"/>
        <w:right w:val="none" w:sz="0" w:space="0" w:color="auto"/>
      </w:divBdr>
    </w:div>
    <w:div w:id="690648001">
      <w:bodyDiv w:val="1"/>
      <w:marLeft w:val="0"/>
      <w:marRight w:val="0"/>
      <w:marTop w:val="0"/>
      <w:marBottom w:val="0"/>
      <w:divBdr>
        <w:top w:val="none" w:sz="0" w:space="0" w:color="auto"/>
        <w:left w:val="none" w:sz="0" w:space="0" w:color="auto"/>
        <w:bottom w:val="none" w:sz="0" w:space="0" w:color="auto"/>
        <w:right w:val="none" w:sz="0" w:space="0" w:color="auto"/>
      </w:divBdr>
    </w:div>
    <w:div w:id="991830524">
      <w:bodyDiv w:val="1"/>
      <w:marLeft w:val="0"/>
      <w:marRight w:val="0"/>
      <w:marTop w:val="0"/>
      <w:marBottom w:val="0"/>
      <w:divBdr>
        <w:top w:val="none" w:sz="0" w:space="0" w:color="auto"/>
        <w:left w:val="none" w:sz="0" w:space="0" w:color="auto"/>
        <w:bottom w:val="none" w:sz="0" w:space="0" w:color="auto"/>
        <w:right w:val="none" w:sz="0" w:space="0" w:color="auto"/>
      </w:divBdr>
      <w:divsChild>
        <w:div w:id="1679963495">
          <w:marLeft w:val="0"/>
          <w:marRight w:val="0"/>
          <w:marTop w:val="86"/>
          <w:marBottom w:val="0"/>
          <w:divBdr>
            <w:top w:val="none" w:sz="0" w:space="0" w:color="auto"/>
            <w:left w:val="none" w:sz="0" w:space="0" w:color="auto"/>
            <w:bottom w:val="none" w:sz="0" w:space="0" w:color="auto"/>
            <w:right w:val="none" w:sz="0" w:space="0" w:color="auto"/>
          </w:divBdr>
        </w:div>
        <w:div w:id="1919552826">
          <w:marLeft w:val="0"/>
          <w:marRight w:val="0"/>
          <w:marTop w:val="86"/>
          <w:marBottom w:val="0"/>
          <w:divBdr>
            <w:top w:val="none" w:sz="0" w:space="0" w:color="auto"/>
            <w:left w:val="none" w:sz="0" w:space="0" w:color="auto"/>
            <w:bottom w:val="none" w:sz="0" w:space="0" w:color="auto"/>
            <w:right w:val="none" w:sz="0" w:space="0" w:color="auto"/>
          </w:divBdr>
        </w:div>
      </w:divsChild>
    </w:div>
    <w:div w:id="100986512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sChild>
        <w:div w:id="1288005574">
          <w:marLeft w:val="0"/>
          <w:marRight w:val="0"/>
          <w:marTop w:val="86"/>
          <w:marBottom w:val="0"/>
          <w:divBdr>
            <w:top w:val="none" w:sz="0" w:space="0" w:color="auto"/>
            <w:left w:val="none" w:sz="0" w:space="0" w:color="auto"/>
            <w:bottom w:val="none" w:sz="0" w:space="0" w:color="auto"/>
            <w:right w:val="none" w:sz="0" w:space="0" w:color="auto"/>
          </w:divBdr>
        </w:div>
        <w:div w:id="1600017013">
          <w:marLeft w:val="0"/>
          <w:marRight w:val="0"/>
          <w:marTop w:val="86"/>
          <w:marBottom w:val="0"/>
          <w:divBdr>
            <w:top w:val="none" w:sz="0" w:space="0" w:color="auto"/>
            <w:left w:val="none" w:sz="0" w:space="0" w:color="auto"/>
            <w:bottom w:val="none" w:sz="0" w:space="0" w:color="auto"/>
            <w:right w:val="none" w:sz="0" w:space="0" w:color="auto"/>
          </w:divBdr>
        </w:div>
        <w:div w:id="1631201798">
          <w:marLeft w:val="0"/>
          <w:marRight w:val="0"/>
          <w:marTop w:val="86"/>
          <w:marBottom w:val="0"/>
          <w:divBdr>
            <w:top w:val="none" w:sz="0" w:space="0" w:color="auto"/>
            <w:left w:val="none" w:sz="0" w:space="0" w:color="auto"/>
            <w:bottom w:val="none" w:sz="0" w:space="0" w:color="auto"/>
            <w:right w:val="none" w:sz="0" w:space="0" w:color="auto"/>
          </w:divBdr>
        </w:div>
        <w:div w:id="1834645391">
          <w:marLeft w:val="0"/>
          <w:marRight w:val="0"/>
          <w:marTop w:val="86"/>
          <w:marBottom w:val="0"/>
          <w:divBdr>
            <w:top w:val="none" w:sz="0" w:space="0" w:color="auto"/>
            <w:left w:val="none" w:sz="0" w:space="0" w:color="auto"/>
            <w:bottom w:val="none" w:sz="0" w:space="0" w:color="auto"/>
            <w:right w:val="none" w:sz="0" w:space="0" w:color="auto"/>
          </w:divBdr>
        </w:div>
      </w:divsChild>
    </w:div>
    <w:div w:id="1360550323">
      <w:bodyDiv w:val="1"/>
      <w:marLeft w:val="0"/>
      <w:marRight w:val="0"/>
      <w:marTop w:val="0"/>
      <w:marBottom w:val="0"/>
      <w:divBdr>
        <w:top w:val="none" w:sz="0" w:space="0" w:color="auto"/>
        <w:left w:val="none" w:sz="0" w:space="0" w:color="auto"/>
        <w:bottom w:val="none" w:sz="0" w:space="0" w:color="auto"/>
        <w:right w:val="none" w:sz="0" w:space="0" w:color="auto"/>
      </w:divBdr>
    </w:div>
    <w:div w:id="1373798328">
      <w:bodyDiv w:val="1"/>
      <w:marLeft w:val="0"/>
      <w:marRight w:val="0"/>
      <w:marTop w:val="0"/>
      <w:marBottom w:val="0"/>
      <w:divBdr>
        <w:top w:val="none" w:sz="0" w:space="0" w:color="auto"/>
        <w:left w:val="none" w:sz="0" w:space="0" w:color="auto"/>
        <w:bottom w:val="none" w:sz="0" w:space="0" w:color="auto"/>
        <w:right w:val="none" w:sz="0" w:space="0" w:color="auto"/>
      </w:divBdr>
    </w:div>
    <w:div w:id="1473449607">
      <w:bodyDiv w:val="1"/>
      <w:marLeft w:val="0"/>
      <w:marRight w:val="0"/>
      <w:marTop w:val="0"/>
      <w:marBottom w:val="0"/>
      <w:divBdr>
        <w:top w:val="none" w:sz="0" w:space="0" w:color="auto"/>
        <w:left w:val="none" w:sz="0" w:space="0" w:color="auto"/>
        <w:bottom w:val="none" w:sz="0" w:space="0" w:color="auto"/>
        <w:right w:val="none" w:sz="0" w:space="0" w:color="auto"/>
      </w:divBdr>
    </w:div>
    <w:div w:id="1474832440">
      <w:bodyDiv w:val="1"/>
      <w:marLeft w:val="0"/>
      <w:marRight w:val="0"/>
      <w:marTop w:val="0"/>
      <w:marBottom w:val="0"/>
      <w:divBdr>
        <w:top w:val="none" w:sz="0" w:space="0" w:color="auto"/>
        <w:left w:val="none" w:sz="0" w:space="0" w:color="auto"/>
        <w:bottom w:val="none" w:sz="0" w:space="0" w:color="auto"/>
        <w:right w:val="none" w:sz="0" w:space="0" w:color="auto"/>
      </w:divBdr>
    </w:div>
    <w:div w:id="1486626582">
      <w:bodyDiv w:val="1"/>
      <w:marLeft w:val="0"/>
      <w:marRight w:val="0"/>
      <w:marTop w:val="0"/>
      <w:marBottom w:val="0"/>
      <w:divBdr>
        <w:top w:val="none" w:sz="0" w:space="0" w:color="auto"/>
        <w:left w:val="none" w:sz="0" w:space="0" w:color="auto"/>
        <w:bottom w:val="none" w:sz="0" w:space="0" w:color="auto"/>
        <w:right w:val="none" w:sz="0" w:space="0" w:color="auto"/>
      </w:divBdr>
      <w:divsChild>
        <w:div w:id="686907547">
          <w:marLeft w:val="0"/>
          <w:marRight w:val="0"/>
          <w:marTop w:val="86"/>
          <w:marBottom w:val="0"/>
          <w:divBdr>
            <w:top w:val="none" w:sz="0" w:space="0" w:color="auto"/>
            <w:left w:val="none" w:sz="0" w:space="0" w:color="auto"/>
            <w:bottom w:val="none" w:sz="0" w:space="0" w:color="auto"/>
            <w:right w:val="none" w:sz="0" w:space="0" w:color="auto"/>
          </w:divBdr>
        </w:div>
        <w:div w:id="724185242">
          <w:marLeft w:val="0"/>
          <w:marRight w:val="0"/>
          <w:marTop w:val="86"/>
          <w:marBottom w:val="0"/>
          <w:divBdr>
            <w:top w:val="none" w:sz="0" w:space="0" w:color="auto"/>
            <w:left w:val="none" w:sz="0" w:space="0" w:color="auto"/>
            <w:bottom w:val="none" w:sz="0" w:space="0" w:color="auto"/>
            <w:right w:val="none" w:sz="0" w:space="0" w:color="auto"/>
          </w:divBdr>
        </w:div>
        <w:div w:id="759370352">
          <w:marLeft w:val="0"/>
          <w:marRight w:val="0"/>
          <w:marTop w:val="86"/>
          <w:marBottom w:val="0"/>
          <w:divBdr>
            <w:top w:val="none" w:sz="0" w:space="0" w:color="auto"/>
            <w:left w:val="none" w:sz="0" w:space="0" w:color="auto"/>
            <w:bottom w:val="none" w:sz="0" w:space="0" w:color="auto"/>
            <w:right w:val="none" w:sz="0" w:space="0" w:color="auto"/>
          </w:divBdr>
        </w:div>
      </w:divsChild>
    </w:div>
    <w:div w:id="1552888943">
      <w:bodyDiv w:val="1"/>
      <w:marLeft w:val="0"/>
      <w:marRight w:val="0"/>
      <w:marTop w:val="0"/>
      <w:marBottom w:val="0"/>
      <w:divBdr>
        <w:top w:val="none" w:sz="0" w:space="0" w:color="auto"/>
        <w:left w:val="none" w:sz="0" w:space="0" w:color="auto"/>
        <w:bottom w:val="none" w:sz="0" w:space="0" w:color="auto"/>
        <w:right w:val="none" w:sz="0" w:space="0" w:color="auto"/>
      </w:divBdr>
    </w:div>
    <w:div w:id="1591891561">
      <w:bodyDiv w:val="1"/>
      <w:marLeft w:val="0"/>
      <w:marRight w:val="0"/>
      <w:marTop w:val="0"/>
      <w:marBottom w:val="0"/>
      <w:divBdr>
        <w:top w:val="none" w:sz="0" w:space="0" w:color="auto"/>
        <w:left w:val="none" w:sz="0" w:space="0" w:color="auto"/>
        <w:bottom w:val="none" w:sz="0" w:space="0" w:color="auto"/>
        <w:right w:val="none" w:sz="0" w:space="0" w:color="auto"/>
      </w:divBdr>
    </w:div>
    <w:div w:id="1684554472">
      <w:bodyDiv w:val="1"/>
      <w:marLeft w:val="0"/>
      <w:marRight w:val="0"/>
      <w:marTop w:val="0"/>
      <w:marBottom w:val="0"/>
      <w:divBdr>
        <w:top w:val="none" w:sz="0" w:space="0" w:color="auto"/>
        <w:left w:val="none" w:sz="0" w:space="0" w:color="auto"/>
        <w:bottom w:val="none" w:sz="0" w:space="0" w:color="auto"/>
        <w:right w:val="none" w:sz="0" w:space="0" w:color="auto"/>
      </w:divBdr>
    </w:div>
    <w:div w:id="1862934159">
      <w:bodyDiv w:val="1"/>
      <w:marLeft w:val="0"/>
      <w:marRight w:val="0"/>
      <w:marTop w:val="0"/>
      <w:marBottom w:val="0"/>
      <w:divBdr>
        <w:top w:val="none" w:sz="0" w:space="0" w:color="auto"/>
        <w:left w:val="none" w:sz="0" w:space="0" w:color="auto"/>
        <w:bottom w:val="none" w:sz="0" w:space="0" w:color="auto"/>
        <w:right w:val="none" w:sz="0" w:space="0" w:color="auto"/>
      </w:divBdr>
    </w:div>
    <w:div w:id="1872569633">
      <w:bodyDiv w:val="1"/>
      <w:marLeft w:val="0"/>
      <w:marRight w:val="0"/>
      <w:marTop w:val="0"/>
      <w:marBottom w:val="0"/>
      <w:divBdr>
        <w:top w:val="none" w:sz="0" w:space="0" w:color="auto"/>
        <w:left w:val="none" w:sz="0" w:space="0" w:color="auto"/>
        <w:bottom w:val="none" w:sz="0" w:space="0" w:color="auto"/>
        <w:right w:val="none" w:sz="0" w:space="0" w:color="auto"/>
      </w:divBdr>
    </w:div>
    <w:div w:id="19047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mi-is.b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2013</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Feuil1!$A$2</c:f>
              <c:strCache>
                <c:ptCount val="1"/>
                <c:pt idx="0">
                  <c:v>Total des dossiers Fr/NL</c:v>
                </c:pt>
              </c:strCache>
            </c:strRef>
          </c:cat>
          <c:val>
            <c:numRef>
              <c:f>Feuil1!$B$2</c:f>
              <c:numCache>
                <c:formatCode>General</c:formatCode>
                <c:ptCount val="1"/>
                <c:pt idx="0">
                  <c:v>518</c:v>
                </c:pt>
              </c:numCache>
            </c:numRef>
          </c:val>
          <c:extLst xmlns:c16r2="http://schemas.microsoft.com/office/drawing/2015/06/chart">
            <c:ext xmlns:c16="http://schemas.microsoft.com/office/drawing/2014/chart" uri="{C3380CC4-5D6E-409C-BE32-E72D297353CC}">
              <c16:uniqueId val="{00000000-5241-4388-8D86-7AF8090E266E}"/>
            </c:ext>
          </c:extLst>
        </c:ser>
        <c:ser>
          <c:idx val="1"/>
          <c:order val="1"/>
          <c:tx>
            <c:strRef>
              <c:f>Feuil1!$C$1</c:f>
              <c:strCache>
                <c:ptCount val="1"/>
                <c:pt idx="0">
                  <c:v>2014</c:v>
                </c:pt>
              </c:strCache>
            </c:strRef>
          </c:tx>
          <c:spPr>
            <a:solidFill>
              <a:srgbClr val="9BBB59">
                <a:lumMod val="75000"/>
              </a:srgbClr>
            </a:solidFill>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Feuil1!$A$2</c:f>
              <c:strCache>
                <c:ptCount val="1"/>
                <c:pt idx="0">
                  <c:v>Total des dossiers Fr/NL</c:v>
                </c:pt>
              </c:strCache>
            </c:strRef>
          </c:cat>
          <c:val>
            <c:numRef>
              <c:f>Feuil1!$C$2</c:f>
              <c:numCache>
                <c:formatCode>General</c:formatCode>
                <c:ptCount val="1"/>
                <c:pt idx="0">
                  <c:v>556</c:v>
                </c:pt>
              </c:numCache>
            </c:numRef>
          </c:val>
          <c:extLst xmlns:c16r2="http://schemas.microsoft.com/office/drawing/2015/06/chart">
            <c:ext xmlns:c16="http://schemas.microsoft.com/office/drawing/2014/chart" uri="{C3380CC4-5D6E-409C-BE32-E72D297353CC}">
              <c16:uniqueId val="{00000001-5241-4388-8D86-7AF8090E266E}"/>
            </c:ext>
          </c:extLst>
        </c:ser>
        <c:ser>
          <c:idx val="2"/>
          <c:order val="2"/>
          <c:tx>
            <c:strRef>
              <c:f>Feuil1!$D$1</c:f>
              <c:strCache>
                <c:ptCount val="1"/>
                <c:pt idx="0">
                  <c:v>2015</c:v>
                </c:pt>
              </c:strCache>
            </c:strRef>
          </c:tx>
          <c:spPr>
            <a:solidFill>
              <a:srgbClr val="C00000"/>
            </a:solidFill>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Feuil1!$A$2</c:f>
              <c:strCache>
                <c:ptCount val="1"/>
                <c:pt idx="0">
                  <c:v>Total des dossiers Fr/NL</c:v>
                </c:pt>
              </c:strCache>
            </c:strRef>
          </c:cat>
          <c:val>
            <c:numRef>
              <c:f>Feuil1!$D$2</c:f>
              <c:numCache>
                <c:formatCode>General</c:formatCode>
                <c:ptCount val="1"/>
                <c:pt idx="0">
                  <c:v>726</c:v>
                </c:pt>
              </c:numCache>
            </c:numRef>
          </c:val>
          <c:extLst xmlns:c16r2="http://schemas.microsoft.com/office/drawing/2015/06/chart">
            <c:ext xmlns:c16="http://schemas.microsoft.com/office/drawing/2014/chart" uri="{C3380CC4-5D6E-409C-BE32-E72D297353CC}">
              <c16:uniqueId val="{00000002-5241-4388-8D86-7AF8090E266E}"/>
            </c:ext>
          </c:extLst>
        </c:ser>
        <c:ser>
          <c:idx val="3"/>
          <c:order val="3"/>
          <c:tx>
            <c:strRef>
              <c:f>Feuil1!$E$1</c:f>
              <c:strCache>
                <c:ptCount val="1"/>
                <c:pt idx="0">
                  <c:v>2016</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Feuil1!$A$2</c:f>
              <c:strCache>
                <c:ptCount val="1"/>
                <c:pt idx="0">
                  <c:v>Total des dossiers Fr/NL</c:v>
                </c:pt>
              </c:strCache>
            </c:strRef>
          </c:cat>
          <c:val>
            <c:numRef>
              <c:f>Feuil1!$E$2</c:f>
              <c:numCache>
                <c:formatCode>General</c:formatCode>
                <c:ptCount val="1"/>
                <c:pt idx="0">
                  <c:v>617</c:v>
                </c:pt>
              </c:numCache>
            </c:numRef>
          </c:val>
          <c:extLst xmlns:c16r2="http://schemas.microsoft.com/office/drawing/2015/06/chart">
            <c:ext xmlns:c16="http://schemas.microsoft.com/office/drawing/2014/chart" uri="{C3380CC4-5D6E-409C-BE32-E72D297353CC}">
              <c16:uniqueId val="{00000003-5241-4388-8D86-7AF8090E266E}"/>
            </c:ext>
          </c:extLst>
        </c:ser>
        <c:ser>
          <c:idx val="4"/>
          <c:order val="4"/>
          <c:tx>
            <c:strRef>
              <c:f>Feuil1!$F$1</c:f>
              <c:strCache>
                <c:ptCount val="1"/>
                <c:pt idx="0">
                  <c:v>2017</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Feuil1!$A$2</c:f>
              <c:strCache>
                <c:ptCount val="1"/>
                <c:pt idx="0">
                  <c:v>Total des dossiers Fr/NL</c:v>
                </c:pt>
              </c:strCache>
            </c:strRef>
          </c:cat>
          <c:val>
            <c:numRef>
              <c:f>Feuil1!$F$2</c:f>
              <c:numCache>
                <c:formatCode>General</c:formatCode>
                <c:ptCount val="1"/>
                <c:pt idx="0">
                  <c:v>640</c:v>
                </c:pt>
              </c:numCache>
            </c:numRef>
          </c:val>
          <c:extLst xmlns:c16r2="http://schemas.microsoft.com/office/drawing/2015/06/chart">
            <c:ext xmlns:c16="http://schemas.microsoft.com/office/drawing/2014/chart" uri="{C3380CC4-5D6E-409C-BE32-E72D297353CC}">
              <c16:uniqueId val="{00000004-5241-4388-8D86-7AF8090E266E}"/>
            </c:ext>
          </c:extLst>
        </c:ser>
        <c:dLbls>
          <c:dLblPos val="outEnd"/>
          <c:showLegendKey val="0"/>
          <c:showVal val="1"/>
          <c:showCatName val="0"/>
          <c:showSerName val="0"/>
          <c:showPercent val="0"/>
          <c:showBubbleSize val="0"/>
        </c:dLbls>
        <c:gapWidth val="150"/>
        <c:axId val="507680032"/>
        <c:axId val="507681208"/>
      </c:barChart>
      <c:catAx>
        <c:axId val="507680032"/>
        <c:scaling>
          <c:orientation val="minMax"/>
        </c:scaling>
        <c:delete val="0"/>
        <c:axPos val="b"/>
        <c:numFmt formatCode="General" sourceLinked="0"/>
        <c:majorTickMark val="out"/>
        <c:minorTickMark val="none"/>
        <c:tickLblPos val="nextTo"/>
        <c:crossAx val="507681208"/>
        <c:crosses val="autoZero"/>
        <c:auto val="1"/>
        <c:lblAlgn val="ctr"/>
        <c:lblOffset val="100"/>
        <c:noMultiLvlLbl val="0"/>
      </c:catAx>
      <c:valAx>
        <c:axId val="507681208"/>
        <c:scaling>
          <c:orientation val="minMax"/>
        </c:scaling>
        <c:delete val="0"/>
        <c:axPos val="l"/>
        <c:majorGridlines/>
        <c:numFmt formatCode="General" sourceLinked="1"/>
        <c:majorTickMark val="out"/>
        <c:minorTickMark val="none"/>
        <c:tickLblPos val="nextTo"/>
        <c:crossAx val="50768003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Feuil1!$B$1</c:f>
              <c:strCache>
                <c:ptCount val="1"/>
                <c:pt idx="0">
                  <c:v>FR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Feuil1!$A$2:$A$6</c:f>
              <c:numCache>
                <c:formatCode>General</c:formatCode>
                <c:ptCount val="5"/>
                <c:pt idx="0">
                  <c:v>2013</c:v>
                </c:pt>
                <c:pt idx="1">
                  <c:v>2014</c:v>
                </c:pt>
                <c:pt idx="2">
                  <c:v>2015</c:v>
                </c:pt>
                <c:pt idx="3">
                  <c:v>2016</c:v>
                </c:pt>
                <c:pt idx="4">
                  <c:v>2017</c:v>
                </c:pt>
              </c:numCache>
            </c:numRef>
          </c:cat>
          <c:val>
            <c:numRef>
              <c:f>Feuil1!$B$2:$B$6</c:f>
              <c:numCache>
                <c:formatCode>General</c:formatCode>
                <c:ptCount val="5"/>
                <c:pt idx="0">
                  <c:v>346</c:v>
                </c:pt>
                <c:pt idx="1">
                  <c:v>299</c:v>
                </c:pt>
                <c:pt idx="2">
                  <c:v>509</c:v>
                </c:pt>
                <c:pt idx="3">
                  <c:v>444</c:v>
                </c:pt>
                <c:pt idx="4">
                  <c:v>490</c:v>
                </c:pt>
              </c:numCache>
            </c:numRef>
          </c:val>
          <c:extLst xmlns:c16r2="http://schemas.microsoft.com/office/drawing/2015/06/chart">
            <c:ext xmlns:c16="http://schemas.microsoft.com/office/drawing/2014/chart" uri="{C3380CC4-5D6E-409C-BE32-E72D297353CC}">
              <c16:uniqueId val="{00000000-DC61-4C46-8C45-0231F7F744D3}"/>
            </c:ext>
          </c:extLst>
        </c:ser>
        <c:ser>
          <c:idx val="1"/>
          <c:order val="1"/>
          <c:tx>
            <c:strRef>
              <c:f>Feuil1!$C$1</c:f>
              <c:strCache>
                <c:ptCount val="1"/>
                <c:pt idx="0">
                  <c:v>NL</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Feuil1!$A$2:$A$6</c:f>
              <c:numCache>
                <c:formatCode>General</c:formatCode>
                <c:ptCount val="5"/>
                <c:pt idx="0">
                  <c:v>2013</c:v>
                </c:pt>
                <c:pt idx="1">
                  <c:v>2014</c:v>
                </c:pt>
                <c:pt idx="2">
                  <c:v>2015</c:v>
                </c:pt>
                <c:pt idx="3">
                  <c:v>2016</c:v>
                </c:pt>
                <c:pt idx="4">
                  <c:v>2017</c:v>
                </c:pt>
              </c:numCache>
            </c:numRef>
          </c:cat>
          <c:val>
            <c:numRef>
              <c:f>Feuil1!$C$2:$C$6</c:f>
              <c:numCache>
                <c:formatCode>General</c:formatCode>
                <c:ptCount val="5"/>
                <c:pt idx="0">
                  <c:v>210</c:v>
                </c:pt>
                <c:pt idx="1">
                  <c:v>219</c:v>
                </c:pt>
                <c:pt idx="2">
                  <c:v>217</c:v>
                </c:pt>
                <c:pt idx="3">
                  <c:v>173</c:v>
                </c:pt>
                <c:pt idx="4">
                  <c:v>150</c:v>
                </c:pt>
              </c:numCache>
            </c:numRef>
          </c:val>
          <c:extLst xmlns:c16r2="http://schemas.microsoft.com/office/drawing/2015/06/chart">
            <c:ext xmlns:c16="http://schemas.microsoft.com/office/drawing/2014/chart" uri="{C3380CC4-5D6E-409C-BE32-E72D297353CC}">
              <c16:uniqueId val="{00000001-DC61-4C46-8C45-0231F7F744D3}"/>
            </c:ext>
          </c:extLst>
        </c:ser>
        <c:dLbls>
          <c:showLegendKey val="0"/>
          <c:showVal val="1"/>
          <c:showCatName val="0"/>
          <c:showSerName val="0"/>
          <c:showPercent val="0"/>
          <c:showBubbleSize val="0"/>
        </c:dLbls>
        <c:gapWidth val="150"/>
        <c:shape val="cylinder"/>
        <c:axId val="507328912"/>
        <c:axId val="507329304"/>
        <c:axId val="0"/>
      </c:bar3DChart>
      <c:catAx>
        <c:axId val="507328912"/>
        <c:scaling>
          <c:orientation val="minMax"/>
        </c:scaling>
        <c:delete val="0"/>
        <c:axPos val="b"/>
        <c:numFmt formatCode="General" sourceLinked="1"/>
        <c:majorTickMark val="out"/>
        <c:minorTickMark val="none"/>
        <c:tickLblPos val="nextTo"/>
        <c:crossAx val="507329304"/>
        <c:crosses val="autoZero"/>
        <c:auto val="1"/>
        <c:lblAlgn val="ctr"/>
        <c:lblOffset val="100"/>
        <c:noMultiLvlLbl val="0"/>
      </c:catAx>
      <c:valAx>
        <c:axId val="507329304"/>
        <c:scaling>
          <c:orientation val="minMax"/>
        </c:scaling>
        <c:delete val="0"/>
        <c:axPos val="l"/>
        <c:majorGridlines/>
        <c:numFmt formatCode="General" sourceLinked="1"/>
        <c:majorTickMark val="out"/>
        <c:minorTickMark val="none"/>
        <c:tickLblPos val="nextTo"/>
        <c:crossAx val="50732891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BE"/>
              <a:t>Evolution par rapport à</a:t>
            </a:r>
            <a:r>
              <a:rPr lang="fr-BE" baseline="0"/>
              <a:t> 2013</a:t>
            </a:r>
            <a:endParaRPr lang="fr-BE"/>
          </a:p>
        </c:rich>
      </c:tx>
      <c:layout>
        <c:manualLayout>
          <c:xMode val="edge"/>
          <c:yMode val="edge"/>
          <c:x val="0.29881703476283222"/>
          <c:y val="1.9029495718363463E-2"/>
        </c:manualLayout>
      </c:layout>
      <c:overlay val="0"/>
    </c:title>
    <c:autoTitleDeleted val="0"/>
    <c:plotArea>
      <c:layout/>
      <c:lineChart>
        <c:grouping val="standard"/>
        <c:varyColors val="0"/>
        <c:ser>
          <c:idx val="0"/>
          <c:order val="0"/>
          <c:tx>
            <c:strRef>
              <c:f>Feuil1!$A$2</c:f>
              <c:strCache>
                <c:ptCount val="1"/>
                <c:pt idx="0">
                  <c:v>&gt; du nombre de conflits </c:v>
                </c:pt>
              </c:strCache>
            </c:strRef>
          </c:tx>
          <c:marker>
            <c:symbol val="none"/>
          </c:marke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Feuil1!$B$1:$F$1</c:f>
              <c:strCache>
                <c:ptCount val="5"/>
                <c:pt idx="0">
                  <c:v>2013</c:v>
                </c:pt>
                <c:pt idx="1">
                  <c:v>2014</c:v>
                </c:pt>
                <c:pt idx="2">
                  <c:v>2015</c:v>
                </c:pt>
                <c:pt idx="3">
                  <c:v>2016</c:v>
                </c:pt>
                <c:pt idx="4">
                  <c:v>2017</c:v>
                </c:pt>
              </c:strCache>
            </c:strRef>
          </c:cat>
          <c:val>
            <c:numRef>
              <c:f>Feuil1!$B$2:$F$2</c:f>
              <c:numCache>
                <c:formatCode>0.00%</c:formatCode>
                <c:ptCount val="5"/>
                <c:pt idx="0">
                  <c:v>0</c:v>
                </c:pt>
                <c:pt idx="1">
                  <c:v>7.3359073359073435E-2</c:v>
                </c:pt>
                <c:pt idx="2">
                  <c:v>0.40154440154440163</c:v>
                </c:pt>
                <c:pt idx="3">
                  <c:v>0.19111969111969107</c:v>
                </c:pt>
                <c:pt idx="4">
                  <c:v>0.23552123552123549</c:v>
                </c:pt>
              </c:numCache>
            </c:numRef>
          </c:val>
          <c:smooth val="0"/>
          <c:extLst xmlns:c16r2="http://schemas.microsoft.com/office/drawing/2015/06/chart">
            <c:ext xmlns:c16="http://schemas.microsoft.com/office/drawing/2014/chart" uri="{C3380CC4-5D6E-409C-BE32-E72D297353CC}">
              <c16:uniqueId val="{00000000-274F-4246-9656-12BC783BB4B9}"/>
            </c:ext>
          </c:extLst>
        </c:ser>
        <c:ser>
          <c:idx val="1"/>
          <c:order val="1"/>
          <c:tx>
            <c:strRef>
              <c:f>Feuil1!$A$3</c:f>
              <c:strCache>
                <c:ptCount val="1"/>
                <c:pt idx="0">
                  <c:v>&gt; du nombre de conflits FR</c:v>
                </c:pt>
              </c:strCache>
            </c:strRef>
          </c:tx>
          <c:marker>
            <c:symbol val="none"/>
          </c:marke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Feuil1!$B$1:$F$1</c:f>
              <c:strCache>
                <c:ptCount val="5"/>
                <c:pt idx="0">
                  <c:v>2013</c:v>
                </c:pt>
                <c:pt idx="1">
                  <c:v>2014</c:v>
                </c:pt>
                <c:pt idx="2">
                  <c:v>2015</c:v>
                </c:pt>
                <c:pt idx="3">
                  <c:v>2016</c:v>
                </c:pt>
                <c:pt idx="4">
                  <c:v>2017</c:v>
                </c:pt>
              </c:strCache>
            </c:strRef>
          </c:cat>
          <c:val>
            <c:numRef>
              <c:f>Feuil1!$B$3:$F$3</c:f>
              <c:numCache>
                <c:formatCode>0.00%</c:formatCode>
                <c:ptCount val="5"/>
                <c:pt idx="0">
                  <c:v>0</c:v>
                </c:pt>
                <c:pt idx="1">
                  <c:v>0.15719063545150491</c:v>
                </c:pt>
                <c:pt idx="2">
                  <c:v>0.7023411371237458</c:v>
                </c:pt>
                <c:pt idx="3">
                  <c:v>0.48494983277591963</c:v>
                </c:pt>
                <c:pt idx="4">
                  <c:v>0.6387959866220736</c:v>
                </c:pt>
              </c:numCache>
            </c:numRef>
          </c:val>
          <c:smooth val="0"/>
          <c:extLst xmlns:c16r2="http://schemas.microsoft.com/office/drawing/2015/06/chart">
            <c:ext xmlns:c16="http://schemas.microsoft.com/office/drawing/2014/chart" uri="{C3380CC4-5D6E-409C-BE32-E72D297353CC}">
              <c16:uniqueId val="{00000001-274F-4246-9656-12BC783BB4B9}"/>
            </c:ext>
          </c:extLst>
        </c:ser>
        <c:ser>
          <c:idx val="2"/>
          <c:order val="2"/>
          <c:tx>
            <c:strRef>
              <c:f>Feuil1!$A$4</c:f>
              <c:strCache>
                <c:ptCount val="1"/>
                <c:pt idx="0">
                  <c:v>&gt; du nombre de conflits NL</c:v>
                </c:pt>
              </c:strCache>
            </c:strRef>
          </c:tx>
          <c:marker>
            <c:symbol val="none"/>
          </c:marke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Feuil1!$B$1:$F$1</c:f>
              <c:strCache>
                <c:ptCount val="5"/>
                <c:pt idx="0">
                  <c:v>2013</c:v>
                </c:pt>
                <c:pt idx="1">
                  <c:v>2014</c:v>
                </c:pt>
                <c:pt idx="2">
                  <c:v>2015</c:v>
                </c:pt>
                <c:pt idx="3">
                  <c:v>2016</c:v>
                </c:pt>
                <c:pt idx="4">
                  <c:v>2017</c:v>
                </c:pt>
              </c:strCache>
            </c:strRef>
          </c:cat>
          <c:val>
            <c:numRef>
              <c:f>Feuil1!$B$4:$F$4</c:f>
              <c:numCache>
                <c:formatCode>0.00%</c:formatCode>
                <c:ptCount val="5"/>
                <c:pt idx="0">
                  <c:v>0</c:v>
                </c:pt>
                <c:pt idx="1">
                  <c:v>-4.1095890410958957E-2</c:v>
                </c:pt>
                <c:pt idx="2">
                  <c:v>-9.1324200913242004E-3</c:v>
                </c:pt>
                <c:pt idx="3">
                  <c:v>-0.21004566210045661</c:v>
                </c:pt>
                <c:pt idx="4">
                  <c:v>-0.31506849315068497</c:v>
                </c:pt>
              </c:numCache>
            </c:numRef>
          </c:val>
          <c:smooth val="0"/>
          <c:extLst xmlns:c16r2="http://schemas.microsoft.com/office/drawing/2015/06/chart">
            <c:ext xmlns:c16="http://schemas.microsoft.com/office/drawing/2014/chart" uri="{C3380CC4-5D6E-409C-BE32-E72D297353CC}">
              <c16:uniqueId val="{00000002-274F-4246-9656-12BC783BB4B9}"/>
            </c:ext>
          </c:extLst>
        </c:ser>
        <c:dLbls>
          <c:dLblPos val="t"/>
          <c:showLegendKey val="0"/>
          <c:showVal val="1"/>
          <c:showCatName val="0"/>
          <c:showSerName val="0"/>
          <c:showPercent val="0"/>
          <c:showBubbleSize val="0"/>
        </c:dLbls>
        <c:smooth val="0"/>
        <c:axId val="507330088"/>
        <c:axId val="502744864"/>
      </c:lineChart>
      <c:catAx>
        <c:axId val="507330088"/>
        <c:scaling>
          <c:orientation val="minMax"/>
        </c:scaling>
        <c:delete val="0"/>
        <c:axPos val="b"/>
        <c:numFmt formatCode="General" sourceLinked="0"/>
        <c:majorTickMark val="none"/>
        <c:minorTickMark val="none"/>
        <c:tickLblPos val="nextTo"/>
        <c:crossAx val="502744864"/>
        <c:crosses val="autoZero"/>
        <c:auto val="1"/>
        <c:lblAlgn val="ctr"/>
        <c:lblOffset val="100"/>
        <c:noMultiLvlLbl val="0"/>
      </c:catAx>
      <c:valAx>
        <c:axId val="502744864"/>
        <c:scaling>
          <c:orientation val="minMax"/>
        </c:scaling>
        <c:delete val="0"/>
        <c:axPos val="l"/>
        <c:majorGridlines/>
        <c:title>
          <c:overlay val="0"/>
        </c:title>
        <c:numFmt formatCode="0.00%" sourceLinked="1"/>
        <c:majorTickMark val="none"/>
        <c:minorTickMark val="none"/>
        <c:tickLblPos val="nextTo"/>
        <c:crossAx val="5073300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BE"/>
              <a:t>Evolution par rapport à</a:t>
            </a:r>
            <a:r>
              <a:rPr lang="fr-BE" baseline="0"/>
              <a:t> 2016</a:t>
            </a:r>
            <a:endParaRPr lang="fr-BE"/>
          </a:p>
        </c:rich>
      </c:tx>
      <c:layout>
        <c:manualLayout>
          <c:xMode val="edge"/>
          <c:yMode val="edge"/>
          <c:x val="0.29881703476283222"/>
          <c:y val="1.9029495718363463E-2"/>
        </c:manualLayout>
      </c:layout>
      <c:overlay val="0"/>
    </c:title>
    <c:autoTitleDeleted val="0"/>
    <c:plotArea>
      <c:layout/>
      <c:lineChart>
        <c:grouping val="standard"/>
        <c:varyColors val="0"/>
        <c:ser>
          <c:idx val="0"/>
          <c:order val="0"/>
          <c:tx>
            <c:strRef>
              <c:f>Feuil1!$A$2</c:f>
              <c:strCache>
                <c:ptCount val="1"/>
                <c:pt idx="0">
                  <c:v>Bruxelles</c:v>
                </c:pt>
              </c:strCache>
            </c:strRef>
          </c:tx>
          <c:marker>
            <c:symbol val="none"/>
          </c:marke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Feuil1!$B$1:$C$1</c:f>
              <c:strCache>
                <c:ptCount val="2"/>
                <c:pt idx="0">
                  <c:v>2016</c:v>
                </c:pt>
                <c:pt idx="1">
                  <c:v>2017</c:v>
                </c:pt>
              </c:strCache>
            </c:strRef>
          </c:cat>
          <c:val>
            <c:numRef>
              <c:f>Feuil1!$B$2:$C$2</c:f>
              <c:numCache>
                <c:formatCode>0.00%</c:formatCode>
                <c:ptCount val="2"/>
                <c:pt idx="0">
                  <c:v>0</c:v>
                </c:pt>
                <c:pt idx="1">
                  <c:v>4.6511627906976827E-2</c:v>
                </c:pt>
              </c:numCache>
            </c:numRef>
          </c:val>
          <c:smooth val="0"/>
          <c:extLst xmlns:c16r2="http://schemas.microsoft.com/office/drawing/2015/06/chart">
            <c:ext xmlns:c16="http://schemas.microsoft.com/office/drawing/2014/chart" uri="{C3380CC4-5D6E-409C-BE32-E72D297353CC}">
              <c16:uniqueId val="{00000000-EAE7-477C-A3FA-7F343F5E4162}"/>
            </c:ext>
          </c:extLst>
        </c:ser>
        <c:ser>
          <c:idx val="1"/>
          <c:order val="1"/>
          <c:tx>
            <c:strRef>
              <c:f>Feuil1!$A$3</c:f>
              <c:strCache>
                <c:ptCount val="1"/>
                <c:pt idx="0">
                  <c:v>Flandre</c:v>
                </c:pt>
              </c:strCache>
            </c:strRef>
          </c:tx>
          <c:marker>
            <c:symbol val="none"/>
          </c:marke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Feuil1!$B$1:$C$1</c:f>
              <c:strCache>
                <c:ptCount val="2"/>
                <c:pt idx="0">
                  <c:v>2016</c:v>
                </c:pt>
                <c:pt idx="1">
                  <c:v>2017</c:v>
                </c:pt>
              </c:strCache>
            </c:strRef>
          </c:cat>
          <c:val>
            <c:numRef>
              <c:f>Feuil1!$B$3:$C$3</c:f>
              <c:numCache>
                <c:formatCode>0.00%</c:formatCode>
                <c:ptCount val="2"/>
                <c:pt idx="0">
                  <c:v>0</c:v>
                </c:pt>
                <c:pt idx="1">
                  <c:v>-0.14197530864197527</c:v>
                </c:pt>
              </c:numCache>
            </c:numRef>
          </c:val>
          <c:smooth val="0"/>
          <c:extLst xmlns:c16r2="http://schemas.microsoft.com/office/drawing/2015/06/chart">
            <c:ext xmlns:c16="http://schemas.microsoft.com/office/drawing/2014/chart" uri="{C3380CC4-5D6E-409C-BE32-E72D297353CC}">
              <c16:uniqueId val="{00000001-EAE7-477C-A3FA-7F343F5E4162}"/>
            </c:ext>
          </c:extLst>
        </c:ser>
        <c:ser>
          <c:idx val="2"/>
          <c:order val="2"/>
          <c:tx>
            <c:strRef>
              <c:f>Feuil1!$A$4</c:f>
              <c:strCache>
                <c:ptCount val="1"/>
                <c:pt idx="0">
                  <c:v>Wallonie</c:v>
                </c:pt>
              </c:strCache>
            </c:strRef>
          </c:tx>
          <c:marker>
            <c:symbol val="none"/>
          </c:marke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Feuil1!$B$1:$C$1</c:f>
              <c:strCache>
                <c:ptCount val="2"/>
                <c:pt idx="0">
                  <c:v>2016</c:v>
                </c:pt>
                <c:pt idx="1">
                  <c:v>2017</c:v>
                </c:pt>
              </c:strCache>
            </c:strRef>
          </c:cat>
          <c:val>
            <c:numRef>
              <c:f>Feuil1!$B$4:$C$4</c:f>
              <c:numCache>
                <c:formatCode>0.00%</c:formatCode>
                <c:ptCount val="2"/>
                <c:pt idx="0">
                  <c:v>0</c:v>
                </c:pt>
                <c:pt idx="1">
                  <c:v>0.1785714285714286</c:v>
                </c:pt>
              </c:numCache>
            </c:numRef>
          </c:val>
          <c:smooth val="0"/>
          <c:extLst xmlns:c16r2="http://schemas.microsoft.com/office/drawing/2015/06/chart">
            <c:ext xmlns:c16="http://schemas.microsoft.com/office/drawing/2014/chart" uri="{C3380CC4-5D6E-409C-BE32-E72D297353CC}">
              <c16:uniqueId val="{00000002-EAE7-477C-A3FA-7F343F5E4162}"/>
            </c:ext>
          </c:extLst>
        </c:ser>
        <c:dLbls>
          <c:dLblPos val="t"/>
          <c:showLegendKey val="0"/>
          <c:showVal val="1"/>
          <c:showCatName val="0"/>
          <c:showSerName val="0"/>
          <c:showPercent val="0"/>
          <c:showBubbleSize val="0"/>
        </c:dLbls>
        <c:smooth val="0"/>
        <c:axId val="502746040"/>
        <c:axId val="502746432"/>
      </c:lineChart>
      <c:catAx>
        <c:axId val="502746040"/>
        <c:scaling>
          <c:orientation val="minMax"/>
        </c:scaling>
        <c:delete val="0"/>
        <c:axPos val="b"/>
        <c:numFmt formatCode="General" sourceLinked="0"/>
        <c:majorTickMark val="none"/>
        <c:minorTickMark val="none"/>
        <c:tickLblPos val="nextTo"/>
        <c:crossAx val="502746432"/>
        <c:crosses val="autoZero"/>
        <c:auto val="1"/>
        <c:lblAlgn val="ctr"/>
        <c:lblOffset val="100"/>
        <c:noMultiLvlLbl val="0"/>
      </c:catAx>
      <c:valAx>
        <c:axId val="502746432"/>
        <c:scaling>
          <c:orientation val="minMax"/>
        </c:scaling>
        <c:delete val="0"/>
        <c:axPos val="l"/>
        <c:majorGridlines/>
        <c:title>
          <c:overlay val="0"/>
        </c:title>
        <c:numFmt formatCode="0.00%" sourceLinked="1"/>
        <c:majorTickMark val="none"/>
        <c:minorTickMark val="none"/>
        <c:tickLblPos val="nextTo"/>
        <c:crossAx val="5027460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E6D4-4420-45B4-914E-0490AA81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15235</Words>
  <Characters>83795</Characters>
  <Application>Microsoft Office Word</Application>
  <DocSecurity>0</DocSecurity>
  <Lines>698</Lines>
  <Paragraphs>197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Rapport d’évaluation de la procédure de demande de règlement d’un conflit de compétence entre des CPAS, en application de l’ar</vt:lpstr>
      <vt:lpstr>Rapport d’évaluation de la procédure de demande de règlement d’un conflit de compétence entre des CPAS, en application de l’ar</vt:lpstr>
      <vt:lpstr>Rapport d’évaluation de la procédure de demande de règlement d’un conflit de compétence entre des CPAS, en application de l’ar</vt:lpstr>
    </vt:vector>
  </TitlesOfParts>
  <Company/>
  <LinksUpToDate>false</LinksUpToDate>
  <CharactersWithSpaces>98833</CharactersWithSpaces>
  <SharedDoc>false</SharedDoc>
  <HLinks>
    <vt:vector size="408" baseType="variant">
      <vt:variant>
        <vt:i4>1900602</vt:i4>
      </vt:variant>
      <vt:variant>
        <vt:i4>404</vt:i4>
      </vt:variant>
      <vt:variant>
        <vt:i4>0</vt:i4>
      </vt:variant>
      <vt:variant>
        <vt:i4>5</vt:i4>
      </vt:variant>
      <vt:variant>
        <vt:lpwstr/>
      </vt:variant>
      <vt:variant>
        <vt:lpwstr>_Toc347395787</vt:lpwstr>
      </vt:variant>
      <vt:variant>
        <vt:i4>1900602</vt:i4>
      </vt:variant>
      <vt:variant>
        <vt:i4>398</vt:i4>
      </vt:variant>
      <vt:variant>
        <vt:i4>0</vt:i4>
      </vt:variant>
      <vt:variant>
        <vt:i4>5</vt:i4>
      </vt:variant>
      <vt:variant>
        <vt:lpwstr/>
      </vt:variant>
      <vt:variant>
        <vt:lpwstr>_Toc347395786</vt:lpwstr>
      </vt:variant>
      <vt:variant>
        <vt:i4>1900602</vt:i4>
      </vt:variant>
      <vt:variant>
        <vt:i4>392</vt:i4>
      </vt:variant>
      <vt:variant>
        <vt:i4>0</vt:i4>
      </vt:variant>
      <vt:variant>
        <vt:i4>5</vt:i4>
      </vt:variant>
      <vt:variant>
        <vt:lpwstr/>
      </vt:variant>
      <vt:variant>
        <vt:lpwstr>_Toc347395785</vt:lpwstr>
      </vt:variant>
      <vt:variant>
        <vt:i4>1900602</vt:i4>
      </vt:variant>
      <vt:variant>
        <vt:i4>386</vt:i4>
      </vt:variant>
      <vt:variant>
        <vt:i4>0</vt:i4>
      </vt:variant>
      <vt:variant>
        <vt:i4>5</vt:i4>
      </vt:variant>
      <vt:variant>
        <vt:lpwstr/>
      </vt:variant>
      <vt:variant>
        <vt:lpwstr>_Toc347395784</vt:lpwstr>
      </vt:variant>
      <vt:variant>
        <vt:i4>1900602</vt:i4>
      </vt:variant>
      <vt:variant>
        <vt:i4>380</vt:i4>
      </vt:variant>
      <vt:variant>
        <vt:i4>0</vt:i4>
      </vt:variant>
      <vt:variant>
        <vt:i4>5</vt:i4>
      </vt:variant>
      <vt:variant>
        <vt:lpwstr/>
      </vt:variant>
      <vt:variant>
        <vt:lpwstr>_Toc347395783</vt:lpwstr>
      </vt:variant>
      <vt:variant>
        <vt:i4>1900602</vt:i4>
      </vt:variant>
      <vt:variant>
        <vt:i4>374</vt:i4>
      </vt:variant>
      <vt:variant>
        <vt:i4>0</vt:i4>
      </vt:variant>
      <vt:variant>
        <vt:i4>5</vt:i4>
      </vt:variant>
      <vt:variant>
        <vt:lpwstr/>
      </vt:variant>
      <vt:variant>
        <vt:lpwstr>_Toc347395782</vt:lpwstr>
      </vt:variant>
      <vt:variant>
        <vt:i4>1900602</vt:i4>
      </vt:variant>
      <vt:variant>
        <vt:i4>368</vt:i4>
      </vt:variant>
      <vt:variant>
        <vt:i4>0</vt:i4>
      </vt:variant>
      <vt:variant>
        <vt:i4>5</vt:i4>
      </vt:variant>
      <vt:variant>
        <vt:lpwstr/>
      </vt:variant>
      <vt:variant>
        <vt:lpwstr>_Toc347395781</vt:lpwstr>
      </vt:variant>
      <vt:variant>
        <vt:i4>1900602</vt:i4>
      </vt:variant>
      <vt:variant>
        <vt:i4>362</vt:i4>
      </vt:variant>
      <vt:variant>
        <vt:i4>0</vt:i4>
      </vt:variant>
      <vt:variant>
        <vt:i4>5</vt:i4>
      </vt:variant>
      <vt:variant>
        <vt:lpwstr/>
      </vt:variant>
      <vt:variant>
        <vt:lpwstr>_Toc347395780</vt:lpwstr>
      </vt:variant>
      <vt:variant>
        <vt:i4>1179706</vt:i4>
      </vt:variant>
      <vt:variant>
        <vt:i4>356</vt:i4>
      </vt:variant>
      <vt:variant>
        <vt:i4>0</vt:i4>
      </vt:variant>
      <vt:variant>
        <vt:i4>5</vt:i4>
      </vt:variant>
      <vt:variant>
        <vt:lpwstr/>
      </vt:variant>
      <vt:variant>
        <vt:lpwstr>_Toc347395779</vt:lpwstr>
      </vt:variant>
      <vt:variant>
        <vt:i4>1179706</vt:i4>
      </vt:variant>
      <vt:variant>
        <vt:i4>350</vt:i4>
      </vt:variant>
      <vt:variant>
        <vt:i4>0</vt:i4>
      </vt:variant>
      <vt:variant>
        <vt:i4>5</vt:i4>
      </vt:variant>
      <vt:variant>
        <vt:lpwstr/>
      </vt:variant>
      <vt:variant>
        <vt:lpwstr>_Toc347395778</vt:lpwstr>
      </vt:variant>
      <vt:variant>
        <vt:i4>1179706</vt:i4>
      </vt:variant>
      <vt:variant>
        <vt:i4>344</vt:i4>
      </vt:variant>
      <vt:variant>
        <vt:i4>0</vt:i4>
      </vt:variant>
      <vt:variant>
        <vt:i4>5</vt:i4>
      </vt:variant>
      <vt:variant>
        <vt:lpwstr/>
      </vt:variant>
      <vt:variant>
        <vt:lpwstr>_Toc347395777</vt:lpwstr>
      </vt:variant>
      <vt:variant>
        <vt:i4>1179706</vt:i4>
      </vt:variant>
      <vt:variant>
        <vt:i4>338</vt:i4>
      </vt:variant>
      <vt:variant>
        <vt:i4>0</vt:i4>
      </vt:variant>
      <vt:variant>
        <vt:i4>5</vt:i4>
      </vt:variant>
      <vt:variant>
        <vt:lpwstr/>
      </vt:variant>
      <vt:variant>
        <vt:lpwstr>_Toc347395776</vt:lpwstr>
      </vt:variant>
      <vt:variant>
        <vt:i4>1179706</vt:i4>
      </vt:variant>
      <vt:variant>
        <vt:i4>332</vt:i4>
      </vt:variant>
      <vt:variant>
        <vt:i4>0</vt:i4>
      </vt:variant>
      <vt:variant>
        <vt:i4>5</vt:i4>
      </vt:variant>
      <vt:variant>
        <vt:lpwstr/>
      </vt:variant>
      <vt:variant>
        <vt:lpwstr>_Toc347395775</vt:lpwstr>
      </vt:variant>
      <vt:variant>
        <vt:i4>1179706</vt:i4>
      </vt:variant>
      <vt:variant>
        <vt:i4>326</vt:i4>
      </vt:variant>
      <vt:variant>
        <vt:i4>0</vt:i4>
      </vt:variant>
      <vt:variant>
        <vt:i4>5</vt:i4>
      </vt:variant>
      <vt:variant>
        <vt:lpwstr/>
      </vt:variant>
      <vt:variant>
        <vt:lpwstr>_Toc347395774</vt:lpwstr>
      </vt:variant>
      <vt:variant>
        <vt:i4>1179706</vt:i4>
      </vt:variant>
      <vt:variant>
        <vt:i4>320</vt:i4>
      </vt:variant>
      <vt:variant>
        <vt:i4>0</vt:i4>
      </vt:variant>
      <vt:variant>
        <vt:i4>5</vt:i4>
      </vt:variant>
      <vt:variant>
        <vt:lpwstr/>
      </vt:variant>
      <vt:variant>
        <vt:lpwstr>_Toc347395773</vt:lpwstr>
      </vt:variant>
      <vt:variant>
        <vt:i4>1179706</vt:i4>
      </vt:variant>
      <vt:variant>
        <vt:i4>314</vt:i4>
      </vt:variant>
      <vt:variant>
        <vt:i4>0</vt:i4>
      </vt:variant>
      <vt:variant>
        <vt:i4>5</vt:i4>
      </vt:variant>
      <vt:variant>
        <vt:lpwstr/>
      </vt:variant>
      <vt:variant>
        <vt:lpwstr>_Toc347395772</vt:lpwstr>
      </vt:variant>
      <vt:variant>
        <vt:i4>1179706</vt:i4>
      </vt:variant>
      <vt:variant>
        <vt:i4>308</vt:i4>
      </vt:variant>
      <vt:variant>
        <vt:i4>0</vt:i4>
      </vt:variant>
      <vt:variant>
        <vt:i4>5</vt:i4>
      </vt:variant>
      <vt:variant>
        <vt:lpwstr/>
      </vt:variant>
      <vt:variant>
        <vt:lpwstr>_Toc347395771</vt:lpwstr>
      </vt:variant>
      <vt:variant>
        <vt:i4>1179706</vt:i4>
      </vt:variant>
      <vt:variant>
        <vt:i4>302</vt:i4>
      </vt:variant>
      <vt:variant>
        <vt:i4>0</vt:i4>
      </vt:variant>
      <vt:variant>
        <vt:i4>5</vt:i4>
      </vt:variant>
      <vt:variant>
        <vt:lpwstr/>
      </vt:variant>
      <vt:variant>
        <vt:lpwstr>_Toc347395770</vt:lpwstr>
      </vt:variant>
      <vt:variant>
        <vt:i4>1245242</vt:i4>
      </vt:variant>
      <vt:variant>
        <vt:i4>296</vt:i4>
      </vt:variant>
      <vt:variant>
        <vt:i4>0</vt:i4>
      </vt:variant>
      <vt:variant>
        <vt:i4>5</vt:i4>
      </vt:variant>
      <vt:variant>
        <vt:lpwstr/>
      </vt:variant>
      <vt:variant>
        <vt:lpwstr>_Toc347395769</vt:lpwstr>
      </vt:variant>
      <vt:variant>
        <vt:i4>1245242</vt:i4>
      </vt:variant>
      <vt:variant>
        <vt:i4>290</vt:i4>
      </vt:variant>
      <vt:variant>
        <vt:i4>0</vt:i4>
      </vt:variant>
      <vt:variant>
        <vt:i4>5</vt:i4>
      </vt:variant>
      <vt:variant>
        <vt:lpwstr/>
      </vt:variant>
      <vt:variant>
        <vt:lpwstr>_Toc347395768</vt:lpwstr>
      </vt:variant>
      <vt:variant>
        <vt:i4>1245242</vt:i4>
      </vt:variant>
      <vt:variant>
        <vt:i4>284</vt:i4>
      </vt:variant>
      <vt:variant>
        <vt:i4>0</vt:i4>
      </vt:variant>
      <vt:variant>
        <vt:i4>5</vt:i4>
      </vt:variant>
      <vt:variant>
        <vt:lpwstr/>
      </vt:variant>
      <vt:variant>
        <vt:lpwstr>_Toc347395767</vt:lpwstr>
      </vt:variant>
      <vt:variant>
        <vt:i4>1245242</vt:i4>
      </vt:variant>
      <vt:variant>
        <vt:i4>278</vt:i4>
      </vt:variant>
      <vt:variant>
        <vt:i4>0</vt:i4>
      </vt:variant>
      <vt:variant>
        <vt:i4>5</vt:i4>
      </vt:variant>
      <vt:variant>
        <vt:lpwstr/>
      </vt:variant>
      <vt:variant>
        <vt:lpwstr>_Toc347395766</vt:lpwstr>
      </vt:variant>
      <vt:variant>
        <vt:i4>1245242</vt:i4>
      </vt:variant>
      <vt:variant>
        <vt:i4>272</vt:i4>
      </vt:variant>
      <vt:variant>
        <vt:i4>0</vt:i4>
      </vt:variant>
      <vt:variant>
        <vt:i4>5</vt:i4>
      </vt:variant>
      <vt:variant>
        <vt:lpwstr/>
      </vt:variant>
      <vt:variant>
        <vt:lpwstr>_Toc347395765</vt:lpwstr>
      </vt:variant>
      <vt:variant>
        <vt:i4>1245242</vt:i4>
      </vt:variant>
      <vt:variant>
        <vt:i4>266</vt:i4>
      </vt:variant>
      <vt:variant>
        <vt:i4>0</vt:i4>
      </vt:variant>
      <vt:variant>
        <vt:i4>5</vt:i4>
      </vt:variant>
      <vt:variant>
        <vt:lpwstr/>
      </vt:variant>
      <vt:variant>
        <vt:lpwstr>_Toc347395764</vt:lpwstr>
      </vt:variant>
      <vt:variant>
        <vt:i4>1245242</vt:i4>
      </vt:variant>
      <vt:variant>
        <vt:i4>260</vt:i4>
      </vt:variant>
      <vt:variant>
        <vt:i4>0</vt:i4>
      </vt:variant>
      <vt:variant>
        <vt:i4>5</vt:i4>
      </vt:variant>
      <vt:variant>
        <vt:lpwstr/>
      </vt:variant>
      <vt:variant>
        <vt:lpwstr>_Toc347395763</vt:lpwstr>
      </vt:variant>
      <vt:variant>
        <vt:i4>1245242</vt:i4>
      </vt:variant>
      <vt:variant>
        <vt:i4>254</vt:i4>
      </vt:variant>
      <vt:variant>
        <vt:i4>0</vt:i4>
      </vt:variant>
      <vt:variant>
        <vt:i4>5</vt:i4>
      </vt:variant>
      <vt:variant>
        <vt:lpwstr/>
      </vt:variant>
      <vt:variant>
        <vt:lpwstr>_Toc347395762</vt:lpwstr>
      </vt:variant>
      <vt:variant>
        <vt:i4>1245242</vt:i4>
      </vt:variant>
      <vt:variant>
        <vt:i4>248</vt:i4>
      </vt:variant>
      <vt:variant>
        <vt:i4>0</vt:i4>
      </vt:variant>
      <vt:variant>
        <vt:i4>5</vt:i4>
      </vt:variant>
      <vt:variant>
        <vt:lpwstr/>
      </vt:variant>
      <vt:variant>
        <vt:lpwstr>_Toc347395761</vt:lpwstr>
      </vt:variant>
      <vt:variant>
        <vt:i4>1245242</vt:i4>
      </vt:variant>
      <vt:variant>
        <vt:i4>242</vt:i4>
      </vt:variant>
      <vt:variant>
        <vt:i4>0</vt:i4>
      </vt:variant>
      <vt:variant>
        <vt:i4>5</vt:i4>
      </vt:variant>
      <vt:variant>
        <vt:lpwstr/>
      </vt:variant>
      <vt:variant>
        <vt:lpwstr>_Toc347395760</vt:lpwstr>
      </vt:variant>
      <vt:variant>
        <vt:i4>1048634</vt:i4>
      </vt:variant>
      <vt:variant>
        <vt:i4>236</vt:i4>
      </vt:variant>
      <vt:variant>
        <vt:i4>0</vt:i4>
      </vt:variant>
      <vt:variant>
        <vt:i4>5</vt:i4>
      </vt:variant>
      <vt:variant>
        <vt:lpwstr/>
      </vt:variant>
      <vt:variant>
        <vt:lpwstr>_Toc347395759</vt:lpwstr>
      </vt:variant>
      <vt:variant>
        <vt:i4>1048634</vt:i4>
      </vt:variant>
      <vt:variant>
        <vt:i4>230</vt:i4>
      </vt:variant>
      <vt:variant>
        <vt:i4>0</vt:i4>
      </vt:variant>
      <vt:variant>
        <vt:i4>5</vt:i4>
      </vt:variant>
      <vt:variant>
        <vt:lpwstr/>
      </vt:variant>
      <vt:variant>
        <vt:lpwstr>_Toc347395758</vt:lpwstr>
      </vt:variant>
      <vt:variant>
        <vt:i4>1048634</vt:i4>
      </vt:variant>
      <vt:variant>
        <vt:i4>224</vt:i4>
      </vt:variant>
      <vt:variant>
        <vt:i4>0</vt:i4>
      </vt:variant>
      <vt:variant>
        <vt:i4>5</vt:i4>
      </vt:variant>
      <vt:variant>
        <vt:lpwstr/>
      </vt:variant>
      <vt:variant>
        <vt:lpwstr>_Toc347395757</vt:lpwstr>
      </vt:variant>
      <vt:variant>
        <vt:i4>1048634</vt:i4>
      </vt:variant>
      <vt:variant>
        <vt:i4>218</vt:i4>
      </vt:variant>
      <vt:variant>
        <vt:i4>0</vt:i4>
      </vt:variant>
      <vt:variant>
        <vt:i4>5</vt:i4>
      </vt:variant>
      <vt:variant>
        <vt:lpwstr/>
      </vt:variant>
      <vt:variant>
        <vt:lpwstr>_Toc347395756</vt:lpwstr>
      </vt:variant>
      <vt:variant>
        <vt:i4>1048634</vt:i4>
      </vt:variant>
      <vt:variant>
        <vt:i4>212</vt:i4>
      </vt:variant>
      <vt:variant>
        <vt:i4>0</vt:i4>
      </vt:variant>
      <vt:variant>
        <vt:i4>5</vt:i4>
      </vt:variant>
      <vt:variant>
        <vt:lpwstr/>
      </vt:variant>
      <vt:variant>
        <vt:lpwstr>_Toc347395755</vt:lpwstr>
      </vt:variant>
      <vt:variant>
        <vt:i4>1048634</vt:i4>
      </vt:variant>
      <vt:variant>
        <vt:i4>206</vt:i4>
      </vt:variant>
      <vt:variant>
        <vt:i4>0</vt:i4>
      </vt:variant>
      <vt:variant>
        <vt:i4>5</vt:i4>
      </vt:variant>
      <vt:variant>
        <vt:lpwstr/>
      </vt:variant>
      <vt:variant>
        <vt:lpwstr>_Toc347395754</vt:lpwstr>
      </vt:variant>
      <vt:variant>
        <vt:i4>1048634</vt:i4>
      </vt:variant>
      <vt:variant>
        <vt:i4>200</vt:i4>
      </vt:variant>
      <vt:variant>
        <vt:i4>0</vt:i4>
      </vt:variant>
      <vt:variant>
        <vt:i4>5</vt:i4>
      </vt:variant>
      <vt:variant>
        <vt:lpwstr/>
      </vt:variant>
      <vt:variant>
        <vt:lpwstr>_Toc347395753</vt:lpwstr>
      </vt:variant>
      <vt:variant>
        <vt:i4>1048634</vt:i4>
      </vt:variant>
      <vt:variant>
        <vt:i4>194</vt:i4>
      </vt:variant>
      <vt:variant>
        <vt:i4>0</vt:i4>
      </vt:variant>
      <vt:variant>
        <vt:i4>5</vt:i4>
      </vt:variant>
      <vt:variant>
        <vt:lpwstr/>
      </vt:variant>
      <vt:variant>
        <vt:lpwstr>_Toc347395752</vt:lpwstr>
      </vt:variant>
      <vt:variant>
        <vt:i4>1048634</vt:i4>
      </vt:variant>
      <vt:variant>
        <vt:i4>188</vt:i4>
      </vt:variant>
      <vt:variant>
        <vt:i4>0</vt:i4>
      </vt:variant>
      <vt:variant>
        <vt:i4>5</vt:i4>
      </vt:variant>
      <vt:variant>
        <vt:lpwstr/>
      </vt:variant>
      <vt:variant>
        <vt:lpwstr>_Toc347395751</vt:lpwstr>
      </vt:variant>
      <vt:variant>
        <vt:i4>1048634</vt:i4>
      </vt:variant>
      <vt:variant>
        <vt:i4>182</vt:i4>
      </vt:variant>
      <vt:variant>
        <vt:i4>0</vt:i4>
      </vt:variant>
      <vt:variant>
        <vt:i4>5</vt:i4>
      </vt:variant>
      <vt:variant>
        <vt:lpwstr/>
      </vt:variant>
      <vt:variant>
        <vt:lpwstr>_Toc347395750</vt:lpwstr>
      </vt:variant>
      <vt:variant>
        <vt:i4>1114170</vt:i4>
      </vt:variant>
      <vt:variant>
        <vt:i4>176</vt:i4>
      </vt:variant>
      <vt:variant>
        <vt:i4>0</vt:i4>
      </vt:variant>
      <vt:variant>
        <vt:i4>5</vt:i4>
      </vt:variant>
      <vt:variant>
        <vt:lpwstr/>
      </vt:variant>
      <vt:variant>
        <vt:lpwstr>_Toc347395749</vt:lpwstr>
      </vt:variant>
      <vt:variant>
        <vt:i4>1114170</vt:i4>
      </vt:variant>
      <vt:variant>
        <vt:i4>170</vt:i4>
      </vt:variant>
      <vt:variant>
        <vt:i4>0</vt:i4>
      </vt:variant>
      <vt:variant>
        <vt:i4>5</vt:i4>
      </vt:variant>
      <vt:variant>
        <vt:lpwstr/>
      </vt:variant>
      <vt:variant>
        <vt:lpwstr>_Toc347395748</vt:lpwstr>
      </vt:variant>
      <vt:variant>
        <vt:i4>1114170</vt:i4>
      </vt:variant>
      <vt:variant>
        <vt:i4>164</vt:i4>
      </vt:variant>
      <vt:variant>
        <vt:i4>0</vt:i4>
      </vt:variant>
      <vt:variant>
        <vt:i4>5</vt:i4>
      </vt:variant>
      <vt:variant>
        <vt:lpwstr/>
      </vt:variant>
      <vt:variant>
        <vt:lpwstr>_Toc347395747</vt:lpwstr>
      </vt:variant>
      <vt:variant>
        <vt:i4>1114170</vt:i4>
      </vt:variant>
      <vt:variant>
        <vt:i4>158</vt:i4>
      </vt:variant>
      <vt:variant>
        <vt:i4>0</vt:i4>
      </vt:variant>
      <vt:variant>
        <vt:i4>5</vt:i4>
      </vt:variant>
      <vt:variant>
        <vt:lpwstr/>
      </vt:variant>
      <vt:variant>
        <vt:lpwstr>_Toc347395746</vt:lpwstr>
      </vt:variant>
      <vt:variant>
        <vt:i4>1114170</vt:i4>
      </vt:variant>
      <vt:variant>
        <vt:i4>152</vt:i4>
      </vt:variant>
      <vt:variant>
        <vt:i4>0</vt:i4>
      </vt:variant>
      <vt:variant>
        <vt:i4>5</vt:i4>
      </vt:variant>
      <vt:variant>
        <vt:lpwstr/>
      </vt:variant>
      <vt:variant>
        <vt:lpwstr>_Toc347395745</vt:lpwstr>
      </vt:variant>
      <vt:variant>
        <vt:i4>1114170</vt:i4>
      </vt:variant>
      <vt:variant>
        <vt:i4>146</vt:i4>
      </vt:variant>
      <vt:variant>
        <vt:i4>0</vt:i4>
      </vt:variant>
      <vt:variant>
        <vt:i4>5</vt:i4>
      </vt:variant>
      <vt:variant>
        <vt:lpwstr/>
      </vt:variant>
      <vt:variant>
        <vt:lpwstr>_Toc347395744</vt:lpwstr>
      </vt:variant>
      <vt:variant>
        <vt:i4>1114170</vt:i4>
      </vt:variant>
      <vt:variant>
        <vt:i4>140</vt:i4>
      </vt:variant>
      <vt:variant>
        <vt:i4>0</vt:i4>
      </vt:variant>
      <vt:variant>
        <vt:i4>5</vt:i4>
      </vt:variant>
      <vt:variant>
        <vt:lpwstr/>
      </vt:variant>
      <vt:variant>
        <vt:lpwstr>_Toc347395743</vt:lpwstr>
      </vt:variant>
      <vt:variant>
        <vt:i4>1114170</vt:i4>
      </vt:variant>
      <vt:variant>
        <vt:i4>134</vt:i4>
      </vt:variant>
      <vt:variant>
        <vt:i4>0</vt:i4>
      </vt:variant>
      <vt:variant>
        <vt:i4>5</vt:i4>
      </vt:variant>
      <vt:variant>
        <vt:lpwstr/>
      </vt:variant>
      <vt:variant>
        <vt:lpwstr>_Toc347395742</vt:lpwstr>
      </vt:variant>
      <vt:variant>
        <vt:i4>1114170</vt:i4>
      </vt:variant>
      <vt:variant>
        <vt:i4>128</vt:i4>
      </vt:variant>
      <vt:variant>
        <vt:i4>0</vt:i4>
      </vt:variant>
      <vt:variant>
        <vt:i4>5</vt:i4>
      </vt:variant>
      <vt:variant>
        <vt:lpwstr/>
      </vt:variant>
      <vt:variant>
        <vt:lpwstr>_Toc347395741</vt:lpwstr>
      </vt:variant>
      <vt:variant>
        <vt:i4>1114170</vt:i4>
      </vt:variant>
      <vt:variant>
        <vt:i4>122</vt:i4>
      </vt:variant>
      <vt:variant>
        <vt:i4>0</vt:i4>
      </vt:variant>
      <vt:variant>
        <vt:i4>5</vt:i4>
      </vt:variant>
      <vt:variant>
        <vt:lpwstr/>
      </vt:variant>
      <vt:variant>
        <vt:lpwstr>_Toc347395740</vt:lpwstr>
      </vt:variant>
      <vt:variant>
        <vt:i4>1441850</vt:i4>
      </vt:variant>
      <vt:variant>
        <vt:i4>116</vt:i4>
      </vt:variant>
      <vt:variant>
        <vt:i4>0</vt:i4>
      </vt:variant>
      <vt:variant>
        <vt:i4>5</vt:i4>
      </vt:variant>
      <vt:variant>
        <vt:lpwstr/>
      </vt:variant>
      <vt:variant>
        <vt:lpwstr>_Toc347395739</vt:lpwstr>
      </vt:variant>
      <vt:variant>
        <vt:i4>1441850</vt:i4>
      </vt:variant>
      <vt:variant>
        <vt:i4>110</vt:i4>
      </vt:variant>
      <vt:variant>
        <vt:i4>0</vt:i4>
      </vt:variant>
      <vt:variant>
        <vt:i4>5</vt:i4>
      </vt:variant>
      <vt:variant>
        <vt:lpwstr/>
      </vt:variant>
      <vt:variant>
        <vt:lpwstr>_Toc347395738</vt:lpwstr>
      </vt:variant>
      <vt:variant>
        <vt:i4>1441850</vt:i4>
      </vt:variant>
      <vt:variant>
        <vt:i4>104</vt:i4>
      </vt:variant>
      <vt:variant>
        <vt:i4>0</vt:i4>
      </vt:variant>
      <vt:variant>
        <vt:i4>5</vt:i4>
      </vt:variant>
      <vt:variant>
        <vt:lpwstr/>
      </vt:variant>
      <vt:variant>
        <vt:lpwstr>_Toc347395737</vt:lpwstr>
      </vt:variant>
      <vt:variant>
        <vt:i4>1441850</vt:i4>
      </vt:variant>
      <vt:variant>
        <vt:i4>98</vt:i4>
      </vt:variant>
      <vt:variant>
        <vt:i4>0</vt:i4>
      </vt:variant>
      <vt:variant>
        <vt:i4>5</vt:i4>
      </vt:variant>
      <vt:variant>
        <vt:lpwstr/>
      </vt:variant>
      <vt:variant>
        <vt:lpwstr>_Toc347395736</vt:lpwstr>
      </vt:variant>
      <vt:variant>
        <vt:i4>1441850</vt:i4>
      </vt:variant>
      <vt:variant>
        <vt:i4>92</vt:i4>
      </vt:variant>
      <vt:variant>
        <vt:i4>0</vt:i4>
      </vt:variant>
      <vt:variant>
        <vt:i4>5</vt:i4>
      </vt:variant>
      <vt:variant>
        <vt:lpwstr/>
      </vt:variant>
      <vt:variant>
        <vt:lpwstr>_Toc347395735</vt:lpwstr>
      </vt:variant>
      <vt:variant>
        <vt:i4>1441850</vt:i4>
      </vt:variant>
      <vt:variant>
        <vt:i4>86</vt:i4>
      </vt:variant>
      <vt:variant>
        <vt:i4>0</vt:i4>
      </vt:variant>
      <vt:variant>
        <vt:i4>5</vt:i4>
      </vt:variant>
      <vt:variant>
        <vt:lpwstr/>
      </vt:variant>
      <vt:variant>
        <vt:lpwstr>_Toc347395734</vt:lpwstr>
      </vt:variant>
      <vt:variant>
        <vt:i4>1441850</vt:i4>
      </vt:variant>
      <vt:variant>
        <vt:i4>80</vt:i4>
      </vt:variant>
      <vt:variant>
        <vt:i4>0</vt:i4>
      </vt:variant>
      <vt:variant>
        <vt:i4>5</vt:i4>
      </vt:variant>
      <vt:variant>
        <vt:lpwstr/>
      </vt:variant>
      <vt:variant>
        <vt:lpwstr>_Toc347395733</vt:lpwstr>
      </vt:variant>
      <vt:variant>
        <vt:i4>1441850</vt:i4>
      </vt:variant>
      <vt:variant>
        <vt:i4>74</vt:i4>
      </vt:variant>
      <vt:variant>
        <vt:i4>0</vt:i4>
      </vt:variant>
      <vt:variant>
        <vt:i4>5</vt:i4>
      </vt:variant>
      <vt:variant>
        <vt:lpwstr/>
      </vt:variant>
      <vt:variant>
        <vt:lpwstr>_Toc347395732</vt:lpwstr>
      </vt:variant>
      <vt:variant>
        <vt:i4>1441850</vt:i4>
      </vt:variant>
      <vt:variant>
        <vt:i4>68</vt:i4>
      </vt:variant>
      <vt:variant>
        <vt:i4>0</vt:i4>
      </vt:variant>
      <vt:variant>
        <vt:i4>5</vt:i4>
      </vt:variant>
      <vt:variant>
        <vt:lpwstr/>
      </vt:variant>
      <vt:variant>
        <vt:lpwstr>_Toc347395731</vt:lpwstr>
      </vt:variant>
      <vt:variant>
        <vt:i4>1441850</vt:i4>
      </vt:variant>
      <vt:variant>
        <vt:i4>62</vt:i4>
      </vt:variant>
      <vt:variant>
        <vt:i4>0</vt:i4>
      </vt:variant>
      <vt:variant>
        <vt:i4>5</vt:i4>
      </vt:variant>
      <vt:variant>
        <vt:lpwstr/>
      </vt:variant>
      <vt:variant>
        <vt:lpwstr>_Toc347395730</vt:lpwstr>
      </vt:variant>
      <vt:variant>
        <vt:i4>1507386</vt:i4>
      </vt:variant>
      <vt:variant>
        <vt:i4>56</vt:i4>
      </vt:variant>
      <vt:variant>
        <vt:i4>0</vt:i4>
      </vt:variant>
      <vt:variant>
        <vt:i4>5</vt:i4>
      </vt:variant>
      <vt:variant>
        <vt:lpwstr/>
      </vt:variant>
      <vt:variant>
        <vt:lpwstr>_Toc347395729</vt:lpwstr>
      </vt:variant>
      <vt:variant>
        <vt:i4>1507386</vt:i4>
      </vt:variant>
      <vt:variant>
        <vt:i4>50</vt:i4>
      </vt:variant>
      <vt:variant>
        <vt:i4>0</vt:i4>
      </vt:variant>
      <vt:variant>
        <vt:i4>5</vt:i4>
      </vt:variant>
      <vt:variant>
        <vt:lpwstr/>
      </vt:variant>
      <vt:variant>
        <vt:lpwstr>_Toc347395728</vt:lpwstr>
      </vt:variant>
      <vt:variant>
        <vt:i4>1507386</vt:i4>
      </vt:variant>
      <vt:variant>
        <vt:i4>44</vt:i4>
      </vt:variant>
      <vt:variant>
        <vt:i4>0</vt:i4>
      </vt:variant>
      <vt:variant>
        <vt:i4>5</vt:i4>
      </vt:variant>
      <vt:variant>
        <vt:lpwstr/>
      </vt:variant>
      <vt:variant>
        <vt:lpwstr>_Toc347395727</vt:lpwstr>
      </vt:variant>
      <vt:variant>
        <vt:i4>1507386</vt:i4>
      </vt:variant>
      <vt:variant>
        <vt:i4>38</vt:i4>
      </vt:variant>
      <vt:variant>
        <vt:i4>0</vt:i4>
      </vt:variant>
      <vt:variant>
        <vt:i4>5</vt:i4>
      </vt:variant>
      <vt:variant>
        <vt:lpwstr/>
      </vt:variant>
      <vt:variant>
        <vt:lpwstr>_Toc347395726</vt:lpwstr>
      </vt:variant>
      <vt:variant>
        <vt:i4>1507386</vt:i4>
      </vt:variant>
      <vt:variant>
        <vt:i4>32</vt:i4>
      </vt:variant>
      <vt:variant>
        <vt:i4>0</vt:i4>
      </vt:variant>
      <vt:variant>
        <vt:i4>5</vt:i4>
      </vt:variant>
      <vt:variant>
        <vt:lpwstr/>
      </vt:variant>
      <vt:variant>
        <vt:lpwstr>_Toc347395725</vt:lpwstr>
      </vt:variant>
      <vt:variant>
        <vt:i4>1507386</vt:i4>
      </vt:variant>
      <vt:variant>
        <vt:i4>26</vt:i4>
      </vt:variant>
      <vt:variant>
        <vt:i4>0</vt:i4>
      </vt:variant>
      <vt:variant>
        <vt:i4>5</vt:i4>
      </vt:variant>
      <vt:variant>
        <vt:lpwstr/>
      </vt:variant>
      <vt:variant>
        <vt:lpwstr>_Toc347395724</vt:lpwstr>
      </vt:variant>
      <vt:variant>
        <vt:i4>1507386</vt:i4>
      </vt:variant>
      <vt:variant>
        <vt:i4>20</vt:i4>
      </vt:variant>
      <vt:variant>
        <vt:i4>0</vt:i4>
      </vt:variant>
      <vt:variant>
        <vt:i4>5</vt:i4>
      </vt:variant>
      <vt:variant>
        <vt:lpwstr/>
      </vt:variant>
      <vt:variant>
        <vt:lpwstr>_Toc347395721</vt:lpwstr>
      </vt:variant>
      <vt:variant>
        <vt:i4>1507386</vt:i4>
      </vt:variant>
      <vt:variant>
        <vt:i4>14</vt:i4>
      </vt:variant>
      <vt:variant>
        <vt:i4>0</vt:i4>
      </vt:variant>
      <vt:variant>
        <vt:i4>5</vt:i4>
      </vt:variant>
      <vt:variant>
        <vt:lpwstr/>
      </vt:variant>
      <vt:variant>
        <vt:lpwstr>_Toc347395720</vt:lpwstr>
      </vt:variant>
      <vt:variant>
        <vt:i4>1310778</vt:i4>
      </vt:variant>
      <vt:variant>
        <vt:i4>8</vt:i4>
      </vt:variant>
      <vt:variant>
        <vt:i4>0</vt:i4>
      </vt:variant>
      <vt:variant>
        <vt:i4>5</vt:i4>
      </vt:variant>
      <vt:variant>
        <vt:lpwstr/>
      </vt:variant>
      <vt:variant>
        <vt:lpwstr>_Toc347395719</vt:lpwstr>
      </vt:variant>
      <vt:variant>
        <vt:i4>1310778</vt:i4>
      </vt:variant>
      <vt:variant>
        <vt:i4>2</vt:i4>
      </vt:variant>
      <vt:variant>
        <vt:i4>0</vt:i4>
      </vt:variant>
      <vt:variant>
        <vt:i4>5</vt:i4>
      </vt:variant>
      <vt:variant>
        <vt:lpwstr/>
      </vt:variant>
      <vt:variant>
        <vt:lpwstr>_Toc347395718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d’évaluation de la procédure de demande de règlement d’un conflit de compétence entre des CPAS, en application de l’ar</dc:title>
  <dc:creator>PHAN Thuy</dc:creator>
  <cp:lastModifiedBy>Ameye Mattijs</cp:lastModifiedBy>
  <cp:revision>3</cp:revision>
  <cp:lastPrinted>2018-04-24T09:05:00Z</cp:lastPrinted>
  <dcterms:created xsi:type="dcterms:W3CDTF">2018-06-15T07:33:00Z</dcterms:created>
  <dcterms:modified xsi:type="dcterms:W3CDTF">2018-06-15T07:33:00Z</dcterms:modified>
</cp:coreProperties>
</file>