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EA81" w14:textId="1DE20F95" w:rsidR="00362012" w:rsidRDefault="002D75F2">
      <w:pPr>
        <w:rPr>
          <w:b/>
          <w:bCs/>
          <w:sz w:val="28"/>
          <w:szCs w:val="28"/>
        </w:rPr>
      </w:pPr>
      <w:r>
        <w:rPr>
          <w:b/>
          <w:bCs/>
          <w:sz w:val="28"/>
          <w:szCs w:val="28"/>
        </w:rPr>
        <w:t>TH</w:t>
      </w:r>
      <w:r w:rsidR="007F691A">
        <w:rPr>
          <w:b/>
          <w:bCs/>
          <w:sz w:val="28"/>
          <w:szCs w:val="28"/>
        </w:rPr>
        <w:t>EME</w:t>
      </w:r>
      <w:r>
        <w:rPr>
          <w:b/>
          <w:bCs/>
          <w:sz w:val="28"/>
          <w:szCs w:val="28"/>
        </w:rPr>
        <w:t xml:space="preserve">: </w:t>
      </w:r>
      <w:r w:rsidR="00597E69">
        <w:rPr>
          <w:b/>
          <w:bCs/>
          <w:sz w:val="28"/>
          <w:szCs w:val="28"/>
        </w:rPr>
        <w:t>9</w:t>
      </w:r>
      <w:bookmarkStart w:id="0" w:name="_GoBack"/>
      <w:bookmarkEnd w:id="0"/>
      <w:r w:rsidR="00597E69">
        <w:rPr>
          <w:b/>
          <w:bCs/>
          <w:sz w:val="28"/>
          <w:szCs w:val="28"/>
        </w:rPr>
        <w:t xml:space="preserve"> </w:t>
      </w:r>
      <w:r w:rsidR="00597E69" w:rsidRPr="002E329C">
        <w:rPr>
          <w:rFonts w:ascii="Verdana" w:eastAsia="Times New Roman" w:hAnsi="Verdana"/>
          <w:b/>
          <w:bCs/>
          <w:sz w:val="20"/>
          <w:szCs w:val="20"/>
          <w:lang w:val="de-DE"/>
        </w:rPr>
        <w:t xml:space="preserve">Energie – </w:t>
      </w:r>
      <w:proofErr w:type="spellStart"/>
      <w:r w:rsidR="00597E69" w:rsidRPr="002E329C">
        <w:rPr>
          <w:rFonts w:ascii="Verdana" w:eastAsia="Times New Roman" w:hAnsi="Verdana"/>
          <w:b/>
          <w:bCs/>
          <w:sz w:val="20"/>
          <w:szCs w:val="20"/>
          <w:lang w:val="de-DE"/>
        </w:rPr>
        <w:t>Fondsen</w:t>
      </w:r>
      <w:proofErr w:type="spellEnd"/>
      <w:r w:rsidR="00597E69" w:rsidRPr="002E329C">
        <w:rPr>
          <w:rFonts w:ascii="Verdana" w:eastAsia="Times New Roman" w:hAnsi="Verdana"/>
          <w:b/>
          <w:bCs/>
          <w:sz w:val="20"/>
          <w:szCs w:val="20"/>
          <w:lang w:val="de-DE"/>
        </w:rPr>
        <w:t xml:space="preserve">  </w:t>
      </w:r>
    </w:p>
    <w:p w14:paraId="7F3447ED"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2153E84F"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B852F9"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F44948" w14:paraId="6F2DA276" w14:textId="77777777" w:rsidTr="003D4E6D">
        <w:tc>
          <w:tcPr>
            <w:tcW w:w="9495" w:type="dxa"/>
            <w:tcBorders>
              <w:top w:val="single" w:sz="4" w:space="0" w:color="auto"/>
              <w:left w:val="single" w:sz="4" w:space="0" w:color="auto"/>
              <w:bottom w:val="single" w:sz="4" w:space="0" w:color="auto"/>
              <w:right w:val="single" w:sz="4" w:space="0" w:color="auto"/>
            </w:tcBorders>
          </w:tcPr>
          <w:p w14:paraId="2B03EDFA"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50CD4A0A" w14:textId="77777777" w:rsidR="00362012" w:rsidRPr="003D4E6D" w:rsidRDefault="00362012" w:rsidP="00362012">
            <w:pPr>
              <w:jc w:val="both"/>
              <w:rPr>
                <w:sz w:val="24"/>
                <w:szCs w:val="24"/>
                <w:lang w:val="nl-NL"/>
              </w:rPr>
            </w:pPr>
          </w:p>
          <w:p w14:paraId="6E9E40A4" w14:textId="77777777" w:rsidR="00852653" w:rsidRPr="003D4E6D" w:rsidRDefault="00852653" w:rsidP="00362012">
            <w:pPr>
              <w:jc w:val="both"/>
              <w:rPr>
                <w:sz w:val="24"/>
                <w:szCs w:val="24"/>
                <w:lang w:val="nl-BE"/>
              </w:rPr>
            </w:pPr>
          </w:p>
          <w:p w14:paraId="4822B9B5" w14:textId="77777777" w:rsidR="00362012" w:rsidRPr="003D4E6D" w:rsidRDefault="003D4E6D" w:rsidP="00362012">
            <w:pPr>
              <w:jc w:val="both"/>
              <w:rPr>
                <w:sz w:val="24"/>
                <w:szCs w:val="24"/>
                <w:lang w:val="nl-NL"/>
              </w:rPr>
            </w:pPr>
            <w:r w:rsidRPr="003D4E6D">
              <w:rPr>
                <w:b/>
                <w:bCs/>
                <w:sz w:val="24"/>
                <w:szCs w:val="24"/>
                <w:lang w:val="nl-NL"/>
              </w:rPr>
              <w:t xml:space="preserve">1.2 </w:t>
            </w:r>
            <w:proofErr w:type="spellStart"/>
            <w:r w:rsidR="00C92509">
              <w:rPr>
                <w:b/>
                <w:bCs/>
                <w:sz w:val="24"/>
                <w:szCs w:val="24"/>
                <w:lang w:val="nl-NL"/>
              </w:rPr>
              <w:t>Contenu</w:t>
            </w:r>
            <w:proofErr w:type="spellEnd"/>
            <w:r w:rsidR="00C92509">
              <w:rPr>
                <w:b/>
                <w:bCs/>
                <w:sz w:val="24"/>
                <w:szCs w:val="24"/>
                <w:lang w:val="nl-NL"/>
              </w:rPr>
              <w:t xml:space="preserve"> de la </w:t>
            </w:r>
            <w:proofErr w:type="spellStart"/>
            <w:r w:rsidR="00C92509">
              <w:rPr>
                <w:b/>
                <w:bCs/>
                <w:sz w:val="24"/>
                <w:szCs w:val="24"/>
                <w:lang w:val="nl-NL"/>
              </w:rPr>
              <w:t>mesure</w:t>
            </w:r>
            <w:proofErr w:type="spellEnd"/>
          </w:p>
          <w:p w14:paraId="773B1E68" w14:textId="77777777" w:rsidR="00AE25AC" w:rsidRDefault="00AE25AC" w:rsidP="00BB310D">
            <w:pPr>
              <w:jc w:val="both"/>
              <w:rPr>
                <w:lang w:val="nl-NL"/>
              </w:rPr>
            </w:pPr>
          </w:p>
          <w:p w14:paraId="320A6AD3" w14:textId="77777777" w:rsidR="00597E69" w:rsidRPr="00597E69" w:rsidRDefault="00597E69" w:rsidP="00597E69">
            <w:pPr>
              <w:rPr>
                <w:rFonts w:ascii="Verdana" w:eastAsia="Times New Roman" w:hAnsi="Verdana"/>
                <w:b/>
                <w:bCs/>
              </w:rPr>
            </w:pPr>
            <w:r w:rsidRPr="00597E69">
              <w:rPr>
                <w:rFonts w:ascii="Verdana" w:eastAsia="Times New Roman" w:hAnsi="Verdana"/>
                <w:u w:val="single"/>
                <w:lang w:val="fr-FR"/>
              </w:rPr>
              <w:t>Traitement des demandes au Fonds social mazout</w:t>
            </w:r>
            <w:r w:rsidRPr="00597E69">
              <w:rPr>
                <w:rFonts w:ascii="Verdana" w:eastAsia="Times New Roman" w:hAnsi="Verdana"/>
                <w:lang w:val="fr-FR"/>
              </w:rPr>
              <w:t xml:space="preserve"> :</w:t>
            </w:r>
          </w:p>
          <w:p w14:paraId="54B101FC" w14:textId="77777777" w:rsidR="00597E69" w:rsidRPr="00597E69" w:rsidRDefault="00597E69" w:rsidP="00597E69">
            <w:pPr>
              <w:pStyle w:val="Lijstalinea"/>
              <w:numPr>
                <w:ilvl w:val="3"/>
                <w:numId w:val="10"/>
              </w:numPr>
              <w:rPr>
                <w:rFonts w:ascii="Verdana" w:eastAsia="Times New Roman" w:hAnsi="Verdana"/>
                <w:b/>
                <w:bCs/>
              </w:rPr>
            </w:pPr>
            <w:r w:rsidRPr="00597E69">
              <w:rPr>
                <w:rFonts w:ascii="Verdana" w:eastAsia="Times New Roman" w:hAnsi="Verdana"/>
                <w:lang w:val="fr-FR"/>
              </w:rPr>
              <w:t>Demande de réactiver la mesure de « force majeure ».</w:t>
            </w:r>
          </w:p>
          <w:p w14:paraId="25A5F884" w14:textId="77777777" w:rsidR="00597E69" w:rsidRPr="00597E69" w:rsidRDefault="00597E69" w:rsidP="00597E69">
            <w:pPr>
              <w:pStyle w:val="Lijstalinea"/>
              <w:numPr>
                <w:ilvl w:val="3"/>
                <w:numId w:val="10"/>
              </w:numPr>
              <w:rPr>
                <w:rFonts w:ascii="Verdana" w:eastAsia="Times New Roman" w:hAnsi="Verdana"/>
                <w:b/>
                <w:bCs/>
              </w:rPr>
            </w:pPr>
            <w:r w:rsidRPr="00597E69">
              <w:rPr>
                <w:rFonts w:ascii="Verdana" w:eastAsia="Times New Roman" w:hAnsi="Verdana"/>
                <w:lang w:val="fr-FR"/>
              </w:rPr>
              <w:t>Dans le cas où les CPAS se réorganisent en maximisant le distanciel, maintenir dans les CPAS une possibilité de procédure non-écrite.</w:t>
            </w:r>
          </w:p>
          <w:p w14:paraId="6B3B9CDE" w14:textId="77777777" w:rsidR="00362012" w:rsidRPr="00597E69" w:rsidRDefault="00362012" w:rsidP="00362012">
            <w:pPr>
              <w:jc w:val="both"/>
            </w:pPr>
          </w:p>
          <w:p w14:paraId="68FDE456" w14:textId="77777777" w:rsidR="00A244D2" w:rsidRPr="00597E69" w:rsidRDefault="00A244D2" w:rsidP="00162057">
            <w:pPr>
              <w:rPr>
                <w:i/>
                <w:iCs/>
                <w:szCs w:val="24"/>
              </w:rPr>
            </w:pPr>
          </w:p>
        </w:tc>
      </w:tr>
      <w:tr w:rsidR="003D4E6D" w:rsidRPr="003D4E6D" w14:paraId="28E6E7C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BE864C"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5C32EE25" w14:textId="77777777" w:rsidR="003D4E6D" w:rsidRPr="00A244D2" w:rsidRDefault="003D4E6D" w:rsidP="003D4E6D">
            <w:pPr>
              <w:ind w:left="720"/>
              <w:contextualSpacing/>
              <w:jc w:val="center"/>
              <w:rPr>
                <w:i/>
              </w:rPr>
            </w:pPr>
          </w:p>
        </w:tc>
      </w:tr>
      <w:tr w:rsidR="003D4E6D" w:rsidRPr="00F44948" w14:paraId="5A0428BD" w14:textId="77777777" w:rsidTr="003D4E6D">
        <w:tc>
          <w:tcPr>
            <w:tcW w:w="9495" w:type="dxa"/>
            <w:tcBorders>
              <w:top w:val="single" w:sz="4" w:space="0" w:color="auto"/>
              <w:left w:val="single" w:sz="4" w:space="0" w:color="auto"/>
              <w:bottom w:val="single" w:sz="4" w:space="0" w:color="auto"/>
              <w:right w:val="single" w:sz="4" w:space="0" w:color="auto"/>
            </w:tcBorders>
          </w:tcPr>
          <w:p w14:paraId="3D57353B"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55A1F425" w14:textId="77777777" w:rsidR="00597E69" w:rsidRDefault="00597E69" w:rsidP="003D4E6D">
            <w:pPr>
              <w:jc w:val="both"/>
              <w:rPr>
                <w:b/>
                <w:bCs/>
                <w:sz w:val="24"/>
                <w:szCs w:val="24"/>
                <w:lang w:val="fr-FR"/>
              </w:rPr>
            </w:pPr>
          </w:p>
          <w:p w14:paraId="412015DE" w14:textId="77777777" w:rsidR="00597E69" w:rsidRPr="00597E69" w:rsidRDefault="00597E69" w:rsidP="00597E69">
            <w:pPr>
              <w:pStyle w:val="Normaalweb"/>
              <w:shd w:val="clear" w:color="auto" w:fill="FFFFFF"/>
              <w:spacing w:before="225" w:beforeAutospacing="0" w:after="225" w:afterAutospacing="0"/>
              <w:rPr>
                <w:rFonts w:ascii="Verdana" w:hAnsi="Verdana" w:cs="Helvetica"/>
                <w:color w:val="000000" w:themeColor="text1"/>
              </w:rPr>
            </w:pPr>
            <w:r w:rsidRPr="00597E69">
              <w:rPr>
                <w:rFonts w:ascii="Verdana" w:hAnsi="Verdana" w:cs="Helvetica"/>
                <w:color w:val="000000" w:themeColor="text1"/>
              </w:rPr>
              <w:t>Le FAQ suivant est disponible sur notre site web</w:t>
            </w:r>
          </w:p>
          <w:p w14:paraId="06F3CB1B" w14:textId="77777777" w:rsidR="00597E69" w:rsidRPr="00597E69" w:rsidRDefault="00597E69" w:rsidP="00597E69">
            <w:pPr>
              <w:pStyle w:val="Normaalweb"/>
              <w:shd w:val="clear" w:color="auto" w:fill="FFFFFF"/>
              <w:spacing w:before="225" w:beforeAutospacing="0" w:after="225" w:afterAutospacing="0"/>
              <w:rPr>
                <w:rFonts w:ascii="Verdana" w:hAnsi="Verdana" w:cs="Helvetica"/>
                <w:color w:val="000000" w:themeColor="text1"/>
              </w:rPr>
            </w:pPr>
            <w:r w:rsidRPr="00597E69">
              <w:rPr>
                <w:rFonts w:ascii="Verdana" w:hAnsi="Verdana" w:cs="Helvetica"/>
                <w:color w:val="000000" w:themeColor="text1"/>
              </w:rPr>
              <w:t xml:space="preserve">En ce qui concerne l’allocation de chauffage, il convient de continuer à </w:t>
            </w:r>
            <w:r w:rsidRPr="00597E69">
              <w:rPr>
                <w:rFonts w:ascii="Verdana" w:hAnsi="Verdana" w:cs="Helvetica"/>
                <w:b/>
                <w:bCs/>
                <w:color w:val="000000" w:themeColor="text1"/>
              </w:rPr>
              <w:t>privilégier la procédure écrite ou électronique.</w:t>
            </w:r>
            <w:r w:rsidRPr="00597E69">
              <w:rPr>
                <w:rFonts w:ascii="Verdana" w:hAnsi="Verdana" w:cs="Helvetica"/>
                <w:color w:val="000000" w:themeColor="text1"/>
              </w:rPr>
              <w:t xml:space="preserve"> Les personnes peuvent télécharger le formulaire de demande sur le site internet et faire une copie ou photo de leur bon de livraison et envoyer le tout par mail ou toute autre voie électronique au CPAS. Les personnes peuvent également mettre le tout dans une enveloppe et la déposer dans la boite aux lettres du CPAS.</w:t>
            </w:r>
          </w:p>
          <w:p w14:paraId="51C37C09" w14:textId="77777777" w:rsidR="00597E69" w:rsidRPr="00597E69" w:rsidRDefault="00597E69" w:rsidP="00597E69">
            <w:pPr>
              <w:pStyle w:val="Normaalweb"/>
              <w:shd w:val="clear" w:color="auto" w:fill="FFFFFF"/>
              <w:spacing w:before="225" w:beforeAutospacing="0" w:after="225" w:afterAutospacing="0"/>
              <w:rPr>
                <w:rFonts w:ascii="Verdana" w:hAnsi="Verdana" w:cs="Helvetica"/>
                <w:color w:val="000000" w:themeColor="text1"/>
              </w:rPr>
            </w:pPr>
            <w:r w:rsidRPr="00597E69">
              <w:rPr>
                <w:rFonts w:ascii="Verdana" w:hAnsi="Verdana" w:cs="Helvetica"/>
                <w:color w:val="000000" w:themeColor="text1"/>
              </w:rPr>
              <w:t> Pour l’allocation de chauffage, les CPAS disposent des flux de la BCSS qui leur permettent de traiter l’ensemble de la demande, y compris l’analyse des ressources des cohabitants, sans voir la personne.</w:t>
            </w:r>
          </w:p>
          <w:p w14:paraId="537A4C12" w14:textId="77777777" w:rsidR="00597E69" w:rsidRPr="00597E69" w:rsidRDefault="00597E69" w:rsidP="00597E69">
            <w:pPr>
              <w:pStyle w:val="Normaalweb"/>
              <w:shd w:val="clear" w:color="auto" w:fill="FFFFFF"/>
              <w:spacing w:before="225" w:beforeAutospacing="0" w:after="225" w:afterAutospacing="0"/>
              <w:rPr>
                <w:rFonts w:ascii="Verdana" w:hAnsi="Verdana" w:cs="Helvetica"/>
                <w:color w:val="000000" w:themeColor="text1"/>
              </w:rPr>
            </w:pPr>
            <w:r w:rsidRPr="00597E69">
              <w:rPr>
                <w:rFonts w:ascii="Verdana" w:hAnsi="Verdana" w:cs="Helvetica"/>
                <w:color w:val="000000" w:themeColor="text1"/>
              </w:rPr>
              <w:t xml:space="preserve"> En ce qui concerne le délai de 60 jours dont la personne dispose pour faire parvenir au CPAS sa demande à compter de la date de livraison, la période actuelle peut être considérée comme </w:t>
            </w:r>
            <w:r w:rsidRPr="00597E69">
              <w:rPr>
                <w:rFonts w:ascii="Verdana" w:hAnsi="Verdana" w:cs="Helvetica"/>
                <w:b/>
                <w:bCs/>
                <w:color w:val="000000" w:themeColor="text1"/>
              </w:rPr>
              <w:t>force majeure</w:t>
            </w:r>
            <w:r w:rsidRPr="00597E69">
              <w:rPr>
                <w:rFonts w:ascii="Verdana" w:hAnsi="Verdana" w:cs="Helvetica"/>
                <w:color w:val="000000" w:themeColor="text1"/>
              </w:rPr>
              <w:t>. En conséquence, quelqu’un qui viendra déposer sa demande après le 15 décembre 2020 alors que la date butoir se situait entre le  02 novembre et le 15 décembre 2020, pourra bénéficier de la force majeure et pourra prétendre à l’allocation de chauffage si les autres conditions sont réunies.</w:t>
            </w:r>
          </w:p>
          <w:p w14:paraId="15C53079" w14:textId="77777777" w:rsidR="003D4E6D" w:rsidRPr="003D4E6D" w:rsidRDefault="003D4E6D" w:rsidP="003D4E6D">
            <w:pPr>
              <w:jc w:val="both"/>
              <w:rPr>
                <w:b/>
                <w:bCs/>
                <w:sz w:val="24"/>
                <w:szCs w:val="24"/>
                <w:lang w:val="fr-FR"/>
              </w:rPr>
            </w:pPr>
          </w:p>
          <w:p w14:paraId="48E154F1" w14:textId="77777777"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07848A3B" w14:textId="77777777" w:rsidR="003D4E6D" w:rsidRPr="00C92509" w:rsidRDefault="003D4E6D" w:rsidP="003D4E6D">
            <w:pPr>
              <w:jc w:val="both"/>
              <w:rPr>
                <w:b/>
                <w:bCs/>
                <w:sz w:val="24"/>
                <w:szCs w:val="24"/>
                <w:lang w:val="fr-FR"/>
              </w:rPr>
            </w:pPr>
          </w:p>
          <w:p w14:paraId="02B7A366" w14:textId="77777777" w:rsidR="003D4E6D" w:rsidRPr="00C92509" w:rsidRDefault="003D4E6D" w:rsidP="003D4E6D">
            <w:pPr>
              <w:jc w:val="both"/>
              <w:rPr>
                <w:i/>
                <w:iCs/>
                <w:sz w:val="24"/>
                <w:szCs w:val="24"/>
                <w:lang w:val="fr-FR"/>
              </w:rPr>
            </w:pPr>
          </w:p>
        </w:tc>
      </w:tr>
      <w:tr w:rsidR="003D4E6D" w:rsidRPr="00A244D2" w14:paraId="6221D85A"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9BCCB3"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3008F167" w14:textId="77777777" w:rsidR="003D4E6D" w:rsidRPr="00A244D2" w:rsidRDefault="003D4E6D" w:rsidP="003D4E6D">
            <w:pPr>
              <w:jc w:val="center"/>
              <w:rPr>
                <w:i/>
                <w:sz w:val="24"/>
                <w:szCs w:val="24"/>
              </w:rPr>
            </w:pPr>
          </w:p>
        </w:tc>
      </w:tr>
      <w:tr w:rsidR="003D4E6D" w:rsidRPr="00F44948" w14:paraId="7BCA782A"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4775F007" w14:textId="77777777" w:rsidR="003D4E6D" w:rsidRDefault="004C19F8" w:rsidP="003D4E6D">
            <w:pPr>
              <w:jc w:val="both"/>
              <w:rPr>
                <w:b/>
                <w:bCs/>
                <w:iCs/>
                <w:sz w:val="24"/>
                <w:szCs w:val="24"/>
                <w:lang w:val="nl-BE"/>
              </w:rPr>
            </w:pPr>
            <w:r w:rsidRPr="004C19F8">
              <w:rPr>
                <w:b/>
                <w:bCs/>
                <w:iCs/>
                <w:sz w:val="24"/>
                <w:szCs w:val="24"/>
                <w:lang w:val="nl-BE"/>
              </w:rPr>
              <w:lastRenderedPageBreak/>
              <w:t>3.1 Impact</w:t>
            </w:r>
          </w:p>
          <w:p w14:paraId="128615A3" w14:textId="77777777" w:rsidR="00597E69" w:rsidRDefault="00597E69" w:rsidP="003D4E6D">
            <w:pPr>
              <w:jc w:val="both"/>
              <w:rPr>
                <w:b/>
                <w:bCs/>
                <w:iCs/>
                <w:sz w:val="24"/>
                <w:szCs w:val="24"/>
                <w:lang w:val="nl-BE"/>
              </w:rPr>
            </w:pPr>
          </w:p>
          <w:p w14:paraId="3CF8C091" w14:textId="77777777" w:rsidR="00597E69" w:rsidRPr="008865C8" w:rsidRDefault="00597E69" w:rsidP="003D4E6D">
            <w:pPr>
              <w:jc w:val="both"/>
              <w:rPr>
                <w:iCs/>
                <w:sz w:val="24"/>
                <w:szCs w:val="24"/>
              </w:rPr>
            </w:pPr>
            <w:r w:rsidRPr="008865C8">
              <w:rPr>
                <w:iCs/>
                <w:sz w:val="24"/>
                <w:szCs w:val="24"/>
              </w:rPr>
              <w:t xml:space="preserve">Faq déjà sur </w:t>
            </w:r>
            <w:proofErr w:type="spellStart"/>
            <w:r w:rsidRPr="008865C8">
              <w:rPr>
                <w:iCs/>
                <w:sz w:val="24"/>
                <w:szCs w:val="24"/>
              </w:rPr>
              <w:t>note</w:t>
            </w:r>
            <w:proofErr w:type="spellEnd"/>
            <w:r w:rsidRPr="008865C8">
              <w:rPr>
                <w:iCs/>
                <w:sz w:val="24"/>
                <w:szCs w:val="24"/>
              </w:rPr>
              <w:t xml:space="preserve"> site web</w:t>
            </w:r>
          </w:p>
          <w:p w14:paraId="2E0056EA" w14:textId="77777777" w:rsidR="00D5178C" w:rsidRPr="00597E69" w:rsidRDefault="00D5178C" w:rsidP="003D4E6D">
            <w:pPr>
              <w:jc w:val="both"/>
              <w:rPr>
                <w:b/>
                <w:bCs/>
                <w:iCs/>
                <w:sz w:val="24"/>
                <w:szCs w:val="24"/>
              </w:rPr>
            </w:pPr>
          </w:p>
          <w:p w14:paraId="5E13197C" w14:textId="77777777" w:rsidR="004C19F8" w:rsidRPr="008865C8" w:rsidRDefault="004C19F8" w:rsidP="003D4E6D">
            <w:pPr>
              <w:jc w:val="both"/>
              <w:rPr>
                <w:b/>
                <w:bCs/>
                <w:iCs/>
                <w:sz w:val="24"/>
                <w:szCs w:val="24"/>
              </w:rPr>
            </w:pPr>
            <w:r w:rsidRPr="008865C8">
              <w:rPr>
                <w:b/>
                <w:bCs/>
                <w:iCs/>
                <w:sz w:val="24"/>
                <w:szCs w:val="24"/>
              </w:rPr>
              <w:t xml:space="preserve">3.2 </w:t>
            </w:r>
            <w:r w:rsidR="00C92509" w:rsidRPr="008865C8">
              <w:rPr>
                <w:b/>
                <w:bCs/>
                <w:iCs/>
                <w:sz w:val="24"/>
                <w:szCs w:val="24"/>
              </w:rPr>
              <w:t>Points d’attention</w:t>
            </w:r>
          </w:p>
          <w:p w14:paraId="1DC59905" w14:textId="77777777" w:rsidR="00D5178C" w:rsidRPr="007A448F" w:rsidRDefault="00D5178C" w:rsidP="003D4E6D">
            <w:pPr>
              <w:jc w:val="both"/>
              <w:rPr>
                <w:b/>
                <w:bCs/>
                <w:iCs/>
                <w:sz w:val="24"/>
                <w:szCs w:val="24"/>
              </w:rPr>
            </w:pPr>
          </w:p>
          <w:p w14:paraId="408C08AB" w14:textId="77777777" w:rsidR="004C19F8" w:rsidRPr="008865C8" w:rsidRDefault="004C19F8" w:rsidP="003D4E6D">
            <w:pPr>
              <w:jc w:val="both"/>
              <w:rPr>
                <w:b/>
                <w:bCs/>
                <w:iCs/>
                <w:sz w:val="24"/>
                <w:szCs w:val="24"/>
              </w:rPr>
            </w:pPr>
            <w:r w:rsidRPr="008865C8">
              <w:rPr>
                <w:b/>
                <w:bCs/>
                <w:iCs/>
                <w:sz w:val="24"/>
                <w:szCs w:val="24"/>
              </w:rPr>
              <w:t xml:space="preserve">3.3 </w:t>
            </w:r>
            <w:r w:rsidR="00C92509" w:rsidRPr="008865C8">
              <w:rPr>
                <w:b/>
                <w:bCs/>
                <w:iCs/>
                <w:sz w:val="24"/>
                <w:szCs w:val="24"/>
              </w:rPr>
              <w:t>Avantages</w:t>
            </w:r>
          </w:p>
          <w:p w14:paraId="57355645" w14:textId="77777777" w:rsidR="00D5178C" w:rsidRPr="008865C8" w:rsidRDefault="00D5178C" w:rsidP="003D4E6D">
            <w:pPr>
              <w:jc w:val="both"/>
              <w:rPr>
                <w:b/>
                <w:bCs/>
                <w:iCs/>
                <w:sz w:val="24"/>
                <w:szCs w:val="24"/>
              </w:rPr>
            </w:pPr>
          </w:p>
          <w:p w14:paraId="343B8037" w14:textId="77777777" w:rsidR="004C19F8" w:rsidRPr="008865C8" w:rsidRDefault="004C19F8" w:rsidP="003D4E6D">
            <w:pPr>
              <w:jc w:val="both"/>
              <w:rPr>
                <w:b/>
                <w:bCs/>
                <w:iCs/>
                <w:sz w:val="24"/>
                <w:szCs w:val="24"/>
              </w:rPr>
            </w:pPr>
            <w:r w:rsidRPr="008865C8">
              <w:rPr>
                <w:b/>
                <w:bCs/>
                <w:iCs/>
                <w:sz w:val="24"/>
                <w:szCs w:val="24"/>
              </w:rPr>
              <w:t xml:space="preserve">3.4 </w:t>
            </w:r>
            <w:r w:rsidR="00C92509" w:rsidRPr="008865C8">
              <w:rPr>
                <w:b/>
                <w:bCs/>
                <w:iCs/>
                <w:sz w:val="24"/>
                <w:szCs w:val="24"/>
              </w:rPr>
              <w:t>Inconvénients</w:t>
            </w:r>
          </w:p>
          <w:p w14:paraId="69B28E14" w14:textId="77777777" w:rsidR="00346633" w:rsidRPr="008865C8" w:rsidRDefault="00346633" w:rsidP="003D4E6D">
            <w:pPr>
              <w:jc w:val="both"/>
              <w:rPr>
                <w:b/>
                <w:bCs/>
                <w:iCs/>
                <w:sz w:val="24"/>
                <w:szCs w:val="24"/>
              </w:rPr>
            </w:pPr>
          </w:p>
          <w:p w14:paraId="020175C7" w14:textId="77777777" w:rsidR="00346633" w:rsidRPr="008865C8" w:rsidRDefault="00346633" w:rsidP="003D4E6D">
            <w:pPr>
              <w:jc w:val="both"/>
              <w:rPr>
                <w:b/>
                <w:bCs/>
                <w:iCs/>
                <w:sz w:val="24"/>
                <w:szCs w:val="24"/>
              </w:rPr>
            </w:pPr>
            <w:r w:rsidRPr="008865C8">
              <w:rPr>
                <w:b/>
                <w:bCs/>
                <w:iCs/>
                <w:sz w:val="24"/>
                <w:szCs w:val="24"/>
              </w:rPr>
              <w:t xml:space="preserve">3.5 </w:t>
            </w:r>
            <w:r w:rsidR="00C92509" w:rsidRPr="008865C8">
              <w:rPr>
                <w:b/>
                <w:bCs/>
                <w:iCs/>
                <w:sz w:val="24"/>
                <w:szCs w:val="24"/>
              </w:rPr>
              <w:t>Base légale</w:t>
            </w:r>
          </w:p>
          <w:p w14:paraId="0D1004F9" w14:textId="77777777" w:rsidR="004C19F8" w:rsidRPr="008865C8" w:rsidRDefault="004C19F8" w:rsidP="003D4E6D">
            <w:pPr>
              <w:jc w:val="both"/>
              <w:rPr>
                <w:iCs/>
                <w:szCs w:val="24"/>
              </w:rPr>
            </w:pPr>
          </w:p>
          <w:p w14:paraId="3A9B8858" w14:textId="77777777" w:rsidR="003D4E6D" w:rsidRPr="008865C8" w:rsidRDefault="003D4E6D" w:rsidP="003D4E6D">
            <w:pPr>
              <w:jc w:val="both"/>
              <w:rPr>
                <w:iCs/>
                <w:szCs w:val="24"/>
              </w:rPr>
            </w:pPr>
          </w:p>
        </w:tc>
      </w:tr>
      <w:tr w:rsidR="00C77A4D" w:rsidRPr="00A244D2" w14:paraId="0A3DBC05"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70DCDE" w14:textId="77777777" w:rsidR="00C77A4D" w:rsidRPr="00C77A4D" w:rsidRDefault="00C92509" w:rsidP="00C77A4D">
            <w:pPr>
              <w:pStyle w:val="Lijstalinea"/>
              <w:numPr>
                <w:ilvl w:val="0"/>
                <w:numId w:val="1"/>
              </w:numPr>
              <w:jc w:val="center"/>
              <w:rPr>
                <w:b/>
                <w:sz w:val="24"/>
                <w:szCs w:val="24"/>
              </w:rPr>
            </w:pPr>
            <w:r>
              <w:rPr>
                <w:b/>
                <w:sz w:val="24"/>
                <w:szCs w:val="24"/>
              </w:rPr>
              <w:t>Groupe cible</w:t>
            </w:r>
          </w:p>
          <w:p w14:paraId="01D60300" w14:textId="77777777" w:rsidR="00C77A4D" w:rsidRPr="00A244D2" w:rsidRDefault="00C77A4D" w:rsidP="00D2572F">
            <w:pPr>
              <w:jc w:val="center"/>
              <w:rPr>
                <w:i/>
                <w:sz w:val="24"/>
                <w:szCs w:val="24"/>
              </w:rPr>
            </w:pPr>
          </w:p>
        </w:tc>
      </w:tr>
      <w:tr w:rsidR="00C77A4D" w:rsidRPr="00F44948" w14:paraId="71092535" w14:textId="77777777" w:rsidTr="00D2572F">
        <w:tc>
          <w:tcPr>
            <w:tcW w:w="9495" w:type="dxa"/>
            <w:tcBorders>
              <w:top w:val="single" w:sz="4" w:space="0" w:color="auto"/>
              <w:left w:val="single" w:sz="4" w:space="0" w:color="auto"/>
              <w:bottom w:val="single" w:sz="4" w:space="0" w:color="auto"/>
              <w:right w:val="single" w:sz="4" w:space="0" w:color="auto"/>
            </w:tcBorders>
          </w:tcPr>
          <w:p w14:paraId="7D62B4F3" w14:textId="77777777" w:rsidR="00C77A4D" w:rsidRDefault="00C77A4D" w:rsidP="00C77A4D">
            <w:pPr>
              <w:rPr>
                <w:sz w:val="24"/>
                <w:szCs w:val="24"/>
                <w:lang w:val="fr-FR"/>
              </w:rPr>
            </w:pPr>
          </w:p>
          <w:p w14:paraId="4EC4DAC2" w14:textId="77777777" w:rsidR="00C77A4D" w:rsidRPr="00833AAD" w:rsidRDefault="00597E69" w:rsidP="00C77A4D">
            <w:pPr>
              <w:rPr>
                <w:sz w:val="24"/>
                <w:szCs w:val="24"/>
                <w:lang w:val="fr-FR"/>
              </w:rPr>
            </w:pPr>
            <w:r>
              <w:rPr>
                <w:sz w:val="24"/>
                <w:szCs w:val="24"/>
                <w:lang w:val="fr-FR"/>
              </w:rPr>
              <w:t>Les bénéficiaires d</w:t>
            </w:r>
            <w:r w:rsidR="007A448F">
              <w:rPr>
                <w:sz w:val="24"/>
                <w:szCs w:val="24"/>
                <w:lang w:val="fr-FR"/>
              </w:rPr>
              <w:t>e l'allocation de chauffage</w:t>
            </w:r>
          </w:p>
        </w:tc>
      </w:tr>
      <w:tr w:rsidR="00C77A4D" w:rsidRPr="00C77A4D" w14:paraId="233FAD95"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E54F34"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261C3590" w14:textId="77777777" w:rsidR="00C77A4D" w:rsidRPr="00A244D2" w:rsidRDefault="00C77A4D" w:rsidP="00D2572F">
            <w:pPr>
              <w:jc w:val="center"/>
              <w:rPr>
                <w:i/>
                <w:sz w:val="24"/>
                <w:szCs w:val="24"/>
              </w:rPr>
            </w:pPr>
          </w:p>
        </w:tc>
      </w:tr>
      <w:tr w:rsidR="00C77A4D" w:rsidRPr="00F44948" w14:paraId="1BF953DE" w14:textId="77777777" w:rsidTr="003D4E6D">
        <w:tc>
          <w:tcPr>
            <w:tcW w:w="9495" w:type="dxa"/>
            <w:tcBorders>
              <w:top w:val="single" w:sz="4" w:space="0" w:color="auto"/>
              <w:left w:val="single" w:sz="4" w:space="0" w:color="auto"/>
              <w:bottom w:val="single" w:sz="4" w:space="0" w:color="auto"/>
              <w:right w:val="single" w:sz="4" w:space="0" w:color="auto"/>
            </w:tcBorders>
          </w:tcPr>
          <w:p w14:paraId="5CF2DF8E"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6C772DCA" w14:textId="77777777" w:rsidR="00FF381F" w:rsidRPr="00C92509" w:rsidRDefault="00FF381F" w:rsidP="00C77A4D">
            <w:pPr>
              <w:rPr>
                <w:b/>
                <w:bCs/>
                <w:sz w:val="24"/>
                <w:szCs w:val="24"/>
                <w:lang w:val="fr-FR"/>
              </w:rPr>
            </w:pPr>
          </w:p>
          <w:p w14:paraId="33248B1B" w14:textId="77777777" w:rsidR="00C77A4D" w:rsidRPr="00C92509" w:rsidRDefault="00C77A4D" w:rsidP="00C77A4D">
            <w:pPr>
              <w:rPr>
                <w:sz w:val="24"/>
                <w:szCs w:val="24"/>
                <w:lang w:val="fr-FR"/>
              </w:rPr>
            </w:pPr>
          </w:p>
        </w:tc>
      </w:tr>
      <w:tr w:rsidR="00C77A4D" w:rsidRPr="00F44948" w14:paraId="443079B4"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1322F2"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597E69" w14:paraId="03C59DC7" w14:textId="77777777" w:rsidTr="003D4E6D">
        <w:tc>
          <w:tcPr>
            <w:tcW w:w="9495" w:type="dxa"/>
            <w:tcBorders>
              <w:top w:val="single" w:sz="4" w:space="0" w:color="auto"/>
              <w:left w:val="single" w:sz="4" w:space="0" w:color="auto"/>
              <w:bottom w:val="single" w:sz="4" w:space="0" w:color="auto"/>
              <w:right w:val="single" w:sz="4" w:space="0" w:color="auto"/>
            </w:tcBorders>
          </w:tcPr>
          <w:p w14:paraId="12B9B56D"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7971D190" w14:textId="77777777" w:rsidR="007A448F" w:rsidRDefault="007A448F" w:rsidP="00C77A4D">
            <w:pPr>
              <w:rPr>
                <w:b/>
                <w:bCs/>
                <w:sz w:val="24"/>
                <w:szCs w:val="24"/>
                <w:lang w:val="fr-FR"/>
              </w:rPr>
            </w:pPr>
          </w:p>
          <w:p w14:paraId="1E817FA5" w14:textId="77777777" w:rsidR="007A448F" w:rsidRPr="007A448F" w:rsidRDefault="007A448F" w:rsidP="00C77A4D">
            <w:pPr>
              <w:rPr>
                <w:sz w:val="24"/>
                <w:szCs w:val="24"/>
                <w:lang w:val="fr-FR"/>
              </w:rPr>
            </w:pPr>
            <w:r w:rsidRPr="007A448F">
              <w:rPr>
                <w:sz w:val="24"/>
                <w:szCs w:val="24"/>
                <w:lang w:val="fr-FR"/>
              </w:rPr>
              <w:t>Application de la force majeure par rapport au délai et maintien d'une procédure non-écrite</w:t>
            </w:r>
          </w:p>
          <w:p w14:paraId="690A9A01" w14:textId="77777777" w:rsidR="007A448F" w:rsidRPr="00C92509" w:rsidRDefault="007A448F" w:rsidP="00C77A4D">
            <w:pPr>
              <w:rPr>
                <w:b/>
                <w:bCs/>
                <w:sz w:val="24"/>
                <w:szCs w:val="24"/>
                <w:lang w:val="fr-FR"/>
              </w:rPr>
            </w:pPr>
          </w:p>
          <w:p w14:paraId="56C319FD" w14:textId="77777777"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15C8E1E5" w14:textId="77777777" w:rsidR="007A448F" w:rsidRDefault="007A448F" w:rsidP="009541AA">
            <w:pPr>
              <w:rPr>
                <w:b/>
                <w:bCs/>
                <w:sz w:val="24"/>
                <w:szCs w:val="24"/>
                <w:lang w:val="fr-FR"/>
              </w:rPr>
            </w:pPr>
          </w:p>
          <w:p w14:paraId="568EBFA5" w14:textId="77777777" w:rsidR="007A448F" w:rsidRPr="007A448F" w:rsidRDefault="007A448F" w:rsidP="009541AA">
            <w:pPr>
              <w:rPr>
                <w:sz w:val="24"/>
                <w:szCs w:val="24"/>
                <w:lang w:val="fr-FR"/>
              </w:rPr>
            </w:pPr>
            <w:r w:rsidRPr="007A448F">
              <w:rPr>
                <w:sz w:val="24"/>
                <w:szCs w:val="24"/>
                <w:lang w:val="fr-FR"/>
              </w:rPr>
              <w:t>Objectif atteint par le FAQ</w:t>
            </w:r>
            <w:r>
              <w:rPr>
                <w:sz w:val="24"/>
                <w:szCs w:val="24"/>
                <w:lang w:val="fr-FR"/>
              </w:rPr>
              <w:t xml:space="preserve"> </w:t>
            </w:r>
          </w:p>
          <w:p w14:paraId="3D5AF249" w14:textId="77777777" w:rsidR="00346633" w:rsidRPr="00C92509" w:rsidRDefault="00346633" w:rsidP="009541AA">
            <w:pPr>
              <w:rPr>
                <w:b/>
                <w:bCs/>
                <w:sz w:val="24"/>
                <w:szCs w:val="24"/>
                <w:lang w:val="fr-FR"/>
              </w:rPr>
            </w:pPr>
          </w:p>
          <w:p w14:paraId="650DB016"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59292677" w14:textId="77777777" w:rsidR="007A448F" w:rsidRDefault="007A448F" w:rsidP="007A448F">
            <w:pPr>
              <w:rPr>
                <w:i/>
                <w:iCs/>
                <w:color w:val="FF0000"/>
                <w:sz w:val="24"/>
                <w:szCs w:val="24"/>
                <w:lang w:val="fr-FR"/>
              </w:rPr>
            </w:pPr>
          </w:p>
          <w:p w14:paraId="1AB58158" w14:textId="77777777" w:rsidR="007A448F" w:rsidRPr="007A448F" w:rsidRDefault="007A448F" w:rsidP="007A448F">
            <w:pPr>
              <w:rPr>
                <w:color w:val="000000" w:themeColor="text1"/>
                <w:sz w:val="24"/>
                <w:szCs w:val="24"/>
                <w:lang w:val="fr-FR"/>
              </w:rPr>
            </w:pPr>
            <w:r>
              <w:rPr>
                <w:color w:val="000000" w:themeColor="text1"/>
                <w:sz w:val="24"/>
                <w:szCs w:val="24"/>
                <w:lang w:val="fr-FR"/>
              </w:rPr>
              <w:t>N</w:t>
            </w:r>
            <w:r w:rsidRPr="007A448F">
              <w:rPr>
                <w:color w:val="000000" w:themeColor="text1"/>
                <w:sz w:val="24"/>
                <w:szCs w:val="24"/>
                <w:lang w:val="fr-FR"/>
              </w:rPr>
              <w:t>on</w:t>
            </w:r>
          </w:p>
          <w:p w14:paraId="402FC5D7" w14:textId="77777777" w:rsidR="00C77A4D" w:rsidRPr="00C92509" w:rsidRDefault="00C77A4D" w:rsidP="00C77A4D">
            <w:pPr>
              <w:jc w:val="both"/>
              <w:rPr>
                <w:b/>
                <w:bCs/>
                <w:sz w:val="24"/>
                <w:szCs w:val="24"/>
                <w:lang w:val="fr-FR"/>
              </w:rPr>
            </w:pPr>
          </w:p>
        </w:tc>
      </w:tr>
      <w:tr w:rsidR="006D638F" w:rsidRPr="006D638F" w14:paraId="123ADC57"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429882" w14:textId="77777777" w:rsidR="006D638F" w:rsidRPr="006D638F" w:rsidRDefault="00FA0F82" w:rsidP="006D638F">
            <w:pPr>
              <w:pStyle w:val="Lijstalinea"/>
              <w:numPr>
                <w:ilvl w:val="0"/>
                <w:numId w:val="1"/>
              </w:numPr>
              <w:jc w:val="center"/>
              <w:rPr>
                <w:b/>
                <w:sz w:val="24"/>
                <w:szCs w:val="24"/>
              </w:rPr>
            </w:pPr>
            <w:r w:rsidRPr="00FA0F82">
              <w:rPr>
                <w:b/>
                <w:sz w:val="24"/>
                <w:szCs w:val="24"/>
              </w:rPr>
              <w:t>Etapes à prévoir</w:t>
            </w:r>
          </w:p>
          <w:p w14:paraId="48E19C6D" w14:textId="77777777" w:rsidR="006D638F" w:rsidRPr="00A244D2" w:rsidRDefault="006D638F" w:rsidP="00D2572F">
            <w:pPr>
              <w:jc w:val="center"/>
              <w:rPr>
                <w:i/>
                <w:sz w:val="24"/>
                <w:szCs w:val="24"/>
              </w:rPr>
            </w:pPr>
          </w:p>
        </w:tc>
      </w:tr>
      <w:tr w:rsidR="006D638F" w:rsidRPr="00FA0F82" w14:paraId="71A6C74B" w14:textId="77777777" w:rsidTr="003D4E6D">
        <w:tc>
          <w:tcPr>
            <w:tcW w:w="9495" w:type="dxa"/>
            <w:tcBorders>
              <w:top w:val="single" w:sz="4" w:space="0" w:color="auto"/>
              <w:left w:val="single" w:sz="4" w:space="0" w:color="auto"/>
              <w:bottom w:val="single" w:sz="4" w:space="0" w:color="auto"/>
              <w:right w:val="single" w:sz="4" w:space="0" w:color="auto"/>
            </w:tcBorders>
          </w:tcPr>
          <w:p w14:paraId="7723A7CE" w14:textId="77777777" w:rsidR="006D638F" w:rsidRDefault="00FA0F82" w:rsidP="00FA0F82">
            <w:pPr>
              <w:rPr>
                <w:b/>
                <w:bCs/>
                <w:sz w:val="24"/>
                <w:szCs w:val="24"/>
                <w:lang w:val="fr-FR"/>
              </w:rPr>
            </w:pPr>
            <w:r w:rsidRPr="00FA0F82">
              <w:rPr>
                <w:b/>
                <w:bCs/>
                <w:sz w:val="24"/>
                <w:szCs w:val="24"/>
                <w:lang w:val="fr-FR"/>
              </w:rPr>
              <w:t>Calendrier de mise en œuvre</w:t>
            </w:r>
          </w:p>
          <w:p w14:paraId="2DE97E80" w14:textId="77777777" w:rsidR="00FA0F82" w:rsidRPr="006D638F" w:rsidRDefault="00FA0F82" w:rsidP="00FA0F82">
            <w:pPr>
              <w:rPr>
                <w:b/>
                <w:bCs/>
                <w:sz w:val="24"/>
                <w:szCs w:val="24"/>
                <w:lang w:val="fr-FR"/>
              </w:rPr>
            </w:pPr>
          </w:p>
        </w:tc>
      </w:tr>
    </w:tbl>
    <w:p w14:paraId="26387D70"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4229698E"/>
    <w:multiLevelType w:val="hybridMultilevel"/>
    <w:tmpl w:val="5EA074AC"/>
    <w:lvl w:ilvl="0" w:tplc="3A7C25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A2655"/>
    <w:rsid w:val="003B760A"/>
    <w:rsid w:val="003D4E6D"/>
    <w:rsid w:val="00401932"/>
    <w:rsid w:val="004C19F8"/>
    <w:rsid w:val="004F7C46"/>
    <w:rsid w:val="00576153"/>
    <w:rsid w:val="00597E69"/>
    <w:rsid w:val="005A204F"/>
    <w:rsid w:val="005F3454"/>
    <w:rsid w:val="00612FE1"/>
    <w:rsid w:val="006A5A24"/>
    <w:rsid w:val="006C61AD"/>
    <w:rsid w:val="006D638F"/>
    <w:rsid w:val="00727202"/>
    <w:rsid w:val="00731F92"/>
    <w:rsid w:val="0074380F"/>
    <w:rsid w:val="007643CF"/>
    <w:rsid w:val="00777DE9"/>
    <w:rsid w:val="007A448F"/>
    <w:rsid w:val="007D5201"/>
    <w:rsid w:val="007F691A"/>
    <w:rsid w:val="00823307"/>
    <w:rsid w:val="00833AAD"/>
    <w:rsid w:val="00852653"/>
    <w:rsid w:val="00881048"/>
    <w:rsid w:val="008865C8"/>
    <w:rsid w:val="00892774"/>
    <w:rsid w:val="009517B1"/>
    <w:rsid w:val="009541AA"/>
    <w:rsid w:val="00A0702A"/>
    <w:rsid w:val="00A105FA"/>
    <w:rsid w:val="00A244D2"/>
    <w:rsid w:val="00A55029"/>
    <w:rsid w:val="00A87FFB"/>
    <w:rsid w:val="00A95E99"/>
    <w:rsid w:val="00AA687A"/>
    <w:rsid w:val="00AE25AC"/>
    <w:rsid w:val="00AF2F02"/>
    <w:rsid w:val="00B530C5"/>
    <w:rsid w:val="00B54665"/>
    <w:rsid w:val="00BB310D"/>
    <w:rsid w:val="00BD4010"/>
    <w:rsid w:val="00BD4516"/>
    <w:rsid w:val="00C55C31"/>
    <w:rsid w:val="00C77A4D"/>
    <w:rsid w:val="00C92509"/>
    <w:rsid w:val="00CC290F"/>
    <w:rsid w:val="00D5178C"/>
    <w:rsid w:val="00D52E54"/>
    <w:rsid w:val="00DA7E21"/>
    <w:rsid w:val="00DE1B13"/>
    <w:rsid w:val="00E11512"/>
    <w:rsid w:val="00E27EFE"/>
    <w:rsid w:val="00E50492"/>
    <w:rsid w:val="00E70190"/>
    <w:rsid w:val="00EF2063"/>
    <w:rsid w:val="00F44948"/>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C0B6"/>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Normaalweb">
    <w:name w:val="Normal (Web)"/>
    <w:basedOn w:val="Standaard"/>
    <w:uiPriority w:val="99"/>
    <w:semiHidden/>
    <w:unhideWhenUsed/>
    <w:rsid w:val="00597E69"/>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2542">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D657B-BD80-4D90-ADC0-36731E52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FB40A-880D-465C-A70B-A5DF7D541C1B}">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purl.org/dc/dcmitype/"/>
    <ds:schemaRef ds:uri="ec2b5544-cf9c-4dce-86c1-577a48caaa09"/>
    <ds:schemaRef ds:uri="4c6a26a4-0da3-46ff-90ba-c4347004d7d6"/>
    <ds:schemaRef ds:uri="http://schemas.microsoft.com/office/2006/metadata/properties"/>
  </ds:schemaRefs>
</ds:datastoreItem>
</file>

<file path=customXml/itemProps3.xml><?xml version="1.0" encoding="utf-8"?>
<ds:datastoreItem xmlns:ds="http://schemas.openxmlformats.org/officeDocument/2006/customXml" ds:itemID="{4DBFC09E-676A-4DAA-A038-AE88927C4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1896</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3</cp:revision>
  <dcterms:created xsi:type="dcterms:W3CDTF">2020-11-19T09:58:00Z</dcterms:created>
  <dcterms:modified xsi:type="dcterms:W3CDTF">2020-11-19T10:11:00Z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