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EB6" w:rsidRDefault="00AE2EB6">
      <w:pPr>
        <w:rPr>
          <w:b/>
          <w:bCs/>
          <w:sz w:val="28"/>
          <w:szCs w:val="28"/>
        </w:rPr>
      </w:pPr>
      <w:r>
        <w:rPr>
          <w:b/>
          <w:bCs/>
          <w:sz w:val="28"/>
          <w:szCs w:val="28"/>
        </w:rPr>
        <w:t>Fiche 4.3</w:t>
      </w:r>
      <w:bookmarkStart w:id="0" w:name="_GoBack"/>
      <w:bookmarkEnd w:id="0"/>
    </w:p>
    <w:p w:rsidR="00AE2EB6" w:rsidRDefault="00AE2EB6">
      <w:pPr>
        <w:rPr>
          <w:b/>
          <w:bCs/>
          <w:sz w:val="28"/>
          <w:szCs w:val="28"/>
        </w:rPr>
      </w:pPr>
    </w:p>
    <w:p w:rsidR="00362012" w:rsidRDefault="002D75F2">
      <w:pPr>
        <w:rPr>
          <w:b/>
          <w:bCs/>
          <w:sz w:val="28"/>
          <w:szCs w:val="28"/>
        </w:rPr>
      </w:pPr>
      <w:r>
        <w:rPr>
          <w:b/>
          <w:bCs/>
          <w:sz w:val="28"/>
          <w:szCs w:val="28"/>
        </w:rPr>
        <w:t xml:space="preserve">THEMA: </w:t>
      </w:r>
      <w:r w:rsidR="00D039DC">
        <w:rPr>
          <w:b/>
          <w:bCs/>
          <w:sz w:val="28"/>
          <w:szCs w:val="28"/>
        </w:rPr>
        <w:t xml:space="preserve">Ondersteuning van de </w:t>
      </w:r>
      <w:proofErr w:type="spellStart"/>
      <w:r w:rsidR="00D039DC">
        <w:rPr>
          <w:b/>
          <w:bCs/>
          <w:sz w:val="28"/>
          <w:szCs w:val="28"/>
        </w:rPr>
        <w:t>OCMW’s</w:t>
      </w:r>
      <w:proofErr w:type="spellEnd"/>
      <w:r w:rsidR="00D039DC">
        <w:rPr>
          <w:b/>
          <w:bCs/>
          <w:sz w:val="28"/>
          <w:szCs w:val="28"/>
        </w:rPr>
        <w:t>. Fiche 4.3 PIIS-GPMI</w:t>
      </w:r>
    </w:p>
    <w:p w:rsidR="00823307" w:rsidRPr="00823307" w:rsidRDefault="00823307">
      <w:pPr>
        <w:rPr>
          <w:b/>
          <w:bCs/>
          <w:sz w:val="28"/>
          <w:szCs w:val="28"/>
        </w:rPr>
      </w:pPr>
    </w:p>
    <w:tbl>
      <w:tblPr>
        <w:tblStyle w:val="Tabelraster"/>
        <w:tblW w:w="9495" w:type="dxa"/>
        <w:tblLayout w:type="fixed"/>
        <w:tblLook w:val="04A0" w:firstRow="1" w:lastRow="0" w:firstColumn="1" w:lastColumn="0" w:noHBand="0" w:noVBand="1"/>
      </w:tblPr>
      <w:tblGrid>
        <w:gridCol w:w="9495"/>
      </w:tblGrid>
      <w:tr w:rsidR="00A244D2" w:rsidRPr="00A244D2"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A244D2" w:rsidRPr="00A244D2" w:rsidRDefault="003D4E6D" w:rsidP="00A244D2">
            <w:pPr>
              <w:numPr>
                <w:ilvl w:val="0"/>
                <w:numId w:val="1"/>
              </w:numPr>
              <w:contextualSpacing/>
              <w:jc w:val="center"/>
              <w:rPr>
                <w:b/>
                <w:bCs/>
                <w:sz w:val="24"/>
                <w:szCs w:val="24"/>
                <w:lang w:val="nl-BE"/>
              </w:rPr>
            </w:pPr>
            <w:r>
              <w:rPr>
                <w:b/>
                <w:sz w:val="24"/>
                <w:szCs w:val="24"/>
                <w:lang w:val="nl-BE"/>
              </w:rPr>
              <w:t>Voorstel maatregel</w:t>
            </w:r>
          </w:p>
        </w:tc>
      </w:tr>
      <w:tr w:rsidR="00A244D2" w:rsidRPr="0031089E" w:rsidTr="003D4E6D">
        <w:tc>
          <w:tcPr>
            <w:tcW w:w="9495" w:type="dxa"/>
            <w:tcBorders>
              <w:top w:val="single" w:sz="4" w:space="0" w:color="auto"/>
              <w:left w:val="single" w:sz="4" w:space="0" w:color="auto"/>
              <w:bottom w:val="single" w:sz="4" w:space="0" w:color="auto"/>
              <w:right w:val="single" w:sz="4" w:space="0" w:color="auto"/>
            </w:tcBorders>
          </w:tcPr>
          <w:p w:rsidR="00362012" w:rsidRPr="003D4E6D" w:rsidRDefault="003D4E6D" w:rsidP="00362012">
            <w:pPr>
              <w:jc w:val="both"/>
              <w:rPr>
                <w:sz w:val="24"/>
                <w:szCs w:val="24"/>
                <w:lang w:val="nl-NL"/>
              </w:rPr>
            </w:pPr>
            <w:r w:rsidRPr="003D4E6D">
              <w:rPr>
                <w:b/>
                <w:bCs/>
                <w:sz w:val="24"/>
                <w:szCs w:val="24"/>
                <w:lang w:val="nl-NL"/>
              </w:rPr>
              <w:t xml:space="preserve">1.1 </w:t>
            </w:r>
            <w:r w:rsidR="002D75F2" w:rsidRPr="003D4E6D">
              <w:rPr>
                <w:b/>
                <w:bCs/>
                <w:sz w:val="24"/>
                <w:szCs w:val="24"/>
                <w:lang w:val="nl-NL"/>
              </w:rPr>
              <w:t>Beschrijving c</w:t>
            </w:r>
            <w:r w:rsidR="00362012" w:rsidRPr="003D4E6D">
              <w:rPr>
                <w:b/>
                <w:bCs/>
                <w:sz w:val="24"/>
                <w:szCs w:val="24"/>
                <w:lang w:val="nl-NL"/>
              </w:rPr>
              <w:t>ontext</w:t>
            </w:r>
            <w:r w:rsidR="00AF2F02" w:rsidRPr="003D4E6D">
              <w:rPr>
                <w:b/>
                <w:bCs/>
                <w:sz w:val="24"/>
                <w:szCs w:val="24"/>
                <w:lang w:val="nl-NL"/>
              </w:rPr>
              <w:t>/problematiek</w:t>
            </w:r>
          </w:p>
          <w:p w:rsidR="00362012" w:rsidRPr="003D4E6D" w:rsidRDefault="00D039DC" w:rsidP="00362012">
            <w:pPr>
              <w:jc w:val="both"/>
              <w:rPr>
                <w:sz w:val="24"/>
                <w:szCs w:val="24"/>
                <w:lang w:val="nl-NL"/>
              </w:rPr>
            </w:pPr>
            <w:r>
              <w:rPr>
                <w:sz w:val="24"/>
                <w:szCs w:val="24"/>
                <w:lang w:val="nl-NL"/>
              </w:rPr>
              <w:t>De opmaak, de begeleiding</w:t>
            </w:r>
            <w:r w:rsidR="00462F78">
              <w:rPr>
                <w:sz w:val="24"/>
                <w:szCs w:val="24"/>
                <w:lang w:val="nl-NL"/>
              </w:rPr>
              <w:t>/uitvoering</w:t>
            </w:r>
            <w:r>
              <w:rPr>
                <w:sz w:val="24"/>
                <w:szCs w:val="24"/>
                <w:lang w:val="nl-NL"/>
              </w:rPr>
              <w:t xml:space="preserve"> en de evaluaties van het GPMI worden bemoeilijkt door de COVID19-crisis.</w:t>
            </w:r>
          </w:p>
          <w:p w:rsidR="00852653" w:rsidRPr="003D4E6D" w:rsidRDefault="00852653" w:rsidP="00362012">
            <w:pPr>
              <w:jc w:val="both"/>
              <w:rPr>
                <w:sz w:val="24"/>
                <w:szCs w:val="24"/>
                <w:lang w:val="nl-BE"/>
              </w:rPr>
            </w:pPr>
          </w:p>
          <w:p w:rsidR="00362012" w:rsidRPr="003D4E6D" w:rsidRDefault="003D4E6D" w:rsidP="00362012">
            <w:pPr>
              <w:jc w:val="both"/>
              <w:rPr>
                <w:sz w:val="24"/>
                <w:szCs w:val="24"/>
                <w:lang w:val="nl-NL"/>
              </w:rPr>
            </w:pPr>
            <w:r w:rsidRPr="003D4E6D">
              <w:rPr>
                <w:b/>
                <w:bCs/>
                <w:sz w:val="24"/>
                <w:szCs w:val="24"/>
                <w:lang w:val="nl-NL"/>
              </w:rPr>
              <w:t xml:space="preserve">1.2 </w:t>
            </w:r>
            <w:r w:rsidR="00362012" w:rsidRPr="003D4E6D">
              <w:rPr>
                <w:b/>
                <w:bCs/>
                <w:sz w:val="24"/>
                <w:szCs w:val="24"/>
                <w:lang w:val="nl-NL"/>
              </w:rPr>
              <w:t>Inhoud maatregel</w:t>
            </w:r>
          </w:p>
          <w:p w:rsidR="00AE25AC" w:rsidRPr="00D039DC" w:rsidRDefault="00D039DC" w:rsidP="00BB310D">
            <w:pPr>
              <w:jc w:val="both"/>
              <w:rPr>
                <w:sz w:val="24"/>
                <w:szCs w:val="24"/>
                <w:lang w:val="nl-NL"/>
              </w:rPr>
            </w:pPr>
            <w:r w:rsidRPr="00D039DC">
              <w:rPr>
                <w:sz w:val="24"/>
                <w:szCs w:val="24"/>
                <w:lang w:val="nl-NL"/>
              </w:rPr>
              <w:t xml:space="preserve">Tijdelijk </w:t>
            </w:r>
            <w:r w:rsidR="003C305C">
              <w:rPr>
                <w:sz w:val="24"/>
                <w:szCs w:val="24"/>
                <w:lang w:val="nl-NL"/>
              </w:rPr>
              <w:t xml:space="preserve">de modaliteiten </w:t>
            </w:r>
            <w:proofErr w:type="spellStart"/>
            <w:r w:rsidR="003C305C">
              <w:rPr>
                <w:sz w:val="24"/>
                <w:szCs w:val="24"/>
                <w:lang w:val="nl-NL"/>
              </w:rPr>
              <w:t>ivm</w:t>
            </w:r>
            <w:proofErr w:type="spellEnd"/>
            <w:r w:rsidR="003C305C">
              <w:rPr>
                <w:sz w:val="24"/>
                <w:szCs w:val="24"/>
                <w:lang w:val="nl-NL"/>
              </w:rPr>
              <w:t xml:space="preserve"> het GPMI</w:t>
            </w:r>
            <w:r w:rsidRPr="00D039DC">
              <w:rPr>
                <w:sz w:val="24"/>
                <w:szCs w:val="24"/>
                <w:lang w:val="nl-NL"/>
              </w:rPr>
              <w:t xml:space="preserve"> aanpassen of versoepelen</w:t>
            </w:r>
            <w:r w:rsidR="00B0387E">
              <w:rPr>
                <w:sz w:val="24"/>
                <w:szCs w:val="24"/>
                <w:lang w:val="nl-NL"/>
              </w:rPr>
              <w:t>. Er mogen geen sancties opgelegd worden wanneer de bepalingen van het GPMI omwille van de huidige omstandigheden niet kunnen uitgevoerd worden.</w:t>
            </w:r>
          </w:p>
          <w:p w:rsidR="00362012" w:rsidRPr="00362012" w:rsidRDefault="00362012" w:rsidP="00362012">
            <w:pPr>
              <w:jc w:val="both"/>
              <w:rPr>
                <w:lang w:val="nl-NL"/>
              </w:rPr>
            </w:pPr>
          </w:p>
          <w:p w:rsidR="00A244D2" w:rsidRPr="0031089E" w:rsidRDefault="00A244D2" w:rsidP="00162057">
            <w:pPr>
              <w:rPr>
                <w:i/>
                <w:iCs/>
                <w:szCs w:val="24"/>
                <w:lang w:val="nl-BE"/>
              </w:rPr>
            </w:pPr>
          </w:p>
        </w:tc>
      </w:tr>
      <w:tr w:rsidR="003D4E6D" w:rsidRPr="003D4E6D"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D4E6D" w:rsidRPr="00A244D2" w:rsidRDefault="003D4E6D" w:rsidP="003D4E6D">
            <w:pPr>
              <w:numPr>
                <w:ilvl w:val="0"/>
                <w:numId w:val="1"/>
              </w:numPr>
              <w:contextualSpacing/>
              <w:jc w:val="center"/>
              <w:rPr>
                <w:b/>
                <w:bCs/>
                <w:sz w:val="24"/>
                <w:szCs w:val="24"/>
              </w:rPr>
            </w:pPr>
            <w:proofErr w:type="spellStart"/>
            <w:r>
              <w:rPr>
                <w:b/>
                <w:bCs/>
                <w:sz w:val="24"/>
                <w:szCs w:val="24"/>
              </w:rPr>
              <w:t>Uitvoering</w:t>
            </w:r>
            <w:proofErr w:type="spellEnd"/>
          </w:p>
          <w:p w:rsidR="003D4E6D" w:rsidRPr="00A244D2" w:rsidRDefault="003D4E6D" w:rsidP="003D4E6D">
            <w:pPr>
              <w:ind w:left="720"/>
              <w:contextualSpacing/>
              <w:jc w:val="center"/>
              <w:rPr>
                <w:i/>
              </w:rPr>
            </w:pPr>
          </w:p>
        </w:tc>
      </w:tr>
      <w:tr w:rsidR="003D4E6D" w:rsidRPr="003D4E6D" w:rsidTr="003D4E6D">
        <w:tc>
          <w:tcPr>
            <w:tcW w:w="9495" w:type="dxa"/>
            <w:tcBorders>
              <w:top w:val="single" w:sz="4" w:space="0" w:color="auto"/>
              <w:left w:val="single" w:sz="4" w:space="0" w:color="auto"/>
              <w:bottom w:val="single" w:sz="4" w:space="0" w:color="auto"/>
              <w:right w:val="single" w:sz="4" w:space="0" w:color="auto"/>
            </w:tcBorders>
          </w:tcPr>
          <w:p w:rsidR="003D4E6D" w:rsidRDefault="003D4E6D" w:rsidP="003D4E6D">
            <w:pPr>
              <w:jc w:val="both"/>
              <w:rPr>
                <w:b/>
                <w:bCs/>
                <w:sz w:val="24"/>
                <w:szCs w:val="24"/>
                <w:lang w:val="fr-FR"/>
              </w:rPr>
            </w:pPr>
            <w:r w:rsidRPr="003D4E6D">
              <w:rPr>
                <w:b/>
                <w:bCs/>
                <w:sz w:val="24"/>
                <w:szCs w:val="24"/>
                <w:lang w:val="fr-FR"/>
              </w:rPr>
              <w:t xml:space="preserve">2.1 Wat </w:t>
            </w:r>
            <w:proofErr w:type="spellStart"/>
            <w:r w:rsidRPr="003D4E6D">
              <w:rPr>
                <w:b/>
                <w:bCs/>
                <w:sz w:val="24"/>
                <w:szCs w:val="24"/>
                <w:lang w:val="fr-FR"/>
              </w:rPr>
              <w:t>werd</w:t>
            </w:r>
            <w:proofErr w:type="spellEnd"/>
            <w:r w:rsidRPr="003D4E6D">
              <w:rPr>
                <w:b/>
                <w:bCs/>
                <w:sz w:val="24"/>
                <w:szCs w:val="24"/>
                <w:lang w:val="fr-FR"/>
              </w:rPr>
              <w:t xml:space="preserve"> </w:t>
            </w:r>
            <w:proofErr w:type="spellStart"/>
            <w:r w:rsidRPr="003D4E6D">
              <w:rPr>
                <w:b/>
                <w:bCs/>
                <w:sz w:val="24"/>
                <w:szCs w:val="24"/>
                <w:lang w:val="fr-FR"/>
              </w:rPr>
              <w:t>reeds</w:t>
            </w:r>
            <w:proofErr w:type="spellEnd"/>
            <w:r w:rsidRPr="003D4E6D">
              <w:rPr>
                <w:b/>
                <w:bCs/>
                <w:sz w:val="24"/>
                <w:szCs w:val="24"/>
                <w:lang w:val="fr-FR"/>
              </w:rPr>
              <w:t xml:space="preserve"> </w:t>
            </w:r>
            <w:proofErr w:type="spellStart"/>
            <w:r w:rsidRPr="003D4E6D">
              <w:rPr>
                <w:b/>
                <w:bCs/>
                <w:sz w:val="24"/>
                <w:szCs w:val="24"/>
                <w:lang w:val="fr-FR"/>
              </w:rPr>
              <w:t>gerealiseerd</w:t>
            </w:r>
            <w:proofErr w:type="spellEnd"/>
            <w:r w:rsidRPr="003D4E6D">
              <w:rPr>
                <w:b/>
                <w:bCs/>
                <w:sz w:val="24"/>
                <w:szCs w:val="24"/>
                <w:lang w:val="fr-FR"/>
              </w:rPr>
              <w:t> ?</w:t>
            </w:r>
          </w:p>
          <w:p w:rsidR="003D4E6D" w:rsidRPr="003C305C" w:rsidRDefault="003C305C" w:rsidP="003D4E6D">
            <w:pPr>
              <w:jc w:val="both"/>
              <w:rPr>
                <w:sz w:val="24"/>
                <w:szCs w:val="24"/>
                <w:lang w:val="nl-BE"/>
              </w:rPr>
            </w:pPr>
            <w:r w:rsidRPr="003C305C">
              <w:rPr>
                <w:sz w:val="24"/>
                <w:szCs w:val="24"/>
                <w:lang w:val="nl-BE"/>
              </w:rPr>
              <w:t xml:space="preserve">Tijdens de eerste periode van de covid19 crisis werden een reeks FAQ </w:t>
            </w:r>
            <w:proofErr w:type="spellStart"/>
            <w:r w:rsidRPr="003C305C">
              <w:rPr>
                <w:sz w:val="24"/>
                <w:szCs w:val="24"/>
                <w:lang w:val="nl-BE"/>
              </w:rPr>
              <w:t>ivm</w:t>
            </w:r>
            <w:proofErr w:type="spellEnd"/>
            <w:r w:rsidRPr="003C305C">
              <w:rPr>
                <w:sz w:val="24"/>
                <w:szCs w:val="24"/>
                <w:lang w:val="nl-BE"/>
              </w:rPr>
              <w:t xml:space="preserve"> het GPMI gepubliceerd door de POD MI op de website.</w:t>
            </w:r>
          </w:p>
          <w:p w:rsidR="003D4E6D" w:rsidRDefault="00462F78" w:rsidP="003D4E6D">
            <w:pPr>
              <w:jc w:val="both"/>
              <w:rPr>
                <w:sz w:val="24"/>
                <w:szCs w:val="24"/>
                <w:lang w:val="nl-BE"/>
              </w:rPr>
            </w:pPr>
            <w:r>
              <w:rPr>
                <w:sz w:val="24"/>
                <w:szCs w:val="24"/>
                <w:lang w:val="nl-BE"/>
              </w:rPr>
              <w:t>-</w:t>
            </w:r>
            <w:r w:rsidR="00D039DC" w:rsidRPr="00B0387E">
              <w:rPr>
                <w:sz w:val="24"/>
                <w:szCs w:val="24"/>
                <w:lang w:val="nl-BE"/>
              </w:rPr>
              <w:t>Opmaak</w:t>
            </w:r>
            <w:r w:rsidR="00B0387E" w:rsidRPr="00B0387E">
              <w:rPr>
                <w:sz w:val="24"/>
                <w:szCs w:val="24"/>
                <w:lang w:val="nl-BE"/>
              </w:rPr>
              <w:t xml:space="preserve"> GPMI</w:t>
            </w:r>
            <w:r w:rsidR="00D039DC" w:rsidRPr="00B0387E">
              <w:rPr>
                <w:sz w:val="24"/>
                <w:szCs w:val="24"/>
                <w:lang w:val="nl-BE"/>
              </w:rPr>
              <w:t xml:space="preserve"> binnen 3 maanden :</w:t>
            </w:r>
            <w:r w:rsidR="00B0387E" w:rsidRPr="00B0387E">
              <w:rPr>
                <w:lang w:val="nl-BE"/>
              </w:rPr>
              <w:t xml:space="preserve"> </w:t>
            </w:r>
            <w:r w:rsidR="00B0387E" w:rsidRPr="00B0387E">
              <w:rPr>
                <w:sz w:val="24"/>
                <w:szCs w:val="24"/>
                <w:lang w:val="nl-BE"/>
              </w:rPr>
              <w:t>Wanneer het OCMW deze begeleiding niet kan invoeren omwille van het coronavirus, kan het deze verplichting uitstellen tot op het ogenblik dat deze begeleiding effectief kan worden ingevoerd. Dit heeft betrekking op zowel de uitvoering van de analyse van de verwachtingen, geschiktheid, kwalificaties en noden van de betrokkene, als op de uitvoering van het GPMI zelf.</w:t>
            </w:r>
          </w:p>
          <w:p w:rsidR="00B0387E" w:rsidRDefault="00462F78" w:rsidP="003D4E6D">
            <w:pPr>
              <w:jc w:val="both"/>
              <w:rPr>
                <w:sz w:val="24"/>
                <w:szCs w:val="24"/>
                <w:lang w:val="nl-BE"/>
              </w:rPr>
            </w:pPr>
            <w:r>
              <w:rPr>
                <w:sz w:val="24"/>
                <w:szCs w:val="24"/>
                <w:lang w:val="nl-BE"/>
              </w:rPr>
              <w:t>-</w:t>
            </w:r>
            <w:r w:rsidR="00B0387E">
              <w:rPr>
                <w:sz w:val="24"/>
                <w:szCs w:val="24"/>
                <w:lang w:val="nl-BE"/>
              </w:rPr>
              <w:t>Doelstellingen en afspraken GPMI: I</w:t>
            </w:r>
            <w:r w:rsidR="00B0387E" w:rsidRPr="00B0387E">
              <w:rPr>
                <w:sz w:val="24"/>
                <w:szCs w:val="24"/>
                <w:lang w:val="nl-BE"/>
              </w:rPr>
              <w:t>ndien een deel van de in het bestaande GPMI vermelde verplichtingen voor zowel de begunstigden als het OCMW niet meer kan worden nagekomen als gevolg van de huidige omstandigheden met betrekking tot COVID-19 en de economische moeilijkheden die daaruit voortvloeien, kan dit worden beschouwd als een geval van overmacht. Het is dus niet toegestaan dat een OCMW een gerechtigde een sanctie oplegt, die omwille van overmacht, een doelstelling van zijn/haar GPMI niet heeft kunnen behalen.</w:t>
            </w:r>
          </w:p>
          <w:p w:rsidR="006B623E" w:rsidRDefault="006B623E" w:rsidP="003D4E6D">
            <w:pPr>
              <w:jc w:val="both"/>
              <w:rPr>
                <w:sz w:val="24"/>
                <w:szCs w:val="24"/>
                <w:lang w:val="nl-BE"/>
              </w:rPr>
            </w:pPr>
            <w:r>
              <w:rPr>
                <w:sz w:val="24"/>
                <w:szCs w:val="24"/>
                <w:lang w:val="nl-BE"/>
              </w:rPr>
              <w:t>Specifiek voor studenten: ook hier moet het OCMW flexibel omgaan bij de beoordeling van de voorwaarde van werkbereidheid.</w:t>
            </w:r>
          </w:p>
          <w:p w:rsidR="00462F78" w:rsidRPr="00B0387E" w:rsidRDefault="00462F78" w:rsidP="003D4E6D">
            <w:pPr>
              <w:jc w:val="both"/>
              <w:rPr>
                <w:sz w:val="24"/>
                <w:szCs w:val="24"/>
                <w:lang w:val="nl-BE"/>
              </w:rPr>
            </w:pPr>
            <w:r>
              <w:rPr>
                <w:sz w:val="24"/>
                <w:szCs w:val="24"/>
                <w:lang w:val="nl-BE"/>
              </w:rPr>
              <w:t xml:space="preserve">-Evaluaties: </w:t>
            </w:r>
            <w:r w:rsidRPr="00462F78">
              <w:rPr>
                <w:sz w:val="24"/>
                <w:szCs w:val="24"/>
                <w:lang w:val="nl-BE"/>
              </w:rPr>
              <w:t>Met betrekking tot de evaluaties in het kader van het GPMI kunnen de evaluatiegesprekken steeds via elektronische weg uitgevoerd worden; wanneer dit niet mogelijk is, zullen zij worden uitgesteld en uitgevoerd worden wanneer de situatie dit toelaat. Het OCMW zal deze onmogelijkheid moeten motiveren.</w:t>
            </w:r>
            <w:r>
              <w:rPr>
                <w:sz w:val="24"/>
                <w:szCs w:val="24"/>
                <w:lang w:val="nl-BE"/>
              </w:rPr>
              <w:t xml:space="preserve"> </w:t>
            </w:r>
            <w:r w:rsidRPr="00462F78">
              <w:rPr>
                <w:sz w:val="24"/>
                <w:szCs w:val="24"/>
                <w:lang w:val="nl-BE"/>
              </w:rPr>
              <w:t>Wanneer zij uitgevoerd worden, moet voorrang worden gegeven aan de evaluaties die moeten worden uitgevoerd op het einde van het eerste jaar GPMI en die nodig zijn om een eventuele verlenging van de toelage “2e jaar” te motiveren.</w:t>
            </w:r>
          </w:p>
          <w:p w:rsidR="00B0387E" w:rsidRPr="00B0387E" w:rsidRDefault="00B0387E" w:rsidP="003D4E6D">
            <w:pPr>
              <w:jc w:val="both"/>
              <w:rPr>
                <w:b/>
                <w:bCs/>
                <w:sz w:val="24"/>
                <w:szCs w:val="24"/>
                <w:lang w:val="nl-BE"/>
              </w:rPr>
            </w:pPr>
          </w:p>
          <w:p w:rsidR="003D4E6D" w:rsidRDefault="003D4E6D" w:rsidP="003D4E6D">
            <w:pPr>
              <w:jc w:val="both"/>
              <w:rPr>
                <w:b/>
                <w:bCs/>
                <w:sz w:val="24"/>
                <w:szCs w:val="24"/>
                <w:lang w:val="nl-BE"/>
              </w:rPr>
            </w:pPr>
            <w:r w:rsidRPr="003D4E6D">
              <w:rPr>
                <w:b/>
                <w:bCs/>
                <w:sz w:val="24"/>
                <w:szCs w:val="24"/>
                <w:lang w:val="nl-BE"/>
              </w:rPr>
              <w:t>2.2 Wat is lopende of in uitvoering?</w:t>
            </w:r>
          </w:p>
          <w:p w:rsidR="003D4E6D" w:rsidRPr="00462F78" w:rsidRDefault="00462F78" w:rsidP="003D4E6D">
            <w:pPr>
              <w:jc w:val="both"/>
              <w:rPr>
                <w:sz w:val="24"/>
                <w:szCs w:val="24"/>
                <w:lang w:val="nl-BE"/>
              </w:rPr>
            </w:pPr>
            <w:r w:rsidRPr="00462F78">
              <w:rPr>
                <w:sz w:val="24"/>
                <w:szCs w:val="24"/>
                <w:lang w:val="nl-BE"/>
              </w:rPr>
              <w:t>Dezelfde FAQ’s werden opnieuw op de site geplaatst miv 2/11/2020</w:t>
            </w:r>
          </w:p>
          <w:p w:rsidR="003D4E6D" w:rsidRPr="003D4E6D" w:rsidRDefault="003D4E6D" w:rsidP="003D4E6D">
            <w:pPr>
              <w:jc w:val="both"/>
              <w:rPr>
                <w:i/>
                <w:iCs/>
                <w:sz w:val="24"/>
                <w:szCs w:val="24"/>
                <w:lang w:val="nl-BE"/>
              </w:rPr>
            </w:pPr>
          </w:p>
        </w:tc>
      </w:tr>
      <w:tr w:rsidR="003D4E6D" w:rsidRPr="00A244D2"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D4E6D" w:rsidRPr="00A244D2" w:rsidRDefault="003D4E6D" w:rsidP="003D4E6D">
            <w:pPr>
              <w:numPr>
                <w:ilvl w:val="0"/>
                <w:numId w:val="1"/>
              </w:numPr>
              <w:contextualSpacing/>
              <w:jc w:val="center"/>
              <w:rPr>
                <w:b/>
                <w:bCs/>
                <w:sz w:val="24"/>
                <w:szCs w:val="24"/>
              </w:rPr>
            </w:pPr>
            <w:r>
              <w:rPr>
                <w:b/>
                <w:bCs/>
                <w:sz w:val="24"/>
                <w:szCs w:val="24"/>
              </w:rPr>
              <w:t xml:space="preserve">Analyse </w:t>
            </w:r>
          </w:p>
          <w:p w:rsidR="003D4E6D" w:rsidRPr="00A244D2" w:rsidRDefault="003D4E6D" w:rsidP="003D4E6D">
            <w:pPr>
              <w:jc w:val="center"/>
              <w:rPr>
                <w:i/>
                <w:sz w:val="24"/>
                <w:szCs w:val="24"/>
              </w:rPr>
            </w:pPr>
          </w:p>
        </w:tc>
      </w:tr>
      <w:tr w:rsidR="003D4E6D" w:rsidRPr="00881048" w:rsidTr="00D5178C">
        <w:trPr>
          <w:trHeight w:val="2073"/>
        </w:trPr>
        <w:tc>
          <w:tcPr>
            <w:tcW w:w="9495" w:type="dxa"/>
            <w:tcBorders>
              <w:top w:val="single" w:sz="4" w:space="0" w:color="auto"/>
              <w:left w:val="single" w:sz="4" w:space="0" w:color="auto"/>
              <w:bottom w:val="single" w:sz="4" w:space="0" w:color="auto"/>
              <w:right w:val="single" w:sz="4" w:space="0" w:color="auto"/>
            </w:tcBorders>
          </w:tcPr>
          <w:p w:rsidR="003D4E6D" w:rsidRDefault="004C19F8" w:rsidP="003D4E6D">
            <w:pPr>
              <w:jc w:val="both"/>
              <w:rPr>
                <w:b/>
                <w:bCs/>
                <w:iCs/>
                <w:sz w:val="24"/>
                <w:szCs w:val="24"/>
                <w:lang w:val="nl-BE"/>
              </w:rPr>
            </w:pPr>
            <w:r w:rsidRPr="004C19F8">
              <w:rPr>
                <w:b/>
                <w:bCs/>
                <w:iCs/>
                <w:sz w:val="24"/>
                <w:szCs w:val="24"/>
                <w:lang w:val="nl-BE"/>
              </w:rPr>
              <w:lastRenderedPageBreak/>
              <w:t>3.1 Impact</w:t>
            </w:r>
          </w:p>
          <w:p w:rsidR="00D5178C" w:rsidRPr="004C19F8" w:rsidRDefault="00D5178C" w:rsidP="003D4E6D">
            <w:pPr>
              <w:jc w:val="both"/>
              <w:rPr>
                <w:b/>
                <w:bCs/>
                <w:iCs/>
                <w:sz w:val="24"/>
                <w:szCs w:val="24"/>
                <w:lang w:val="nl-BE"/>
              </w:rPr>
            </w:pPr>
          </w:p>
          <w:p w:rsidR="004C19F8" w:rsidRPr="002677EC" w:rsidRDefault="004C19F8" w:rsidP="003D4E6D">
            <w:pPr>
              <w:jc w:val="both"/>
              <w:rPr>
                <w:iCs/>
                <w:color w:val="FF0000"/>
                <w:sz w:val="24"/>
                <w:szCs w:val="24"/>
                <w:lang w:val="nl-BE"/>
              </w:rPr>
            </w:pPr>
            <w:r w:rsidRPr="004C19F8">
              <w:rPr>
                <w:b/>
                <w:bCs/>
                <w:iCs/>
                <w:sz w:val="24"/>
                <w:szCs w:val="24"/>
                <w:lang w:val="nl-BE"/>
              </w:rPr>
              <w:t>3.2 Aandachtspunten</w:t>
            </w:r>
            <w:r w:rsidR="006B623E">
              <w:rPr>
                <w:b/>
                <w:bCs/>
                <w:iCs/>
                <w:sz w:val="24"/>
                <w:szCs w:val="24"/>
                <w:lang w:val="nl-BE"/>
              </w:rPr>
              <w:t xml:space="preserve"> (</w:t>
            </w:r>
            <w:r w:rsidR="006B623E" w:rsidRPr="002677EC">
              <w:rPr>
                <w:iCs/>
                <w:color w:val="FF0000"/>
                <w:sz w:val="24"/>
                <w:szCs w:val="24"/>
                <w:lang w:val="nl-BE"/>
              </w:rPr>
              <w:t xml:space="preserve">FAQ’s zijn niet precies naar studenten toe: misschien verduidelijking aanbrengen in FAQ dat voorwaarde van werkbereidheid ook bij studenten </w:t>
            </w:r>
            <w:r w:rsidR="002677EC" w:rsidRPr="002677EC">
              <w:rPr>
                <w:iCs/>
                <w:color w:val="FF0000"/>
                <w:sz w:val="24"/>
                <w:szCs w:val="24"/>
                <w:lang w:val="nl-BE"/>
              </w:rPr>
              <w:t>soepel moet beoordeeld worden</w:t>
            </w:r>
            <w:r w:rsidR="002677EC">
              <w:rPr>
                <w:iCs/>
                <w:color w:val="FF0000"/>
                <w:sz w:val="24"/>
                <w:szCs w:val="24"/>
                <w:lang w:val="nl-BE"/>
              </w:rPr>
              <w:t xml:space="preserve"> en er </w:t>
            </w:r>
            <w:r w:rsidR="00242594">
              <w:rPr>
                <w:iCs/>
                <w:color w:val="FF0000"/>
                <w:sz w:val="24"/>
                <w:szCs w:val="24"/>
                <w:lang w:val="nl-BE"/>
              </w:rPr>
              <w:t xml:space="preserve">eventueel </w:t>
            </w:r>
            <w:r w:rsidR="002677EC">
              <w:rPr>
                <w:iCs/>
                <w:color w:val="FF0000"/>
                <w:sz w:val="24"/>
                <w:szCs w:val="24"/>
                <w:lang w:val="nl-BE"/>
              </w:rPr>
              <w:t>geen sanctie</w:t>
            </w:r>
            <w:r w:rsidR="00242594">
              <w:rPr>
                <w:iCs/>
                <w:color w:val="FF0000"/>
                <w:sz w:val="24"/>
                <w:szCs w:val="24"/>
                <w:lang w:val="nl-BE"/>
              </w:rPr>
              <w:t xml:space="preserve"> </w:t>
            </w:r>
            <w:r w:rsidR="002677EC">
              <w:rPr>
                <w:iCs/>
                <w:color w:val="FF0000"/>
                <w:sz w:val="24"/>
                <w:szCs w:val="24"/>
                <w:lang w:val="nl-BE"/>
              </w:rPr>
              <w:t xml:space="preserve"> mag uitgesproken worden voor de periode juli/</w:t>
            </w:r>
            <w:r w:rsidR="00242594">
              <w:rPr>
                <w:iCs/>
                <w:color w:val="FF0000"/>
                <w:sz w:val="24"/>
                <w:szCs w:val="24"/>
                <w:lang w:val="nl-BE"/>
              </w:rPr>
              <w:t>december</w:t>
            </w:r>
            <w:r w:rsidR="002677EC">
              <w:rPr>
                <w:iCs/>
                <w:color w:val="FF0000"/>
                <w:sz w:val="24"/>
                <w:szCs w:val="24"/>
                <w:lang w:val="nl-BE"/>
              </w:rPr>
              <w:t xml:space="preserve"> 2020?</w:t>
            </w:r>
            <w:r w:rsidR="00242594">
              <w:rPr>
                <w:iCs/>
                <w:color w:val="FF0000"/>
                <w:sz w:val="24"/>
                <w:szCs w:val="24"/>
                <w:lang w:val="nl-BE"/>
              </w:rPr>
              <w:t xml:space="preserve"> Of langer ?</w:t>
            </w:r>
            <w:r w:rsidR="002677EC">
              <w:rPr>
                <w:iCs/>
                <w:color w:val="FF0000"/>
                <w:sz w:val="24"/>
                <w:szCs w:val="24"/>
                <w:lang w:val="nl-BE"/>
              </w:rPr>
              <w:t>)</w:t>
            </w:r>
          </w:p>
          <w:p w:rsidR="00D5178C" w:rsidRPr="004C19F8" w:rsidRDefault="00D5178C" w:rsidP="003D4E6D">
            <w:pPr>
              <w:jc w:val="both"/>
              <w:rPr>
                <w:b/>
                <w:bCs/>
                <w:iCs/>
                <w:sz w:val="24"/>
                <w:szCs w:val="24"/>
                <w:lang w:val="nl-BE"/>
              </w:rPr>
            </w:pPr>
          </w:p>
          <w:p w:rsidR="004C19F8" w:rsidRDefault="004C19F8" w:rsidP="003D4E6D">
            <w:pPr>
              <w:jc w:val="both"/>
              <w:rPr>
                <w:b/>
                <w:bCs/>
                <w:iCs/>
                <w:sz w:val="24"/>
                <w:szCs w:val="24"/>
                <w:lang w:val="nl-BE"/>
              </w:rPr>
            </w:pPr>
            <w:r w:rsidRPr="004C19F8">
              <w:rPr>
                <w:b/>
                <w:bCs/>
                <w:iCs/>
                <w:sz w:val="24"/>
                <w:szCs w:val="24"/>
                <w:lang w:val="nl-BE"/>
              </w:rPr>
              <w:t>3.3</w:t>
            </w:r>
            <w:r>
              <w:rPr>
                <w:b/>
                <w:bCs/>
                <w:iCs/>
                <w:sz w:val="24"/>
                <w:szCs w:val="24"/>
                <w:lang w:val="nl-BE"/>
              </w:rPr>
              <w:t xml:space="preserve"> </w:t>
            </w:r>
            <w:r w:rsidRPr="004C19F8">
              <w:rPr>
                <w:b/>
                <w:bCs/>
                <w:iCs/>
                <w:sz w:val="24"/>
                <w:szCs w:val="24"/>
                <w:lang w:val="nl-BE"/>
              </w:rPr>
              <w:t>Voordelen</w:t>
            </w:r>
          </w:p>
          <w:p w:rsidR="00D5178C" w:rsidRPr="004C19F8" w:rsidRDefault="00D5178C" w:rsidP="003D4E6D">
            <w:pPr>
              <w:jc w:val="both"/>
              <w:rPr>
                <w:b/>
                <w:bCs/>
                <w:iCs/>
                <w:sz w:val="24"/>
                <w:szCs w:val="24"/>
                <w:lang w:val="nl-BE"/>
              </w:rPr>
            </w:pPr>
          </w:p>
          <w:p w:rsidR="004C19F8" w:rsidRDefault="004C19F8" w:rsidP="003D4E6D">
            <w:pPr>
              <w:jc w:val="both"/>
              <w:rPr>
                <w:b/>
                <w:bCs/>
                <w:iCs/>
                <w:sz w:val="24"/>
                <w:szCs w:val="24"/>
                <w:lang w:val="nl-BE"/>
              </w:rPr>
            </w:pPr>
            <w:r w:rsidRPr="004C19F8">
              <w:rPr>
                <w:b/>
                <w:bCs/>
                <w:iCs/>
                <w:sz w:val="24"/>
                <w:szCs w:val="24"/>
                <w:lang w:val="nl-BE"/>
              </w:rPr>
              <w:t>3.4</w:t>
            </w:r>
            <w:r>
              <w:rPr>
                <w:b/>
                <w:bCs/>
                <w:iCs/>
                <w:sz w:val="24"/>
                <w:szCs w:val="24"/>
                <w:lang w:val="nl-BE"/>
              </w:rPr>
              <w:t xml:space="preserve"> </w:t>
            </w:r>
            <w:r w:rsidRPr="004C19F8">
              <w:rPr>
                <w:b/>
                <w:bCs/>
                <w:iCs/>
                <w:sz w:val="24"/>
                <w:szCs w:val="24"/>
                <w:lang w:val="nl-BE"/>
              </w:rPr>
              <w:t>Nadelen</w:t>
            </w:r>
          </w:p>
          <w:p w:rsidR="00346633" w:rsidRDefault="00346633" w:rsidP="003D4E6D">
            <w:pPr>
              <w:jc w:val="both"/>
              <w:rPr>
                <w:b/>
                <w:bCs/>
                <w:iCs/>
                <w:sz w:val="24"/>
                <w:szCs w:val="24"/>
                <w:lang w:val="nl-BE"/>
              </w:rPr>
            </w:pPr>
          </w:p>
          <w:p w:rsidR="00346633" w:rsidRPr="004C19F8" w:rsidRDefault="00346633" w:rsidP="003D4E6D">
            <w:pPr>
              <w:jc w:val="both"/>
              <w:rPr>
                <w:b/>
                <w:bCs/>
                <w:iCs/>
                <w:sz w:val="24"/>
                <w:szCs w:val="24"/>
                <w:lang w:val="nl-BE"/>
              </w:rPr>
            </w:pPr>
            <w:r>
              <w:rPr>
                <w:b/>
                <w:bCs/>
                <w:iCs/>
                <w:sz w:val="24"/>
                <w:szCs w:val="24"/>
                <w:lang w:val="nl-BE"/>
              </w:rPr>
              <w:t>3.5  Wettelijke basis</w:t>
            </w:r>
          </w:p>
          <w:p w:rsidR="004C19F8" w:rsidRDefault="004C19F8" w:rsidP="003D4E6D">
            <w:pPr>
              <w:jc w:val="both"/>
              <w:rPr>
                <w:iCs/>
                <w:szCs w:val="24"/>
                <w:lang w:val="nl-BE"/>
              </w:rPr>
            </w:pPr>
          </w:p>
          <w:p w:rsidR="003D4E6D" w:rsidRPr="00881048" w:rsidRDefault="003D4E6D" w:rsidP="003D4E6D">
            <w:pPr>
              <w:jc w:val="both"/>
              <w:rPr>
                <w:iCs/>
                <w:szCs w:val="24"/>
                <w:lang w:val="nl-BE"/>
              </w:rPr>
            </w:pPr>
          </w:p>
        </w:tc>
      </w:tr>
      <w:tr w:rsidR="00C77A4D" w:rsidRPr="00A244D2"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77A4D" w:rsidRPr="00C77A4D" w:rsidRDefault="00C77A4D" w:rsidP="00C77A4D">
            <w:pPr>
              <w:pStyle w:val="Lijstalinea"/>
              <w:numPr>
                <w:ilvl w:val="0"/>
                <w:numId w:val="1"/>
              </w:numPr>
              <w:jc w:val="center"/>
              <w:rPr>
                <w:b/>
                <w:sz w:val="24"/>
                <w:szCs w:val="24"/>
              </w:rPr>
            </w:pPr>
            <w:proofErr w:type="spellStart"/>
            <w:r>
              <w:rPr>
                <w:b/>
                <w:sz w:val="24"/>
                <w:szCs w:val="24"/>
              </w:rPr>
              <w:t>Doelgroep</w:t>
            </w:r>
            <w:proofErr w:type="spellEnd"/>
          </w:p>
          <w:p w:rsidR="00C77A4D" w:rsidRPr="00A244D2" w:rsidRDefault="00C77A4D" w:rsidP="00D2572F">
            <w:pPr>
              <w:jc w:val="center"/>
              <w:rPr>
                <w:i/>
                <w:sz w:val="24"/>
                <w:szCs w:val="24"/>
              </w:rPr>
            </w:pPr>
          </w:p>
        </w:tc>
      </w:tr>
      <w:tr w:rsidR="00C77A4D" w:rsidRPr="00833AAD" w:rsidTr="00D2572F">
        <w:tc>
          <w:tcPr>
            <w:tcW w:w="9495" w:type="dxa"/>
            <w:tcBorders>
              <w:top w:val="single" w:sz="4" w:space="0" w:color="auto"/>
              <w:left w:val="single" w:sz="4" w:space="0" w:color="auto"/>
              <w:bottom w:val="single" w:sz="4" w:space="0" w:color="auto"/>
              <w:right w:val="single" w:sz="4" w:space="0" w:color="auto"/>
            </w:tcBorders>
          </w:tcPr>
          <w:p w:rsidR="00C77A4D" w:rsidRDefault="00462F78" w:rsidP="00C77A4D">
            <w:pPr>
              <w:rPr>
                <w:sz w:val="24"/>
                <w:szCs w:val="24"/>
                <w:lang w:val="fr-FR"/>
              </w:rPr>
            </w:pPr>
            <w:proofErr w:type="spellStart"/>
            <w:r>
              <w:rPr>
                <w:sz w:val="24"/>
                <w:szCs w:val="24"/>
                <w:lang w:val="fr-FR"/>
              </w:rPr>
              <w:t>Begunstigden</w:t>
            </w:r>
            <w:proofErr w:type="spellEnd"/>
            <w:r>
              <w:rPr>
                <w:sz w:val="24"/>
                <w:szCs w:val="24"/>
                <w:lang w:val="fr-FR"/>
              </w:rPr>
              <w:t xml:space="preserve"> met </w:t>
            </w:r>
            <w:proofErr w:type="spellStart"/>
            <w:r>
              <w:rPr>
                <w:sz w:val="24"/>
                <w:szCs w:val="24"/>
                <w:lang w:val="fr-FR"/>
              </w:rPr>
              <w:t>een</w:t>
            </w:r>
            <w:proofErr w:type="spellEnd"/>
            <w:r>
              <w:rPr>
                <w:sz w:val="24"/>
                <w:szCs w:val="24"/>
                <w:lang w:val="fr-FR"/>
              </w:rPr>
              <w:t xml:space="preserve"> GPMI</w:t>
            </w:r>
          </w:p>
          <w:p w:rsidR="00C77A4D" w:rsidRPr="00833AAD" w:rsidRDefault="00C77A4D" w:rsidP="00C77A4D">
            <w:pPr>
              <w:rPr>
                <w:sz w:val="24"/>
                <w:szCs w:val="24"/>
                <w:lang w:val="fr-FR"/>
              </w:rPr>
            </w:pPr>
          </w:p>
        </w:tc>
      </w:tr>
      <w:tr w:rsidR="00C77A4D" w:rsidRPr="00C77A4D"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77A4D" w:rsidRPr="00C77A4D" w:rsidRDefault="00C77A4D" w:rsidP="00C77A4D">
            <w:pPr>
              <w:pStyle w:val="Lijstalinea"/>
              <w:numPr>
                <w:ilvl w:val="0"/>
                <w:numId w:val="1"/>
              </w:numPr>
              <w:jc w:val="center"/>
              <w:rPr>
                <w:b/>
                <w:sz w:val="24"/>
                <w:szCs w:val="24"/>
              </w:rPr>
            </w:pPr>
            <w:proofErr w:type="spellStart"/>
            <w:r>
              <w:rPr>
                <w:b/>
                <w:sz w:val="24"/>
                <w:szCs w:val="24"/>
              </w:rPr>
              <w:t>Budgettaire</w:t>
            </w:r>
            <w:proofErr w:type="spellEnd"/>
            <w:r>
              <w:rPr>
                <w:b/>
                <w:sz w:val="24"/>
                <w:szCs w:val="24"/>
              </w:rPr>
              <w:t xml:space="preserve"> impact</w:t>
            </w:r>
          </w:p>
          <w:p w:rsidR="00C77A4D" w:rsidRPr="00A244D2" w:rsidRDefault="00C77A4D" w:rsidP="00D2572F">
            <w:pPr>
              <w:jc w:val="center"/>
              <w:rPr>
                <w:i/>
                <w:sz w:val="24"/>
                <w:szCs w:val="24"/>
              </w:rPr>
            </w:pPr>
          </w:p>
        </w:tc>
      </w:tr>
      <w:tr w:rsidR="00C77A4D" w:rsidRPr="00C77A4D" w:rsidTr="003D4E6D">
        <w:tc>
          <w:tcPr>
            <w:tcW w:w="9495" w:type="dxa"/>
            <w:tcBorders>
              <w:top w:val="single" w:sz="4" w:space="0" w:color="auto"/>
              <w:left w:val="single" w:sz="4" w:space="0" w:color="auto"/>
              <w:bottom w:val="single" w:sz="4" w:space="0" w:color="auto"/>
              <w:right w:val="single" w:sz="4" w:space="0" w:color="auto"/>
            </w:tcBorders>
          </w:tcPr>
          <w:p w:rsidR="00C77A4D" w:rsidRPr="00C77A4D" w:rsidRDefault="00C77A4D" w:rsidP="00C77A4D">
            <w:pPr>
              <w:rPr>
                <w:b/>
                <w:bCs/>
                <w:sz w:val="24"/>
                <w:szCs w:val="24"/>
                <w:lang w:val="nl-BE"/>
              </w:rPr>
            </w:pPr>
            <w:r w:rsidRPr="00C77A4D">
              <w:rPr>
                <w:b/>
                <w:bCs/>
                <w:sz w:val="24"/>
                <w:szCs w:val="24"/>
                <w:lang w:val="nl-BE"/>
              </w:rPr>
              <w:t>Kosten en financiering van deze maatregel</w:t>
            </w:r>
          </w:p>
          <w:p w:rsidR="00C77A4D" w:rsidRPr="00C77A4D" w:rsidRDefault="00C77A4D" w:rsidP="00C77A4D">
            <w:pPr>
              <w:rPr>
                <w:sz w:val="24"/>
                <w:szCs w:val="24"/>
                <w:lang w:val="nl-BE"/>
              </w:rPr>
            </w:pPr>
          </w:p>
        </w:tc>
      </w:tr>
      <w:tr w:rsidR="00C77A4D" w:rsidRPr="009541AA"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77A4D" w:rsidRPr="009541AA" w:rsidRDefault="009541AA" w:rsidP="009541AA">
            <w:pPr>
              <w:numPr>
                <w:ilvl w:val="0"/>
                <w:numId w:val="1"/>
              </w:numPr>
              <w:contextualSpacing/>
              <w:jc w:val="center"/>
              <w:rPr>
                <w:b/>
                <w:bCs/>
                <w:iCs/>
                <w:sz w:val="24"/>
                <w:szCs w:val="24"/>
                <w:lang w:val="nl-BE"/>
              </w:rPr>
            </w:pPr>
            <w:bookmarkStart w:id="1" w:name="_Hlk55895887"/>
            <w:r w:rsidRPr="009541AA">
              <w:rPr>
                <w:b/>
                <w:bCs/>
                <w:iCs/>
                <w:sz w:val="24"/>
                <w:szCs w:val="24"/>
                <w:lang w:val="nl-BE"/>
              </w:rPr>
              <w:t>Verwacht resultaat(en) met analyse-elementen</w:t>
            </w:r>
          </w:p>
        </w:tc>
      </w:tr>
      <w:bookmarkEnd w:id="1"/>
      <w:tr w:rsidR="00C77A4D" w:rsidRPr="009541AA" w:rsidTr="003D4E6D">
        <w:tc>
          <w:tcPr>
            <w:tcW w:w="9495" w:type="dxa"/>
            <w:tcBorders>
              <w:top w:val="single" w:sz="4" w:space="0" w:color="auto"/>
              <w:left w:val="single" w:sz="4" w:space="0" w:color="auto"/>
              <w:bottom w:val="single" w:sz="4" w:space="0" w:color="auto"/>
              <w:right w:val="single" w:sz="4" w:space="0" w:color="auto"/>
            </w:tcBorders>
          </w:tcPr>
          <w:p w:rsidR="009F2BCA" w:rsidRDefault="00346633" w:rsidP="00C77A4D">
            <w:pPr>
              <w:rPr>
                <w:b/>
                <w:bCs/>
                <w:sz w:val="24"/>
                <w:szCs w:val="24"/>
                <w:lang w:val="nl-BE"/>
              </w:rPr>
            </w:pPr>
            <w:r>
              <w:rPr>
                <w:b/>
                <w:bCs/>
                <w:sz w:val="24"/>
                <w:szCs w:val="24"/>
                <w:lang w:val="nl-BE"/>
              </w:rPr>
              <w:t xml:space="preserve">6.1 </w:t>
            </w:r>
            <w:r w:rsidR="00C77A4D" w:rsidRPr="006D638F">
              <w:rPr>
                <w:b/>
                <w:bCs/>
                <w:sz w:val="24"/>
                <w:szCs w:val="24"/>
                <w:lang w:val="nl-BE"/>
              </w:rPr>
              <w:t>Gewenste situatie</w:t>
            </w:r>
            <w:r>
              <w:rPr>
                <w:b/>
                <w:bCs/>
                <w:sz w:val="24"/>
                <w:szCs w:val="24"/>
                <w:lang w:val="nl-BE"/>
              </w:rPr>
              <w:t>?</w:t>
            </w:r>
            <w:r w:rsidR="009F2BCA">
              <w:rPr>
                <w:b/>
                <w:bCs/>
                <w:sz w:val="24"/>
                <w:szCs w:val="24"/>
                <w:lang w:val="nl-BE"/>
              </w:rPr>
              <w:t xml:space="preserve"> </w:t>
            </w:r>
          </w:p>
          <w:p w:rsidR="00C77A4D" w:rsidRPr="009F2BCA" w:rsidRDefault="009F2BCA" w:rsidP="00C77A4D">
            <w:pPr>
              <w:rPr>
                <w:sz w:val="24"/>
                <w:szCs w:val="24"/>
                <w:lang w:val="nl-BE"/>
              </w:rPr>
            </w:pPr>
            <w:r w:rsidRPr="009F2BCA">
              <w:rPr>
                <w:sz w:val="24"/>
                <w:szCs w:val="24"/>
                <w:lang w:val="nl-BE"/>
              </w:rPr>
              <w:t xml:space="preserve">De </w:t>
            </w:r>
            <w:proofErr w:type="spellStart"/>
            <w:r w:rsidRPr="009F2BCA">
              <w:rPr>
                <w:sz w:val="24"/>
                <w:szCs w:val="24"/>
                <w:lang w:val="nl-BE"/>
              </w:rPr>
              <w:t>OCMW’s</w:t>
            </w:r>
            <w:proofErr w:type="spellEnd"/>
            <w:r w:rsidRPr="009F2BCA">
              <w:rPr>
                <w:sz w:val="24"/>
                <w:szCs w:val="24"/>
                <w:lang w:val="nl-BE"/>
              </w:rPr>
              <w:t xml:space="preserve"> moeten soepel omgaan </w:t>
            </w:r>
            <w:r>
              <w:rPr>
                <w:sz w:val="24"/>
                <w:szCs w:val="24"/>
                <w:lang w:val="nl-BE"/>
              </w:rPr>
              <w:t>bij</w:t>
            </w:r>
            <w:r w:rsidRPr="009F2BCA">
              <w:rPr>
                <w:sz w:val="24"/>
                <w:szCs w:val="24"/>
                <w:lang w:val="nl-BE"/>
              </w:rPr>
              <w:t xml:space="preserve"> het controleren van de naleving van het </w:t>
            </w:r>
            <w:proofErr w:type="spellStart"/>
            <w:r w:rsidRPr="009F2BCA">
              <w:rPr>
                <w:sz w:val="24"/>
                <w:szCs w:val="24"/>
                <w:lang w:val="nl-BE"/>
              </w:rPr>
              <w:t>GPMI’s</w:t>
            </w:r>
            <w:proofErr w:type="spellEnd"/>
            <w:r>
              <w:rPr>
                <w:sz w:val="24"/>
                <w:szCs w:val="24"/>
                <w:lang w:val="nl-BE"/>
              </w:rPr>
              <w:t>, evaluaties</w:t>
            </w:r>
            <w:r w:rsidR="00097517">
              <w:rPr>
                <w:sz w:val="24"/>
                <w:szCs w:val="24"/>
                <w:lang w:val="nl-BE"/>
              </w:rPr>
              <w:t xml:space="preserve"> worden</w:t>
            </w:r>
            <w:r>
              <w:rPr>
                <w:sz w:val="24"/>
                <w:szCs w:val="24"/>
                <w:lang w:val="nl-BE"/>
              </w:rPr>
              <w:t xml:space="preserve"> </w:t>
            </w:r>
            <w:r w:rsidR="00097517">
              <w:rPr>
                <w:sz w:val="24"/>
                <w:szCs w:val="24"/>
                <w:lang w:val="nl-BE"/>
              </w:rPr>
              <w:t>via elektronische weg</w:t>
            </w:r>
            <w:r>
              <w:rPr>
                <w:sz w:val="24"/>
                <w:szCs w:val="24"/>
                <w:lang w:val="nl-BE"/>
              </w:rPr>
              <w:t xml:space="preserve"> uitgevoerd</w:t>
            </w:r>
            <w:r w:rsidR="00097517">
              <w:rPr>
                <w:sz w:val="24"/>
                <w:szCs w:val="24"/>
                <w:lang w:val="nl-BE"/>
              </w:rPr>
              <w:t xml:space="preserve"> of uitgesteld tot een later moment</w:t>
            </w:r>
            <w:r>
              <w:rPr>
                <w:sz w:val="24"/>
                <w:szCs w:val="24"/>
                <w:lang w:val="nl-BE"/>
              </w:rPr>
              <w:t>. De huidige omstandigheden die zowel de opmaak</w:t>
            </w:r>
            <w:r w:rsidR="00097517">
              <w:rPr>
                <w:sz w:val="24"/>
                <w:szCs w:val="24"/>
                <w:lang w:val="nl-BE"/>
              </w:rPr>
              <w:t>,</w:t>
            </w:r>
            <w:r>
              <w:rPr>
                <w:sz w:val="24"/>
                <w:szCs w:val="24"/>
                <w:lang w:val="nl-BE"/>
              </w:rPr>
              <w:t xml:space="preserve"> de uitvoering en de evaluaties </w:t>
            </w:r>
            <w:proofErr w:type="spellStart"/>
            <w:r>
              <w:rPr>
                <w:sz w:val="24"/>
                <w:szCs w:val="24"/>
                <w:lang w:val="nl-BE"/>
              </w:rPr>
              <w:t>mbt</w:t>
            </w:r>
            <w:proofErr w:type="spellEnd"/>
            <w:r>
              <w:rPr>
                <w:sz w:val="24"/>
                <w:szCs w:val="24"/>
                <w:lang w:val="nl-BE"/>
              </w:rPr>
              <w:t xml:space="preserve"> het GPMI bemoeilijken vallen onder de noemer overmacht.</w:t>
            </w:r>
            <w:r w:rsidR="00097517">
              <w:rPr>
                <w:sz w:val="24"/>
                <w:szCs w:val="24"/>
                <w:lang w:val="nl-BE"/>
              </w:rPr>
              <w:t xml:space="preserve"> Het niet uitvoeren van de bepalingen van het GPMI die te wijten is aan de huidige omstandigheden mogen absoluut niet leiden tot een sanctie.</w:t>
            </w:r>
          </w:p>
          <w:p w:rsidR="00C77A4D" w:rsidRPr="006F12B7" w:rsidRDefault="006F12B7" w:rsidP="00C77A4D">
            <w:pPr>
              <w:rPr>
                <w:sz w:val="24"/>
                <w:szCs w:val="24"/>
                <w:lang w:val="fr-FR"/>
              </w:rPr>
            </w:pPr>
            <w:proofErr w:type="spellStart"/>
            <w:r>
              <w:rPr>
                <w:sz w:val="24"/>
                <w:szCs w:val="24"/>
                <w:lang w:val="fr-FR"/>
              </w:rPr>
              <w:t>Specifiek</w:t>
            </w:r>
            <w:proofErr w:type="spellEnd"/>
            <w:r>
              <w:rPr>
                <w:sz w:val="24"/>
                <w:szCs w:val="24"/>
                <w:lang w:val="fr-FR"/>
              </w:rPr>
              <w:t xml:space="preserve"> </w:t>
            </w:r>
            <w:proofErr w:type="spellStart"/>
            <w:r>
              <w:rPr>
                <w:sz w:val="24"/>
                <w:szCs w:val="24"/>
                <w:lang w:val="fr-FR"/>
              </w:rPr>
              <w:t>voor</w:t>
            </w:r>
            <w:proofErr w:type="spellEnd"/>
            <w:r>
              <w:rPr>
                <w:sz w:val="24"/>
                <w:szCs w:val="24"/>
                <w:lang w:val="fr-FR"/>
              </w:rPr>
              <w:t xml:space="preserve"> </w:t>
            </w:r>
            <w:proofErr w:type="spellStart"/>
            <w:r>
              <w:rPr>
                <w:sz w:val="24"/>
                <w:szCs w:val="24"/>
                <w:lang w:val="fr-FR"/>
              </w:rPr>
              <w:t>studenten</w:t>
            </w:r>
            <w:proofErr w:type="spellEnd"/>
            <w:r>
              <w:rPr>
                <w:sz w:val="24"/>
                <w:szCs w:val="24"/>
                <w:lang w:val="fr-FR"/>
              </w:rPr>
              <w:t xml:space="preserve"> : </w:t>
            </w:r>
            <w:r w:rsidRPr="006F12B7">
              <w:rPr>
                <w:sz w:val="24"/>
                <w:szCs w:val="24"/>
                <w:lang w:val="fr-FR"/>
              </w:rPr>
              <w:t>Une garantie du maintien du droit au revenu d’intégration malgré les difficultés académiques et de recherche de travail étudiant.</w:t>
            </w:r>
          </w:p>
          <w:p w:rsidR="00C77A4D" w:rsidRPr="006F12B7" w:rsidRDefault="00C77A4D" w:rsidP="00C77A4D">
            <w:pPr>
              <w:rPr>
                <w:b/>
                <w:bCs/>
                <w:sz w:val="24"/>
                <w:szCs w:val="24"/>
                <w:lang w:val="fr-FR"/>
              </w:rPr>
            </w:pPr>
          </w:p>
          <w:p w:rsidR="00346633" w:rsidRDefault="00346633" w:rsidP="009541AA">
            <w:pPr>
              <w:rPr>
                <w:b/>
                <w:bCs/>
                <w:sz w:val="24"/>
                <w:szCs w:val="24"/>
                <w:lang w:val="nl-BE"/>
              </w:rPr>
            </w:pPr>
            <w:r>
              <w:rPr>
                <w:b/>
                <w:bCs/>
                <w:sz w:val="24"/>
                <w:szCs w:val="24"/>
                <w:lang w:val="nl-BE"/>
              </w:rPr>
              <w:t xml:space="preserve">6.2 </w:t>
            </w:r>
            <w:r w:rsidR="009541AA" w:rsidRPr="009541AA">
              <w:rPr>
                <w:b/>
                <w:bCs/>
                <w:sz w:val="24"/>
                <w:szCs w:val="24"/>
                <w:lang w:val="nl-BE"/>
              </w:rPr>
              <w:t>Hoe de doelstelling bereiken</w:t>
            </w:r>
            <w:r>
              <w:rPr>
                <w:b/>
                <w:bCs/>
                <w:sz w:val="24"/>
                <w:szCs w:val="24"/>
                <w:lang w:val="nl-BE"/>
              </w:rPr>
              <w:t xml:space="preserve">? </w:t>
            </w:r>
          </w:p>
          <w:p w:rsidR="00346633" w:rsidRPr="00097517" w:rsidRDefault="00097517" w:rsidP="009541AA">
            <w:pPr>
              <w:rPr>
                <w:sz w:val="24"/>
                <w:szCs w:val="24"/>
                <w:lang w:val="nl-BE"/>
              </w:rPr>
            </w:pPr>
            <w:r w:rsidRPr="00097517">
              <w:rPr>
                <w:sz w:val="24"/>
                <w:szCs w:val="24"/>
                <w:lang w:val="nl-BE"/>
              </w:rPr>
              <w:t xml:space="preserve">Via publicatie van FAQ de regelgeving herhalen alsook de procedures en versoepelingen </w:t>
            </w:r>
            <w:proofErr w:type="spellStart"/>
            <w:r w:rsidRPr="00097517">
              <w:rPr>
                <w:sz w:val="24"/>
                <w:szCs w:val="24"/>
                <w:lang w:val="nl-BE"/>
              </w:rPr>
              <w:t>mbt</w:t>
            </w:r>
            <w:proofErr w:type="spellEnd"/>
            <w:r w:rsidRPr="00097517">
              <w:rPr>
                <w:sz w:val="24"/>
                <w:szCs w:val="24"/>
                <w:lang w:val="nl-BE"/>
              </w:rPr>
              <w:t xml:space="preserve"> </w:t>
            </w:r>
            <w:r>
              <w:rPr>
                <w:sz w:val="24"/>
                <w:szCs w:val="24"/>
                <w:lang w:val="nl-BE"/>
              </w:rPr>
              <w:t>het GPMI</w:t>
            </w:r>
            <w:r w:rsidRPr="00097517">
              <w:rPr>
                <w:sz w:val="24"/>
                <w:szCs w:val="24"/>
                <w:lang w:val="nl-BE"/>
              </w:rPr>
              <w:t xml:space="preserve"> tijdens deze 2de crisisperiode verduidelijken</w:t>
            </w:r>
            <w:r>
              <w:rPr>
                <w:sz w:val="24"/>
                <w:szCs w:val="24"/>
                <w:lang w:val="nl-BE"/>
              </w:rPr>
              <w:t>.</w:t>
            </w:r>
          </w:p>
          <w:p w:rsidR="00346633" w:rsidRDefault="00346633" w:rsidP="009541AA">
            <w:pPr>
              <w:rPr>
                <w:b/>
                <w:bCs/>
                <w:sz w:val="24"/>
                <w:szCs w:val="24"/>
                <w:lang w:val="nl-BE"/>
              </w:rPr>
            </w:pPr>
          </w:p>
          <w:p w:rsidR="006D638F" w:rsidRPr="009541AA" w:rsidRDefault="00346633" w:rsidP="009541AA">
            <w:pPr>
              <w:rPr>
                <w:b/>
                <w:bCs/>
                <w:sz w:val="24"/>
                <w:szCs w:val="24"/>
                <w:lang w:val="nl-BE"/>
              </w:rPr>
            </w:pPr>
            <w:r>
              <w:rPr>
                <w:b/>
                <w:bCs/>
                <w:sz w:val="24"/>
                <w:szCs w:val="24"/>
                <w:lang w:val="nl-BE"/>
              </w:rPr>
              <w:t>6.3 Wet- en regelgeving aanpassen?</w:t>
            </w:r>
          </w:p>
          <w:p w:rsidR="00C77A4D" w:rsidRPr="009541AA" w:rsidRDefault="00C77A4D" w:rsidP="00C77A4D">
            <w:pPr>
              <w:jc w:val="center"/>
              <w:rPr>
                <w:i/>
                <w:iCs/>
                <w:color w:val="FF0000"/>
                <w:sz w:val="24"/>
                <w:szCs w:val="24"/>
                <w:lang w:val="nl-BE"/>
              </w:rPr>
            </w:pPr>
          </w:p>
          <w:p w:rsidR="00C77A4D" w:rsidRPr="009541AA" w:rsidRDefault="00C77A4D" w:rsidP="00C77A4D">
            <w:pPr>
              <w:jc w:val="both"/>
              <w:rPr>
                <w:b/>
                <w:bCs/>
                <w:sz w:val="24"/>
                <w:szCs w:val="24"/>
                <w:lang w:val="nl-BE"/>
              </w:rPr>
            </w:pPr>
          </w:p>
        </w:tc>
      </w:tr>
      <w:tr w:rsidR="006D638F" w:rsidRPr="006D638F"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D638F" w:rsidRPr="006D638F" w:rsidRDefault="006D638F" w:rsidP="006D638F">
            <w:pPr>
              <w:pStyle w:val="Lijstalinea"/>
              <w:numPr>
                <w:ilvl w:val="0"/>
                <w:numId w:val="1"/>
              </w:numPr>
              <w:jc w:val="center"/>
              <w:rPr>
                <w:b/>
                <w:sz w:val="24"/>
                <w:szCs w:val="24"/>
              </w:rPr>
            </w:pPr>
            <w:proofErr w:type="spellStart"/>
            <w:r>
              <w:rPr>
                <w:b/>
                <w:sz w:val="24"/>
                <w:szCs w:val="24"/>
              </w:rPr>
              <w:t>Stappenplan</w:t>
            </w:r>
            <w:proofErr w:type="spellEnd"/>
          </w:p>
          <w:p w:rsidR="006D638F" w:rsidRPr="00A244D2" w:rsidRDefault="006D638F" w:rsidP="00D2572F">
            <w:pPr>
              <w:jc w:val="center"/>
              <w:rPr>
                <w:i/>
                <w:sz w:val="24"/>
                <w:szCs w:val="24"/>
              </w:rPr>
            </w:pPr>
          </w:p>
        </w:tc>
      </w:tr>
      <w:tr w:rsidR="006D638F" w:rsidRPr="006D638F" w:rsidTr="003D4E6D">
        <w:tc>
          <w:tcPr>
            <w:tcW w:w="9495" w:type="dxa"/>
            <w:tcBorders>
              <w:top w:val="single" w:sz="4" w:space="0" w:color="auto"/>
              <w:left w:val="single" w:sz="4" w:space="0" w:color="auto"/>
              <w:bottom w:val="single" w:sz="4" w:space="0" w:color="auto"/>
              <w:right w:val="single" w:sz="4" w:space="0" w:color="auto"/>
            </w:tcBorders>
          </w:tcPr>
          <w:p w:rsidR="006D638F" w:rsidRDefault="00346633" w:rsidP="006D638F">
            <w:pPr>
              <w:rPr>
                <w:b/>
                <w:bCs/>
                <w:sz w:val="24"/>
                <w:szCs w:val="24"/>
                <w:lang w:val="fr-FR"/>
              </w:rPr>
            </w:pPr>
            <w:proofErr w:type="spellStart"/>
            <w:r>
              <w:rPr>
                <w:b/>
                <w:bCs/>
                <w:sz w:val="24"/>
                <w:szCs w:val="24"/>
                <w:lang w:val="fr-FR"/>
              </w:rPr>
              <w:t>Uitvoeringsschema</w:t>
            </w:r>
            <w:proofErr w:type="spellEnd"/>
          </w:p>
          <w:p w:rsidR="00097517" w:rsidRPr="000C6698" w:rsidRDefault="00097517" w:rsidP="006D638F">
            <w:pPr>
              <w:rPr>
                <w:sz w:val="24"/>
                <w:szCs w:val="24"/>
                <w:lang w:val="nl-BE"/>
              </w:rPr>
            </w:pPr>
            <w:r w:rsidRPr="000C6698">
              <w:rPr>
                <w:sz w:val="24"/>
                <w:szCs w:val="24"/>
                <w:lang w:val="nl-BE"/>
              </w:rPr>
              <w:t>Reeds gepubliceerd op de site van de POD MI miv 2/11/2020</w:t>
            </w:r>
          </w:p>
          <w:p w:rsidR="006D638F" w:rsidRPr="00097517" w:rsidRDefault="006D638F" w:rsidP="006D638F">
            <w:pPr>
              <w:rPr>
                <w:b/>
                <w:bCs/>
                <w:sz w:val="24"/>
                <w:szCs w:val="24"/>
                <w:lang w:val="nl-BE"/>
              </w:rPr>
            </w:pPr>
          </w:p>
        </w:tc>
      </w:tr>
    </w:tbl>
    <w:p w:rsidR="00A244D2" w:rsidRPr="00097517" w:rsidRDefault="00A244D2"/>
    <w:sectPr w:rsidR="00A244D2" w:rsidRPr="00097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38B"/>
    <w:multiLevelType w:val="hybridMultilevel"/>
    <w:tmpl w:val="793ECE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69E30D2"/>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2E094DDF"/>
    <w:multiLevelType w:val="hybridMultilevel"/>
    <w:tmpl w:val="676629AA"/>
    <w:lvl w:ilvl="0" w:tplc="17D008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AB57AA"/>
    <w:multiLevelType w:val="hybridMultilevel"/>
    <w:tmpl w:val="F4D8A7A8"/>
    <w:lvl w:ilvl="0" w:tplc="E234A7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DC3937"/>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59392E10"/>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656C38EA"/>
    <w:multiLevelType w:val="hybridMultilevel"/>
    <w:tmpl w:val="56F46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E3F2968"/>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2"/>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2"/>
    <w:rsid w:val="0003438F"/>
    <w:rsid w:val="00046045"/>
    <w:rsid w:val="00072339"/>
    <w:rsid w:val="0008087C"/>
    <w:rsid w:val="00084015"/>
    <w:rsid w:val="00097517"/>
    <w:rsid w:val="000C6698"/>
    <w:rsid w:val="00113612"/>
    <w:rsid w:val="00162057"/>
    <w:rsid w:val="001837D9"/>
    <w:rsid w:val="001B6FFB"/>
    <w:rsid w:val="001D26DF"/>
    <w:rsid w:val="001D71ED"/>
    <w:rsid w:val="0021238A"/>
    <w:rsid w:val="00242594"/>
    <w:rsid w:val="00246CDA"/>
    <w:rsid w:val="002677EC"/>
    <w:rsid w:val="002B714A"/>
    <w:rsid w:val="002D75F2"/>
    <w:rsid w:val="002E037A"/>
    <w:rsid w:val="0031089E"/>
    <w:rsid w:val="00325855"/>
    <w:rsid w:val="00346633"/>
    <w:rsid w:val="0036088C"/>
    <w:rsid w:val="00362012"/>
    <w:rsid w:val="003A2655"/>
    <w:rsid w:val="003B760A"/>
    <w:rsid w:val="003C305C"/>
    <w:rsid w:val="003D4E6D"/>
    <w:rsid w:val="00462F78"/>
    <w:rsid w:val="004C19F8"/>
    <w:rsid w:val="00576153"/>
    <w:rsid w:val="005A204F"/>
    <w:rsid w:val="005F3454"/>
    <w:rsid w:val="00612FE1"/>
    <w:rsid w:val="006A5A24"/>
    <w:rsid w:val="006B623E"/>
    <w:rsid w:val="006C61AD"/>
    <w:rsid w:val="006D638F"/>
    <w:rsid w:val="006F12B7"/>
    <w:rsid w:val="00727202"/>
    <w:rsid w:val="0074380F"/>
    <w:rsid w:val="007643CF"/>
    <w:rsid w:val="00777DE9"/>
    <w:rsid w:val="007D5201"/>
    <w:rsid w:val="00823307"/>
    <w:rsid w:val="00833AAD"/>
    <w:rsid w:val="00852653"/>
    <w:rsid w:val="00881048"/>
    <w:rsid w:val="00892774"/>
    <w:rsid w:val="009517B1"/>
    <w:rsid w:val="009541AA"/>
    <w:rsid w:val="009F2BCA"/>
    <w:rsid w:val="00A105FA"/>
    <w:rsid w:val="00A244D2"/>
    <w:rsid w:val="00A55029"/>
    <w:rsid w:val="00A87FFB"/>
    <w:rsid w:val="00A95E99"/>
    <w:rsid w:val="00AA687A"/>
    <w:rsid w:val="00AE25AC"/>
    <w:rsid w:val="00AE2EB6"/>
    <w:rsid w:val="00AF2F02"/>
    <w:rsid w:val="00B0387E"/>
    <w:rsid w:val="00B530C5"/>
    <w:rsid w:val="00B54665"/>
    <w:rsid w:val="00BB310D"/>
    <w:rsid w:val="00BD4010"/>
    <w:rsid w:val="00BD4516"/>
    <w:rsid w:val="00C55C31"/>
    <w:rsid w:val="00C77A4D"/>
    <w:rsid w:val="00CC290F"/>
    <w:rsid w:val="00D039DC"/>
    <w:rsid w:val="00D17492"/>
    <w:rsid w:val="00D5178C"/>
    <w:rsid w:val="00D52E54"/>
    <w:rsid w:val="00DA7E21"/>
    <w:rsid w:val="00DE1B13"/>
    <w:rsid w:val="00E11512"/>
    <w:rsid w:val="00E27EFE"/>
    <w:rsid w:val="00E50492"/>
    <w:rsid w:val="00E70190"/>
    <w:rsid w:val="00EF2063"/>
    <w:rsid w:val="00F72DA4"/>
    <w:rsid w:val="00F945DA"/>
    <w:rsid w:val="00FA0320"/>
    <w:rsid w:val="00FE22BC"/>
    <w:rsid w:val="00FE4D0A"/>
    <w:rsid w:val="00FF2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27B7"/>
  <w15:chartTrackingRefBased/>
  <w15:docId w15:val="{BE515273-CB42-453E-9419-9D8B8002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4D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438F"/>
    <w:pPr>
      <w:ind w:left="720"/>
      <w:contextualSpacing/>
    </w:pPr>
  </w:style>
  <w:style w:type="character" w:styleId="Hyperlink">
    <w:name w:val="Hyperlink"/>
    <w:basedOn w:val="Standaardalinea-lettertype"/>
    <w:uiPriority w:val="99"/>
    <w:unhideWhenUsed/>
    <w:rsid w:val="00084015"/>
    <w:rPr>
      <w:color w:val="0563C1" w:themeColor="hyperlink"/>
      <w:u w:val="single"/>
    </w:rPr>
  </w:style>
  <w:style w:type="character" w:styleId="Onopgelostemelding">
    <w:name w:val="Unresolved Mention"/>
    <w:basedOn w:val="Standaardalinea-lettertype"/>
    <w:uiPriority w:val="99"/>
    <w:semiHidden/>
    <w:unhideWhenUsed/>
    <w:rsid w:val="00084015"/>
    <w:rPr>
      <w:color w:val="605E5C"/>
      <w:shd w:val="clear" w:color="auto" w:fill="E1DFDD"/>
    </w:rPr>
  </w:style>
  <w:style w:type="paragraph" w:styleId="Ballontekst">
    <w:name w:val="Balloon Text"/>
    <w:basedOn w:val="Standaard"/>
    <w:link w:val="BallontekstChar"/>
    <w:uiPriority w:val="99"/>
    <w:semiHidden/>
    <w:unhideWhenUsed/>
    <w:rsid w:val="002425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2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Mattheussens Gunther</cp:lastModifiedBy>
  <cp:revision>2</cp:revision>
  <dcterms:created xsi:type="dcterms:W3CDTF">2020-11-19T10:06:00Z</dcterms:created>
  <dcterms:modified xsi:type="dcterms:W3CDTF">2020-11-19T10:06:00Z</dcterms:modified>
</cp:coreProperties>
</file>