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9566" w14:textId="5AB58BE8" w:rsidR="00362012" w:rsidRPr="007B4E05" w:rsidRDefault="002D75F2">
      <w:pPr>
        <w:rPr>
          <w:b/>
          <w:bCs/>
          <w:sz w:val="28"/>
          <w:szCs w:val="28"/>
        </w:rPr>
      </w:pPr>
      <w:r w:rsidRPr="007B4E05">
        <w:rPr>
          <w:b/>
          <w:bCs/>
          <w:sz w:val="28"/>
          <w:szCs w:val="28"/>
        </w:rPr>
        <w:t>TH</w:t>
      </w:r>
      <w:r w:rsidR="007F691A" w:rsidRPr="007B4E05">
        <w:rPr>
          <w:b/>
          <w:bCs/>
          <w:sz w:val="28"/>
          <w:szCs w:val="28"/>
        </w:rPr>
        <w:t>EME</w:t>
      </w:r>
      <w:r w:rsidRPr="007B4E05">
        <w:rPr>
          <w:b/>
          <w:bCs/>
          <w:sz w:val="28"/>
          <w:szCs w:val="28"/>
        </w:rPr>
        <w:t xml:space="preserve">: </w:t>
      </w:r>
      <w:r w:rsidR="00B800E8" w:rsidRPr="007B4E05">
        <w:rPr>
          <w:rFonts w:ascii="Verdana" w:hAnsi="Verdana"/>
          <w:b/>
          <w:bCs/>
          <w:sz w:val="20"/>
          <w:szCs w:val="20"/>
        </w:rPr>
        <w:t>Huisvesting en thuisloosheid</w:t>
      </w:r>
    </w:p>
    <w:p w14:paraId="6A4B6C6D" w14:textId="77777777" w:rsidR="00823307" w:rsidRPr="007B4E05" w:rsidRDefault="00823307">
      <w:pPr>
        <w:rPr>
          <w:b/>
          <w:bCs/>
          <w:sz w:val="28"/>
          <w:szCs w:val="28"/>
        </w:rPr>
      </w:pPr>
    </w:p>
    <w:tbl>
      <w:tblPr>
        <w:tblStyle w:val="Grilledutableau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244D2" w:rsidRPr="007B4E05" w14:paraId="07B5B387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8B93E5" w14:textId="77777777" w:rsidR="00A244D2" w:rsidRPr="007B4E05" w:rsidRDefault="00C92509" w:rsidP="00A244D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sz w:val="24"/>
                <w:szCs w:val="24"/>
              </w:rPr>
              <w:t>Proposition</w:t>
            </w:r>
          </w:p>
        </w:tc>
      </w:tr>
      <w:tr w:rsidR="00A244D2" w:rsidRPr="007B4E05" w14:paraId="416F9B16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4C5" w14:textId="77777777" w:rsidR="00362012" w:rsidRPr="007B4E05" w:rsidRDefault="003D4E6D" w:rsidP="00362012">
            <w:pPr>
              <w:jc w:val="both"/>
              <w:rPr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1.1 </w:t>
            </w:r>
            <w:r w:rsidR="00C92509" w:rsidRPr="007B4E05">
              <w:rPr>
                <w:b/>
                <w:bCs/>
                <w:sz w:val="24"/>
                <w:szCs w:val="24"/>
              </w:rPr>
              <w:t>Description du contexte/problèmes</w:t>
            </w:r>
          </w:p>
          <w:p w14:paraId="74633DC6" w14:textId="23926F61" w:rsidR="007B4E05" w:rsidRPr="007B4E05" w:rsidRDefault="007446DD" w:rsidP="00362012">
            <w:pPr>
              <w:jc w:val="both"/>
            </w:pPr>
            <w:r w:rsidRPr="007B4E05">
              <w:t>La période hivernale a débuté ce 1er novembre</w:t>
            </w:r>
            <w:r w:rsidR="007B4E05">
              <w:t>, les services sont mieux préparés et une concertation entre les services a permis une meilleure prise en charge du public vulnérable</w:t>
            </w:r>
            <w:r w:rsidRPr="007B4E05">
              <w:t>. Les services d’aide aux personnes sans abris</w:t>
            </w:r>
            <w:r w:rsidR="007B4E05" w:rsidRPr="007B4E05">
              <w:t xml:space="preserve"> (abri de nuit, accueil de jour, aide alimentaire, urgence sociale)</w:t>
            </w:r>
            <w:r w:rsidRPr="007B4E05">
              <w:t xml:space="preserve"> ont adapt</w:t>
            </w:r>
            <w:r w:rsidR="007B4E05" w:rsidRPr="007B4E05">
              <w:t>é</w:t>
            </w:r>
            <w:r w:rsidRPr="007B4E05">
              <w:t xml:space="preserve"> leurs locaux</w:t>
            </w:r>
            <w:r w:rsidR="007B4E05" w:rsidRPr="007B4E05">
              <w:t xml:space="preserve"> et prévu des take-away</w:t>
            </w:r>
            <w:r w:rsidRPr="007B4E05">
              <w:t xml:space="preserve"> pour appliquer les mesures sanitaires et garantir l’offre </w:t>
            </w:r>
            <w:r w:rsidR="007B4E05" w:rsidRPr="007B4E05">
              <w:t>de service</w:t>
            </w:r>
            <w:r w:rsidRPr="007B4E05">
              <w:t xml:space="preserve">.  </w:t>
            </w:r>
            <w:r w:rsidR="007B4E05" w:rsidRPr="007B4E05">
              <w:t xml:space="preserve">Par endroits, il y a </w:t>
            </w:r>
            <w:r w:rsidRPr="007B4E05">
              <w:t xml:space="preserve">dédoublement des locaux et des équipes.  </w:t>
            </w:r>
            <w:r w:rsidR="00DB3974">
              <w:t>Cependant l</w:t>
            </w:r>
            <w:r w:rsidRPr="007B4E05">
              <w:t xml:space="preserve">a pression est forte sur les équipes (maladie, épuisement, …).  Dans les grandes villes wallonnes, des espaces de confinement et de quarantaine </w:t>
            </w:r>
            <w:r w:rsidR="007B4E05" w:rsidRPr="007B4E05">
              <w:t>ont</w:t>
            </w:r>
            <w:r w:rsidRPr="007B4E05">
              <w:t xml:space="preserve"> été prévu</w:t>
            </w:r>
            <w:r w:rsidR="007B4E05" w:rsidRPr="007B4E05">
              <w:t>s.</w:t>
            </w:r>
            <w:r w:rsidR="00DB3974">
              <w:t xml:space="preserve">  Dans les zones rurales, les maisons d’accueil ont prévu des sas d’entrée et des lieux de confinement, ce qui diminue l’offre disponible.  Certaines organisent des hébergements alternatifs </w:t>
            </w:r>
            <w:r w:rsidR="0045734D">
              <w:t>(hôtels, kots, …).</w:t>
            </w:r>
          </w:p>
          <w:p w14:paraId="191F0249" w14:textId="4C2097B2" w:rsidR="00362012" w:rsidRDefault="0045734D" w:rsidP="00362012">
            <w:pPr>
              <w:jc w:val="both"/>
            </w:pPr>
            <w:r>
              <w:t>Ces espaces de confinement</w:t>
            </w:r>
            <w:r w:rsidR="007446DD" w:rsidRPr="007B4E05">
              <w:t xml:space="preserve"> doivent être adaptés à la situation (éviter de mettre des personnes en attente de résultats de tests avec des personnes contaminées).</w:t>
            </w:r>
          </w:p>
          <w:p w14:paraId="196873B7" w14:textId="0A60963C" w:rsidR="0045734D" w:rsidRDefault="00DF3E27" w:rsidP="00362012">
            <w:pPr>
              <w:jc w:val="both"/>
            </w:pPr>
            <w:r>
              <w:t>En ce qui concerne l’aide alimentaire, il y a une  au</w:t>
            </w:r>
            <w:r w:rsidR="0045734D">
              <w:t>gmentation de</w:t>
            </w:r>
            <w:r w:rsidR="00BF72C5">
              <w:t>s</w:t>
            </w:r>
            <w:r w:rsidR="0045734D">
              <w:t xml:space="preserve"> </w:t>
            </w:r>
            <w:r w:rsidR="00BF72C5">
              <w:t>d</w:t>
            </w:r>
            <w:r w:rsidR="0045734D">
              <w:t>emande</w:t>
            </w:r>
            <w:r w:rsidR="00BF72C5">
              <w:t>s</w:t>
            </w:r>
            <w:r w:rsidR="0045734D">
              <w:t xml:space="preserve"> d</w:t>
            </w:r>
            <w:r w:rsidR="00BF72C5">
              <w:t>’</w:t>
            </w:r>
            <w:r w:rsidR="0045734D">
              <w:t>aide alimentaire</w:t>
            </w:r>
            <w:r w:rsidR="00BF72C5">
              <w:t xml:space="preserve">, </w:t>
            </w:r>
            <w:r>
              <w:t xml:space="preserve">les opérateurs connaissent des </w:t>
            </w:r>
            <w:r w:rsidR="00BF72C5">
              <w:t>difficulté</w:t>
            </w:r>
            <w:r>
              <w:t>s</w:t>
            </w:r>
            <w:r w:rsidR="00BF72C5">
              <w:t xml:space="preserve"> d’approvisionnement</w:t>
            </w:r>
            <w:r>
              <w:t xml:space="preserve"> et constatent une</w:t>
            </w:r>
            <w:r w:rsidR="00BF72C5">
              <w:t xml:space="preserve"> augmentation des coûts suite à l’arrêt de distribution d’invendus</w:t>
            </w:r>
            <w:r>
              <w:t xml:space="preserve"> par les grandes surfaces.</w:t>
            </w:r>
          </w:p>
          <w:p w14:paraId="55A76064" w14:textId="77777777" w:rsidR="00852653" w:rsidRPr="007B4E05" w:rsidRDefault="00852653" w:rsidP="00362012">
            <w:pPr>
              <w:jc w:val="both"/>
              <w:rPr>
                <w:sz w:val="24"/>
                <w:szCs w:val="24"/>
              </w:rPr>
            </w:pPr>
          </w:p>
          <w:p w14:paraId="1129CD2C" w14:textId="77777777" w:rsidR="00362012" w:rsidRPr="007B4E05" w:rsidRDefault="003D4E6D" w:rsidP="00362012">
            <w:pPr>
              <w:jc w:val="both"/>
              <w:rPr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1.2 </w:t>
            </w:r>
            <w:r w:rsidR="00C92509" w:rsidRPr="007B4E05">
              <w:rPr>
                <w:b/>
                <w:bCs/>
                <w:sz w:val="24"/>
                <w:szCs w:val="24"/>
              </w:rPr>
              <w:t>Contenu de la mesure</w:t>
            </w:r>
          </w:p>
          <w:p w14:paraId="0BB0D998" w14:textId="74B1693E" w:rsidR="00AE25AC" w:rsidRDefault="007446DD" w:rsidP="00BB310D">
            <w:pPr>
              <w:jc w:val="both"/>
            </w:pPr>
            <w:r w:rsidRPr="007B4E05">
              <w:t>Renforcement en moyens logistiques et humains pour éviter de laisser des personnes dehors</w:t>
            </w:r>
          </w:p>
          <w:p w14:paraId="1A985012" w14:textId="572265C0" w:rsidR="00362012" w:rsidRDefault="007B4E05" w:rsidP="00362012">
            <w:pPr>
              <w:jc w:val="both"/>
            </w:pPr>
            <w:r>
              <w:t>Dépistage à l’entrée des maisons d’accueil pour ne pas bloquer les accueils</w:t>
            </w:r>
          </w:p>
          <w:p w14:paraId="5DA64FB0" w14:textId="71F04A9D" w:rsidR="007B4E05" w:rsidRPr="007B4E05" w:rsidRDefault="007B4E05" w:rsidP="00362012">
            <w:pPr>
              <w:jc w:val="both"/>
            </w:pPr>
            <w:r>
              <w:t>Continuer les attributions en logement social pour ne pas bloquer les sorties de maisons d’accueil, sortir les gens de la rue</w:t>
            </w:r>
          </w:p>
          <w:p w14:paraId="604490B0" w14:textId="77777777" w:rsidR="00A244D2" w:rsidRPr="007B4E05" w:rsidRDefault="00A244D2" w:rsidP="00162057">
            <w:pPr>
              <w:rPr>
                <w:i/>
                <w:iCs/>
                <w:szCs w:val="24"/>
              </w:rPr>
            </w:pPr>
          </w:p>
        </w:tc>
      </w:tr>
      <w:tr w:rsidR="003D4E6D" w:rsidRPr="007B4E05" w14:paraId="1DDFC354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D6B16" w14:textId="77777777" w:rsidR="003D4E6D" w:rsidRPr="007B4E05" w:rsidRDefault="00C92509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>Mise en oeuvre</w:t>
            </w:r>
          </w:p>
          <w:p w14:paraId="3F2231DD" w14:textId="77777777" w:rsidR="003D4E6D" w:rsidRPr="007B4E05" w:rsidRDefault="003D4E6D" w:rsidP="003D4E6D">
            <w:pPr>
              <w:ind w:left="720"/>
              <w:contextualSpacing/>
              <w:jc w:val="center"/>
              <w:rPr>
                <w:i/>
              </w:rPr>
            </w:pPr>
          </w:p>
        </w:tc>
      </w:tr>
      <w:tr w:rsidR="003D4E6D" w:rsidRPr="007B4E05" w14:paraId="01A802E1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167" w14:textId="77777777" w:rsidR="003D4E6D" w:rsidRPr="007B4E05" w:rsidRDefault="003D4E6D" w:rsidP="003D4E6D">
            <w:pPr>
              <w:jc w:val="both"/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2.1 </w:t>
            </w:r>
            <w:r w:rsidR="00C92509" w:rsidRPr="007B4E05">
              <w:rPr>
                <w:b/>
                <w:bCs/>
                <w:sz w:val="24"/>
                <w:szCs w:val="24"/>
              </w:rPr>
              <w:t>Quels sont les résultats déjà obtenus?</w:t>
            </w:r>
          </w:p>
          <w:p w14:paraId="57C8DD6A" w14:textId="56C9271C" w:rsidR="007B4E05" w:rsidRDefault="007B4E05" w:rsidP="003D4E6D">
            <w:pPr>
              <w:jc w:val="both"/>
            </w:pPr>
            <w:r w:rsidRPr="0045734D">
              <w:t xml:space="preserve">Moyens complémentaires pour les relais sociaux </w:t>
            </w:r>
            <w:r w:rsidR="009C30C1">
              <w:t xml:space="preserve">et les gouverneurs des provinces du Brabant wallon et de Luxembourg </w:t>
            </w:r>
            <w:r w:rsidRPr="0045734D">
              <w:t>et le secteur des maisons d’accueil et des abris de nuit</w:t>
            </w:r>
          </w:p>
          <w:p w14:paraId="0A2872B7" w14:textId="0B4CD151" w:rsidR="00DF3E27" w:rsidRDefault="00DF3E27" w:rsidP="003D4E6D">
            <w:pPr>
              <w:jc w:val="both"/>
            </w:pPr>
            <w:r>
              <w:t>Appel</w:t>
            </w:r>
            <w:r w:rsidR="009C30C1">
              <w:t xml:space="preserve"> </w:t>
            </w:r>
            <w:r>
              <w:t>à projet aide alimentaire</w:t>
            </w:r>
            <w:r w:rsidR="009C30C1">
              <w:t xml:space="preserve"> </w:t>
            </w:r>
          </w:p>
          <w:p w14:paraId="1D06C28E" w14:textId="48E9288F" w:rsidR="009C30C1" w:rsidRPr="0045734D" w:rsidRDefault="009C30C1" w:rsidP="003D4E6D">
            <w:pPr>
              <w:jc w:val="both"/>
            </w:pPr>
            <w:r>
              <w:t>Soutien aux collectifs citoyens pour les migrants en transit</w:t>
            </w:r>
          </w:p>
          <w:p w14:paraId="5B55059F" w14:textId="53B8134A" w:rsidR="003D4E6D" w:rsidRPr="0045734D" w:rsidRDefault="000E7E27" w:rsidP="003D4E6D">
            <w:pPr>
              <w:jc w:val="both"/>
            </w:pPr>
            <w:r w:rsidRPr="0045734D">
              <w:t>Collaboration avec le Forem pour le renforcement des équipes</w:t>
            </w:r>
          </w:p>
          <w:p w14:paraId="67C5905B" w14:textId="77777777" w:rsidR="003D4E6D" w:rsidRPr="0045734D" w:rsidRDefault="003D4E6D" w:rsidP="003D4E6D">
            <w:pPr>
              <w:jc w:val="both"/>
              <w:rPr>
                <w:b/>
                <w:bCs/>
              </w:rPr>
            </w:pPr>
          </w:p>
          <w:p w14:paraId="213FECF8" w14:textId="77777777" w:rsidR="003D4E6D" w:rsidRPr="007B4E05" w:rsidRDefault="003D4E6D" w:rsidP="003D4E6D">
            <w:pPr>
              <w:jc w:val="both"/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2.2 </w:t>
            </w:r>
            <w:r w:rsidR="00C92509" w:rsidRPr="007B4E05">
              <w:rPr>
                <w:b/>
                <w:bCs/>
                <w:sz w:val="24"/>
                <w:szCs w:val="24"/>
              </w:rPr>
              <w:t>Qu'est-ce qui est en cours de réalisation</w:t>
            </w:r>
            <w:r w:rsidR="00731F92" w:rsidRPr="007B4E05">
              <w:rPr>
                <w:b/>
                <w:bCs/>
                <w:sz w:val="24"/>
                <w:szCs w:val="24"/>
              </w:rPr>
              <w:t xml:space="preserve"> ou de préparation</w:t>
            </w:r>
            <w:r w:rsidR="00C92509" w:rsidRPr="007B4E05">
              <w:rPr>
                <w:b/>
                <w:bCs/>
                <w:sz w:val="24"/>
                <w:szCs w:val="24"/>
              </w:rPr>
              <w:t>?</w:t>
            </w:r>
          </w:p>
          <w:p w14:paraId="2C72ADE0" w14:textId="090D3FCA" w:rsidR="003D4E6D" w:rsidRPr="007B4E05" w:rsidRDefault="000E7E27" w:rsidP="003D4E6D">
            <w:pPr>
              <w:jc w:val="both"/>
              <w:rPr>
                <w:sz w:val="24"/>
                <w:szCs w:val="24"/>
              </w:rPr>
            </w:pPr>
            <w:r w:rsidRPr="007B4E05">
              <w:rPr>
                <w:sz w:val="24"/>
                <w:szCs w:val="24"/>
              </w:rPr>
              <w:t>Recherche de locaux adaptés</w:t>
            </w:r>
            <w:r w:rsidR="007B4E05">
              <w:rPr>
                <w:sz w:val="24"/>
                <w:szCs w:val="24"/>
              </w:rPr>
              <w:t xml:space="preserve"> pour les espaces de confinement et de quarantaine</w:t>
            </w:r>
          </w:p>
          <w:p w14:paraId="468544AA" w14:textId="77777777" w:rsidR="003D4E6D" w:rsidRPr="007B4E05" w:rsidRDefault="003D4E6D" w:rsidP="003D4E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D4E6D" w:rsidRPr="007B4E05" w14:paraId="43B83851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833267" w14:textId="77777777" w:rsidR="003D4E6D" w:rsidRPr="007B4E05" w:rsidRDefault="003D4E6D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Analyse </w:t>
            </w:r>
          </w:p>
          <w:p w14:paraId="353169E5" w14:textId="77777777" w:rsidR="003D4E6D" w:rsidRPr="007B4E05" w:rsidRDefault="003D4E6D" w:rsidP="003D4E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4E6D" w:rsidRPr="007B4E05" w14:paraId="6A01A55D" w14:textId="77777777" w:rsidTr="00D5178C">
        <w:trPr>
          <w:trHeight w:val="2073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D83" w14:textId="77777777" w:rsidR="003D4E6D" w:rsidRPr="007B4E0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B4E05">
              <w:rPr>
                <w:b/>
                <w:bCs/>
                <w:iCs/>
                <w:sz w:val="24"/>
                <w:szCs w:val="24"/>
              </w:rPr>
              <w:t>3.1 Impact</w:t>
            </w:r>
          </w:p>
          <w:p w14:paraId="1C8B60BA" w14:textId="77777777" w:rsidR="00D5178C" w:rsidRPr="007B4E0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A0A73A6" w14:textId="77777777" w:rsidR="004C19F8" w:rsidRPr="007B4E0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B4E05">
              <w:rPr>
                <w:b/>
                <w:bCs/>
                <w:iCs/>
                <w:sz w:val="24"/>
                <w:szCs w:val="24"/>
              </w:rPr>
              <w:t xml:space="preserve">3.2 </w:t>
            </w:r>
            <w:r w:rsidR="00C92509" w:rsidRPr="007B4E05">
              <w:rPr>
                <w:b/>
                <w:bCs/>
                <w:iCs/>
                <w:sz w:val="24"/>
                <w:szCs w:val="24"/>
              </w:rPr>
              <w:t>Points d’attention</w:t>
            </w:r>
          </w:p>
          <w:p w14:paraId="670C12B0" w14:textId="77777777" w:rsidR="00DF3E27" w:rsidRDefault="00DF3E27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13200C6D" w14:textId="67EC15C5" w:rsidR="004C19F8" w:rsidRPr="007B4E0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B4E05">
              <w:rPr>
                <w:b/>
                <w:bCs/>
                <w:iCs/>
                <w:sz w:val="24"/>
                <w:szCs w:val="24"/>
              </w:rPr>
              <w:t xml:space="preserve">3.3 </w:t>
            </w:r>
            <w:r w:rsidR="00C92509" w:rsidRPr="007B4E05">
              <w:rPr>
                <w:b/>
                <w:bCs/>
                <w:iCs/>
                <w:sz w:val="24"/>
                <w:szCs w:val="24"/>
              </w:rPr>
              <w:t>Avantages</w:t>
            </w:r>
          </w:p>
          <w:p w14:paraId="4F895C88" w14:textId="77777777" w:rsidR="00D5178C" w:rsidRPr="007B4E0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3AFAA51" w14:textId="77777777" w:rsidR="004C19F8" w:rsidRPr="007B4E0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B4E05">
              <w:rPr>
                <w:b/>
                <w:bCs/>
                <w:iCs/>
                <w:sz w:val="24"/>
                <w:szCs w:val="24"/>
              </w:rPr>
              <w:t xml:space="preserve">3.4 </w:t>
            </w:r>
            <w:r w:rsidR="00C92509" w:rsidRPr="007B4E05">
              <w:rPr>
                <w:b/>
                <w:bCs/>
                <w:iCs/>
                <w:sz w:val="24"/>
                <w:szCs w:val="24"/>
              </w:rPr>
              <w:t>Inconvénients</w:t>
            </w:r>
          </w:p>
          <w:p w14:paraId="6525C841" w14:textId="77777777" w:rsidR="00346633" w:rsidRPr="007B4E05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758055DA" w14:textId="77777777" w:rsidR="00346633" w:rsidRPr="007B4E05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B4E05">
              <w:rPr>
                <w:b/>
                <w:bCs/>
                <w:iCs/>
                <w:sz w:val="24"/>
                <w:szCs w:val="24"/>
              </w:rPr>
              <w:t xml:space="preserve">3.5 </w:t>
            </w:r>
            <w:r w:rsidR="00C92509" w:rsidRPr="007B4E05">
              <w:rPr>
                <w:b/>
                <w:bCs/>
                <w:iCs/>
                <w:sz w:val="24"/>
                <w:szCs w:val="24"/>
              </w:rPr>
              <w:t>Base légale</w:t>
            </w:r>
          </w:p>
          <w:p w14:paraId="576A9025" w14:textId="77777777" w:rsidR="004C19F8" w:rsidRPr="007B4E05" w:rsidRDefault="004C19F8" w:rsidP="003D4E6D">
            <w:pPr>
              <w:jc w:val="both"/>
              <w:rPr>
                <w:iCs/>
                <w:szCs w:val="24"/>
              </w:rPr>
            </w:pPr>
          </w:p>
          <w:p w14:paraId="2E28B056" w14:textId="77777777" w:rsidR="003D4E6D" w:rsidRPr="007B4E05" w:rsidRDefault="003D4E6D" w:rsidP="003D4E6D">
            <w:pPr>
              <w:jc w:val="both"/>
              <w:rPr>
                <w:iCs/>
                <w:szCs w:val="24"/>
              </w:rPr>
            </w:pPr>
          </w:p>
        </w:tc>
      </w:tr>
      <w:tr w:rsidR="00C77A4D" w:rsidRPr="007B4E05" w14:paraId="0808C021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31BD9F" w14:textId="77777777" w:rsidR="00C77A4D" w:rsidRPr="007B4E05" w:rsidRDefault="00C92509" w:rsidP="00C77A4D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B4E05">
              <w:rPr>
                <w:b/>
                <w:sz w:val="24"/>
                <w:szCs w:val="24"/>
              </w:rPr>
              <w:lastRenderedPageBreak/>
              <w:t>Groupe cible</w:t>
            </w:r>
          </w:p>
          <w:p w14:paraId="7B44589F" w14:textId="77777777" w:rsidR="00C77A4D" w:rsidRPr="007B4E05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7B4E05" w14:paraId="73741946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8E9" w14:textId="3FD12E14" w:rsidR="00C77A4D" w:rsidRPr="007B4E05" w:rsidRDefault="000E7E27" w:rsidP="00C77A4D">
            <w:pPr>
              <w:rPr>
                <w:sz w:val="24"/>
                <w:szCs w:val="24"/>
              </w:rPr>
            </w:pPr>
            <w:r w:rsidRPr="007B4E05">
              <w:rPr>
                <w:sz w:val="24"/>
                <w:szCs w:val="24"/>
              </w:rPr>
              <w:t>Personnes sans abri</w:t>
            </w:r>
          </w:p>
          <w:p w14:paraId="142891F5" w14:textId="77777777" w:rsidR="00C77A4D" w:rsidRPr="007B4E05" w:rsidRDefault="00C77A4D" w:rsidP="00C77A4D">
            <w:pPr>
              <w:rPr>
                <w:sz w:val="24"/>
                <w:szCs w:val="24"/>
              </w:rPr>
            </w:pPr>
          </w:p>
        </w:tc>
      </w:tr>
      <w:tr w:rsidR="00C77A4D" w:rsidRPr="007B4E05" w14:paraId="37580D9C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FA9840" w14:textId="77777777" w:rsidR="00C77A4D" w:rsidRPr="007B4E05" w:rsidRDefault="00C92509" w:rsidP="00C77A4D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B4E05">
              <w:rPr>
                <w:b/>
                <w:sz w:val="24"/>
                <w:szCs w:val="24"/>
              </w:rPr>
              <w:t>Impact budgétaire</w:t>
            </w:r>
          </w:p>
          <w:p w14:paraId="73AFB8F9" w14:textId="77777777" w:rsidR="00C77A4D" w:rsidRPr="007B4E05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7B4E05" w14:paraId="37126BDF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7" w14:textId="77777777" w:rsidR="00C77A4D" w:rsidRPr="007B4E05" w:rsidRDefault="00C92509" w:rsidP="00C77A4D">
            <w:pPr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>Coût et financement de cette mesure</w:t>
            </w:r>
          </w:p>
          <w:p w14:paraId="4911B260" w14:textId="479BC03A" w:rsidR="009C30C1" w:rsidRDefault="009C30C1" w:rsidP="009C30C1">
            <w:pPr>
              <w:jc w:val="both"/>
            </w:pPr>
            <w:r w:rsidRPr="0045734D">
              <w:t xml:space="preserve">Moyens complémentaires pour les relais sociaux </w:t>
            </w:r>
            <w:r>
              <w:t xml:space="preserve">et les gouverneurs des provinces du Brabant wallon et de Luxembourg (450.000,00 euros) </w:t>
            </w:r>
            <w:r w:rsidRPr="0045734D">
              <w:t>et le secteur des maisons d’accueil et des abris de nuit</w:t>
            </w:r>
            <w:r>
              <w:t xml:space="preserve"> (976.000,00 euros)</w:t>
            </w:r>
          </w:p>
          <w:p w14:paraId="3D2A442B" w14:textId="05726C6C" w:rsidR="009C30C1" w:rsidRDefault="009C30C1" w:rsidP="009C30C1">
            <w:pPr>
              <w:jc w:val="both"/>
            </w:pPr>
            <w:r>
              <w:t>Soutien aux collectifs citoyens pour les migrants en transit</w:t>
            </w:r>
            <w:r>
              <w:t xml:space="preserve"> (300.000,00 euros)</w:t>
            </w:r>
          </w:p>
          <w:p w14:paraId="01E2ABC8" w14:textId="35964D36" w:rsidR="00FF381F" w:rsidRPr="007B4E05" w:rsidRDefault="009C30C1" w:rsidP="000E7E27">
            <w:pPr>
              <w:jc w:val="both"/>
              <w:rPr>
                <w:sz w:val="24"/>
                <w:szCs w:val="24"/>
              </w:rPr>
            </w:pPr>
            <w:r>
              <w:t>Appel</w:t>
            </w:r>
            <w:r>
              <w:t xml:space="preserve"> </w:t>
            </w:r>
            <w:r>
              <w:t>à projet aide alimentaire (1 million d’euros)</w:t>
            </w:r>
          </w:p>
          <w:p w14:paraId="6FE4C97B" w14:textId="77777777" w:rsidR="00C77A4D" w:rsidRPr="007B4E05" w:rsidRDefault="00C77A4D" w:rsidP="00C77A4D">
            <w:pPr>
              <w:rPr>
                <w:sz w:val="24"/>
                <w:szCs w:val="24"/>
              </w:rPr>
            </w:pPr>
          </w:p>
        </w:tc>
      </w:tr>
      <w:tr w:rsidR="00C77A4D" w:rsidRPr="007B4E05" w14:paraId="044436FA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C1220D" w14:textId="77777777" w:rsidR="00C77A4D" w:rsidRPr="007B4E05" w:rsidRDefault="00C92509" w:rsidP="009541A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bookmarkStart w:id="0" w:name="_Hlk55895887"/>
            <w:r w:rsidRPr="007B4E05">
              <w:rPr>
                <w:b/>
                <w:bCs/>
                <w:iCs/>
                <w:sz w:val="24"/>
                <w:szCs w:val="24"/>
              </w:rPr>
              <w:t>Résultat(s) escompté(s) avec éléments d'analyse</w:t>
            </w:r>
          </w:p>
        </w:tc>
      </w:tr>
      <w:bookmarkEnd w:id="0"/>
      <w:tr w:rsidR="00C77A4D" w:rsidRPr="007B4E05" w14:paraId="53E8D802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7A9" w14:textId="77777777" w:rsidR="00C77A4D" w:rsidRPr="007B4E05" w:rsidRDefault="00346633" w:rsidP="00C77A4D">
            <w:pPr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6.1 </w:t>
            </w:r>
            <w:r w:rsidR="00C92509" w:rsidRPr="007B4E05">
              <w:rPr>
                <w:b/>
                <w:bCs/>
                <w:sz w:val="24"/>
                <w:szCs w:val="24"/>
              </w:rPr>
              <w:t>Situation souhaitée?</w:t>
            </w:r>
          </w:p>
          <w:p w14:paraId="6B7BB9FD" w14:textId="77777777" w:rsidR="00C77A4D" w:rsidRPr="007B4E05" w:rsidRDefault="00C77A4D" w:rsidP="00C77A4D">
            <w:pPr>
              <w:rPr>
                <w:b/>
                <w:bCs/>
                <w:sz w:val="24"/>
                <w:szCs w:val="24"/>
              </w:rPr>
            </w:pPr>
          </w:p>
          <w:p w14:paraId="049B18D3" w14:textId="77777777" w:rsidR="00C77A4D" w:rsidRPr="007B4E05" w:rsidRDefault="00C77A4D" w:rsidP="00C77A4D">
            <w:pPr>
              <w:rPr>
                <w:b/>
                <w:bCs/>
                <w:sz w:val="24"/>
                <w:szCs w:val="24"/>
              </w:rPr>
            </w:pPr>
          </w:p>
          <w:p w14:paraId="4D13F825" w14:textId="77777777" w:rsidR="00346633" w:rsidRPr="007B4E05" w:rsidRDefault="00346633" w:rsidP="009541AA">
            <w:pPr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6.2 </w:t>
            </w:r>
            <w:r w:rsidR="00C92509" w:rsidRPr="007B4E05">
              <w:rPr>
                <w:b/>
                <w:bCs/>
                <w:sz w:val="24"/>
                <w:szCs w:val="24"/>
              </w:rPr>
              <w:t>Comment atteindre l’objectif</w:t>
            </w:r>
            <w:r w:rsidR="00FA0F82" w:rsidRPr="007B4E05">
              <w:rPr>
                <w:b/>
                <w:bCs/>
                <w:sz w:val="24"/>
                <w:szCs w:val="24"/>
              </w:rPr>
              <w:t>?</w:t>
            </w:r>
          </w:p>
          <w:p w14:paraId="122384B4" w14:textId="77777777" w:rsidR="00346633" w:rsidRPr="007B4E05" w:rsidRDefault="00346633" w:rsidP="009541AA">
            <w:pPr>
              <w:rPr>
                <w:b/>
                <w:bCs/>
                <w:sz w:val="24"/>
                <w:szCs w:val="24"/>
              </w:rPr>
            </w:pPr>
          </w:p>
          <w:p w14:paraId="77A69806" w14:textId="77777777" w:rsidR="006D638F" w:rsidRPr="007B4E05" w:rsidRDefault="00346633" w:rsidP="009541AA">
            <w:pPr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 xml:space="preserve">6.3 </w:t>
            </w:r>
            <w:r w:rsidR="00C92509" w:rsidRPr="007B4E05">
              <w:rPr>
                <w:b/>
                <w:bCs/>
                <w:sz w:val="24"/>
                <w:szCs w:val="24"/>
              </w:rPr>
              <w:t>Adapter les lois et règlements?</w:t>
            </w:r>
          </w:p>
          <w:p w14:paraId="4D230595" w14:textId="77777777" w:rsidR="00C77A4D" w:rsidRPr="007B4E05" w:rsidRDefault="00C77A4D" w:rsidP="00C77A4D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  <w:p w14:paraId="5399F214" w14:textId="77777777" w:rsidR="00C77A4D" w:rsidRPr="007B4E05" w:rsidRDefault="00C77A4D" w:rsidP="00C77A4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D638F" w:rsidRPr="007B4E05" w14:paraId="7D928BB2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B3B066" w14:textId="77777777" w:rsidR="006D638F" w:rsidRPr="007B4E05" w:rsidRDefault="00FA0F82" w:rsidP="006D638F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B4E05">
              <w:rPr>
                <w:b/>
                <w:sz w:val="24"/>
                <w:szCs w:val="24"/>
              </w:rPr>
              <w:t>Etapes à prévoir</w:t>
            </w:r>
          </w:p>
          <w:p w14:paraId="56831391" w14:textId="77777777" w:rsidR="006D638F" w:rsidRPr="007B4E05" w:rsidRDefault="006D638F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638F" w:rsidRPr="007B4E05" w14:paraId="00BE30CC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CB0" w14:textId="77777777" w:rsidR="006D638F" w:rsidRPr="007B4E05" w:rsidRDefault="00FA0F82" w:rsidP="00FA0F82">
            <w:pPr>
              <w:rPr>
                <w:b/>
                <w:bCs/>
                <w:sz w:val="24"/>
                <w:szCs w:val="24"/>
              </w:rPr>
            </w:pPr>
            <w:r w:rsidRPr="007B4E05">
              <w:rPr>
                <w:b/>
                <w:bCs/>
                <w:sz w:val="24"/>
                <w:szCs w:val="24"/>
              </w:rPr>
              <w:t>Calendrier de mise en œuvre</w:t>
            </w:r>
          </w:p>
          <w:p w14:paraId="59ED540C" w14:textId="77777777" w:rsidR="00FA0F82" w:rsidRPr="007B4E05" w:rsidRDefault="00FA0F82" w:rsidP="00FA0F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62ACD2" w14:textId="77777777" w:rsidR="00A244D2" w:rsidRPr="007B4E05" w:rsidRDefault="00A244D2"/>
    <w:sectPr w:rsidR="00A244D2" w:rsidRPr="007B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D0E7" w14:textId="77777777" w:rsidR="00F5371E" w:rsidRDefault="00F5371E" w:rsidP="00F5371E">
      <w:pPr>
        <w:spacing w:after="0" w:line="240" w:lineRule="auto"/>
      </w:pPr>
      <w:r>
        <w:separator/>
      </w:r>
    </w:p>
  </w:endnote>
  <w:endnote w:type="continuationSeparator" w:id="0">
    <w:p w14:paraId="392A51FC" w14:textId="77777777" w:rsidR="00F5371E" w:rsidRDefault="00F5371E" w:rsidP="00F5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E34A" w14:textId="77777777" w:rsidR="00F5371E" w:rsidRDefault="00F5371E" w:rsidP="00F5371E">
      <w:pPr>
        <w:spacing w:after="0" w:line="240" w:lineRule="auto"/>
      </w:pPr>
      <w:r>
        <w:separator/>
      </w:r>
    </w:p>
  </w:footnote>
  <w:footnote w:type="continuationSeparator" w:id="0">
    <w:p w14:paraId="26858203" w14:textId="77777777" w:rsidR="00F5371E" w:rsidRDefault="00F5371E" w:rsidP="00F5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38B"/>
    <w:multiLevelType w:val="hybridMultilevel"/>
    <w:tmpl w:val="793ECE5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0D2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4DDF"/>
    <w:multiLevelType w:val="hybridMultilevel"/>
    <w:tmpl w:val="676629AA"/>
    <w:lvl w:ilvl="0" w:tplc="17D00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57AA"/>
    <w:multiLevelType w:val="hybridMultilevel"/>
    <w:tmpl w:val="F4D8A7A8"/>
    <w:lvl w:ilvl="0" w:tplc="E234A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937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92E10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8EA"/>
    <w:multiLevelType w:val="hybridMultilevel"/>
    <w:tmpl w:val="56F46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F2968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D2"/>
    <w:rsid w:val="0003438F"/>
    <w:rsid w:val="00046045"/>
    <w:rsid w:val="00072339"/>
    <w:rsid w:val="0008087C"/>
    <w:rsid w:val="00084015"/>
    <w:rsid w:val="000E79C6"/>
    <w:rsid w:val="000E7E27"/>
    <w:rsid w:val="00113612"/>
    <w:rsid w:val="00162057"/>
    <w:rsid w:val="001837D9"/>
    <w:rsid w:val="001B6FFB"/>
    <w:rsid w:val="001D26DF"/>
    <w:rsid w:val="001D71ED"/>
    <w:rsid w:val="0021238A"/>
    <w:rsid w:val="00246CDA"/>
    <w:rsid w:val="002B714A"/>
    <w:rsid w:val="002D75F2"/>
    <w:rsid w:val="002E037A"/>
    <w:rsid w:val="0031089E"/>
    <w:rsid w:val="00325855"/>
    <w:rsid w:val="00346633"/>
    <w:rsid w:val="0036088C"/>
    <w:rsid w:val="00362012"/>
    <w:rsid w:val="003A2655"/>
    <w:rsid w:val="003B760A"/>
    <w:rsid w:val="003D4E6D"/>
    <w:rsid w:val="0045734D"/>
    <w:rsid w:val="004C19F8"/>
    <w:rsid w:val="00576153"/>
    <w:rsid w:val="005A204F"/>
    <w:rsid w:val="005F3454"/>
    <w:rsid w:val="00612FE1"/>
    <w:rsid w:val="006A5A24"/>
    <w:rsid w:val="006C61AD"/>
    <w:rsid w:val="006D638F"/>
    <w:rsid w:val="00727202"/>
    <w:rsid w:val="00731F92"/>
    <w:rsid w:val="0074380F"/>
    <w:rsid w:val="007446DD"/>
    <w:rsid w:val="007643CF"/>
    <w:rsid w:val="00777DE9"/>
    <w:rsid w:val="007B4E05"/>
    <w:rsid w:val="007D5201"/>
    <w:rsid w:val="007F691A"/>
    <w:rsid w:val="00823307"/>
    <w:rsid w:val="00833AAD"/>
    <w:rsid w:val="00852653"/>
    <w:rsid w:val="00881048"/>
    <w:rsid w:val="00892774"/>
    <w:rsid w:val="009517B1"/>
    <w:rsid w:val="009541AA"/>
    <w:rsid w:val="009C30C1"/>
    <w:rsid w:val="00A0702A"/>
    <w:rsid w:val="00A105FA"/>
    <w:rsid w:val="00A244D2"/>
    <w:rsid w:val="00A55029"/>
    <w:rsid w:val="00A87FFB"/>
    <w:rsid w:val="00A95E99"/>
    <w:rsid w:val="00AA687A"/>
    <w:rsid w:val="00AE25AC"/>
    <w:rsid w:val="00AF2F02"/>
    <w:rsid w:val="00B530C5"/>
    <w:rsid w:val="00B54665"/>
    <w:rsid w:val="00B800E8"/>
    <w:rsid w:val="00BB310D"/>
    <w:rsid w:val="00BD4010"/>
    <w:rsid w:val="00BD4516"/>
    <w:rsid w:val="00BF72C5"/>
    <w:rsid w:val="00C55C31"/>
    <w:rsid w:val="00C77A4D"/>
    <w:rsid w:val="00C92509"/>
    <w:rsid w:val="00CC290F"/>
    <w:rsid w:val="00D5178C"/>
    <w:rsid w:val="00D52E54"/>
    <w:rsid w:val="00DA7E21"/>
    <w:rsid w:val="00DB3974"/>
    <w:rsid w:val="00DE1B13"/>
    <w:rsid w:val="00DF3E27"/>
    <w:rsid w:val="00E11512"/>
    <w:rsid w:val="00E27EFE"/>
    <w:rsid w:val="00E50492"/>
    <w:rsid w:val="00E70190"/>
    <w:rsid w:val="00EF2063"/>
    <w:rsid w:val="00F5371E"/>
    <w:rsid w:val="00F72DA4"/>
    <w:rsid w:val="00F945DA"/>
    <w:rsid w:val="00FA0320"/>
    <w:rsid w:val="00FA0F82"/>
    <w:rsid w:val="00FE22BC"/>
    <w:rsid w:val="00FE4D0A"/>
    <w:rsid w:val="00FF240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2083F1"/>
  <w15:chartTrackingRefBased/>
  <w15:docId w15:val="{BE515273-CB42-453E-9419-9D8B800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44D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3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40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AD1D-F1C5-4037-952F-4B861D9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Opfergelt Anita</dc:creator>
  <cp:keywords/>
  <dc:description/>
  <cp:lastModifiedBy>BARTHOLOME Isabelle</cp:lastModifiedBy>
  <cp:revision>8</cp:revision>
  <dcterms:created xsi:type="dcterms:W3CDTF">2020-11-17T10:43:00Z</dcterms:created>
  <dcterms:modified xsi:type="dcterms:W3CDTF">2020-11-19T13:15:00Z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isabelle.bartholome@spw.wallonie.be</vt:lpwstr>
  </property>
  <property fmtid="{D5CDD505-2E9C-101B-9397-08002B2CF9AE}" pid="5" name="MSIP_Label_97a477d1-147d-4e34-b5e3-7b26d2f44870_SetDate">
    <vt:lpwstr>2020-11-17T10:43:33.1006772Z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48a7b39f-6fd1-4e4f-9260-7ce249823be6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