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5D039" w14:textId="4F92EE09" w:rsidR="00806C17" w:rsidRDefault="00806C17">
      <w:pPr>
        <w:rPr>
          <w:b/>
          <w:bCs/>
          <w:sz w:val="28"/>
          <w:szCs w:val="28"/>
          <w:lang w:val="fr-BE"/>
        </w:rPr>
      </w:pPr>
      <w:r>
        <w:rPr>
          <w:b/>
          <w:bCs/>
          <w:sz w:val="28"/>
          <w:szCs w:val="28"/>
          <w:lang w:val="fr-BE"/>
        </w:rPr>
        <w:t>Fiche 3.3</w:t>
      </w:r>
      <w:bookmarkStart w:id="0" w:name="_GoBack"/>
      <w:bookmarkEnd w:id="0"/>
    </w:p>
    <w:p w14:paraId="74FA5ED4" w14:textId="77777777" w:rsidR="00806C17" w:rsidRDefault="00806C17">
      <w:pPr>
        <w:rPr>
          <w:b/>
          <w:bCs/>
          <w:sz w:val="28"/>
          <w:szCs w:val="28"/>
          <w:lang w:val="fr-BE"/>
        </w:rPr>
      </w:pPr>
    </w:p>
    <w:p w14:paraId="4BEB8470" w14:textId="4FB1D9B9" w:rsidR="00362012" w:rsidRPr="00C348C5" w:rsidRDefault="002D75F2">
      <w:pPr>
        <w:rPr>
          <w:b/>
          <w:bCs/>
          <w:sz w:val="28"/>
          <w:szCs w:val="28"/>
          <w:lang w:val="fr-BE"/>
        </w:rPr>
      </w:pPr>
      <w:r w:rsidRPr="00C348C5">
        <w:rPr>
          <w:b/>
          <w:bCs/>
          <w:sz w:val="28"/>
          <w:szCs w:val="28"/>
          <w:lang w:val="fr-BE"/>
        </w:rPr>
        <w:t>TH</w:t>
      </w:r>
      <w:r w:rsidR="007F691A" w:rsidRPr="00C348C5">
        <w:rPr>
          <w:b/>
          <w:bCs/>
          <w:sz w:val="28"/>
          <w:szCs w:val="28"/>
          <w:lang w:val="fr-BE"/>
        </w:rPr>
        <w:t>EME</w:t>
      </w:r>
      <w:r w:rsidRPr="00C348C5">
        <w:rPr>
          <w:b/>
          <w:bCs/>
          <w:sz w:val="28"/>
          <w:szCs w:val="28"/>
          <w:lang w:val="fr-BE"/>
        </w:rPr>
        <w:t xml:space="preserve">: </w:t>
      </w:r>
      <w:r w:rsidR="00C348C5" w:rsidRPr="00C348C5">
        <w:rPr>
          <w:rFonts w:cstheme="minorHAnsi"/>
          <w:b/>
          <w:bCs/>
          <w:sz w:val="28"/>
          <w:szCs w:val="28"/>
          <w:lang w:val="fr-BE"/>
        </w:rPr>
        <w:t xml:space="preserve">Soutien des CPAS: points d'attention </w:t>
      </w:r>
      <w:r w:rsidR="00C348C5" w:rsidRPr="00C348C5">
        <w:rPr>
          <w:rFonts w:eastAsia="Times New Roman" w:cstheme="minorHAnsi"/>
          <w:b/>
          <w:bCs/>
          <w:sz w:val="28"/>
          <w:szCs w:val="28"/>
          <w:lang w:val="fr-FR"/>
        </w:rPr>
        <w:t>Accès au CPAS des personnes ayant un titre de séjour</w:t>
      </w:r>
    </w:p>
    <w:p w14:paraId="2544AD62" w14:textId="77777777" w:rsidR="00823307" w:rsidRPr="00C348C5" w:rsidRDefault="00823307">
      <w:pPr>
        <w:rPr>
          <w:b/>
          <w:bCs/>
          <w:sz w:val="28"/>
          <w:szCs w:val="28"/>
          <w:lang w:val="fr-BE"/>
        </w:rPr>
      </w:pPr>
    </w:p>
    <w:tbl>
      <w:tblPr>
        <w:tblStyle w:val="Tabelraster"/>
        <w:tblW w:w="9495" w:type="dxa"/>
        <w:tblLayout w:type="fixed"/>
        <w:tblLook w:val="04A0" w:firstRow="1" w:lastRow="0" w:firstColumn="1" w:lastColumn="0" w:noHBand="0" w:noVBand="1"/>
      </w:tblPr>
      <w:tblGrid>
        <w:gridCol w:w="9495"/>
      </w:tblGrid>
      <w:tr w:rsidR="00A244D2" w:rsidRPr="00A244D2" w14:paraId="0F6D9087"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6BC4345" w14:textId="77777777" w:rsidR="00A244D2" w:rsidRPr="00A244D2" w:rsidRDefault="00C92509" w:rsidP="00A244D2">
            <w:pPr>
              <w:numPr>
                <w:ilvl w:val="0"/>
                <w:numId w:val="1"/>
              </w:numPr>
              <w:contextualSpacing/>
              <w:jc w:val="center"/>
              <w:rPr>
                <w:b/>
                <w:bCs/>
                <w:sz w:val="24"/>
                <w:szCs w:val="24"/>
                <w:lang w:val="nl-BE"/>
              </w:rPr>
            </w:pPr>
            <w:proofErr w:type="spellStart"/>
            <w:r>
              <w:rPr>
                <w:b/>
                <w:sz w:val="24"/>
                <w:szCs w:val="24"/>
                <w:lang w:val="nl-BE"/>
              </w:rPr>
              <w:t>Proposition</w:t>
            </w:r>
            <w:proofErr w:type="spellEnd"/>
          </w:p>
        </w:tc>
      </w:tr>
      <w:tr w:rsidR="00A244D2" w:rsidRPr="00806C17" w14:paraId="4442A1F9" w14:textId="77777777" w:rsidTr="003D4E6D">
        <w:tc>
          <w:tcPr>
            <w:tcW w:w="9495" w:type="dxa"/>
            <w:tcBorders>
              <w:top w:val="single" w:sz="4" w:space="0" w:color="auto"/>
              <w:left w:val="single" w:sz="4" w:space="0" w:color="auto"/>
              <w:bottom w:val="single" w:sz="4" w:space="0" w:color="auto"/>
              <w:right w:val="single" w:sz="4" w:space="0" w:color="auto"/>
            </w:tcBorders>
          </w:tcPr>
          <w:p w14:paraId="794E3214" w14:textId="77777777" w:rsidR="00362012" w:rsidRPr="003D4E6D" w:rsidRDefault="003D4E6D" w:rsidP="00362012">
            <w:pPr>
              <w:jc w:val="both"/>
              <w:rPr>
                <w:sz w:val="24"/>
                <w:szCs w:val="24"/>
                <w:lang w:val="nl-NL"/>
              </w:rPr>
            </w:pPr>
            <w:r w:rsidRPr="003D4E6D">
              <w:rPr>
                <w:b/>
                <w:bCs/>
                <w:sz w:val="24"/>
                <w:szCs w:val="24"/>
                <w:lang w:val="nl-NL"/>
              </w:rPr>
              <w:t xml:space="preserve">1.1 </w:t>
            </w:r>
            <w:proofErr w:type="spellStart"/>
            <w:r w:rsidR="00C92509">
              <w:rPr>
                <w:b/>
                <w:bCs/>
                <w:sz w:val="24"/>
                <w:szCs w:val="24"/>
                <w:lang w:val="nl-NL"/>
              </w:rPr>
              <w:t>Description</w:t>
            </w:r>
            <w:proofErr w:type="spellEnd"/>
            <w:r w:rsidR="00C92509">
              <w:rPr>
                <w:b/>
                <w:bCs/>
                <w:sz w:val="24"/>
                <w:szCs w:val="24"/>
                <w:lang w:val="nl-NL"/>
              </w:rPr>
              <w:t xml:space="preserve"> du </w:t>
            </w:r>
            <w:proofErr w:type="spellStart"/>
            <w:r w:rsidR="00C92509">
              <w:rPr>
                <w:b/>
                <w:bCs/>
                <w:sz w:val="24"/>
                <w:szCs w:val="24"/>
                <w:lang w:val="nl-NL"/>
              </w:rPr>
              <w:t>contexte</w:t>
            </w:r>
            <w:proofErr w:type="spellEnd"/>
            <w:r w:rsidR="00C92509">
              <w:rPr>
                <w:b/>
                <w:bCs/>
                <w:sz w:val="24"/>
                <w:szCs w:val="24"/>
                <w:lang w:val="nl-NL"/>
              </w:rPr>
              <w:t>/</w:t>
            </w:r>
            <w:proofErr w:type="spellStart"/>
            <w:r w:rsidR="00C92509">
              <w:rPr>
                <w:b/>
                <w:bCs/>
                <w:sz w:val="24"/>
                <w:szCs w:val="24"/>
                <w:lang w:val="nl-NL"/>
              </w:rPr>
              <w:t>problèmes</w:t>
            </w:r>
            <w:proofErr w:type="spellEnd"/>
          </w:p>
          <w:p w14:paraId="12319127" w14:textId="77777777" w:rsidR="004928C5" w:rsidRPr="003D4E6D" w:rsidRDefault="004928C5" w:rsidP="00362012">
            <w:pPr>
              <w:jc w:val="both"/>
              <w:rPr>
                <w:sz w:val="24"/>
                <w:szCs w:val="24"/>
                <w:lang w:val="nl-NL"/>
              </w:rPr>
            </w:pPr>
          </w:p>
          <w:p w14:paraId="14FE2A74" w14:textId="77777777" w:rsidR="00852653" w:rsidRPr="003D4E6D" w:rsidRDefault="00852653" w:rsidP="00362012">
            <w:pPr>
              <w:jc w:val="both"/>
              <w:rPr>
                <w:sz w:val="24"/>
                <w:szCs w:val="24"/>
                <w:lang w:val="nl-BE"/>
              </w:rPr>
            </w:pPr>
          </w:p>
          <w:p w14:paraId="75AF5A89" w14:textId="219DA673" w:rsidR="00362012" w:rsidRDefault="003D4E6D" w:rsidP="00362012">
            <w:pPr>
              <w:jc w:val="both"/>
              <w:rPr>
                <w:b/>
                <w:bCs/>
                <w:sz w:val="24"/>
                <w:szCs w:val="24"/>
                <w:lang w:val="nl-NL"/>
              </w:rPr>
            </w:pPr>
            <w:r w:rsidRPr="003D4E6D">
              <w:rPr>
                <w:b/>
                <w:bCs/>
                <w:sz w:val="24"/>
                <w:szCs w:val="24"/>
                <w:lang w:val="nl-NL"/>
              </w:rPr>
              <w:t xml:space="preserve">1.2 </w:t>
            </w:r>
            <w:proofErr w:type="spellStart"/>
            <w:r w:rsidR="00C92509">
              <w:rPr>
                <w:b/>
                <w:bCs/>
                <w:sz w:val="24"/>
                <w:szCs w:val="24"/>
                <w:lang w:val="nl-NL"/>
              </w:rPr>
              <w:t>Contenu</w:t>
            </w:r>
            <w:proofErr w:type="spellEnd"/>
            <w:r w:rsidR="00C92509">
              <w:rPr>
                <w:b/>
                <w:bCs/>
                <w:sz w:val="24"/>
                <w:szCs w:val="24"/>
                <w:lang w:val="nl-NL"/>
              </w:rPr>
              <w:t xml:space="preserve"> de la </w:t>
            </w:r>
            <w:proofErr w:type="spellStart"/>
            <w:r w:rsidR="00C92509">
              <w:rPr>
                <w:b/>
                <w:bCs/>
                <w:sz w:val="24"/>
                <w:szCs w:val="24"/>
                <w:lang w:val="nl-NL"/>
              </w:rPr>
              <w:t>mesure</w:t>
            </w:r>
            <w:proofErr w:type="spellEnd"/>
          </w:p>
          <w:p w14:paraId="38075D8C" w14:textId="0D9CA08D" w:rsidR="004928C5" w:rsidRDefault="004928C5" w:rsidP="00362012">
            <w:pPr>
              <w:jc w:val="both"/>
              <w:rPr>
                <w:b/>
                <w:bCs/>
                <w:sz w:val="24"/>
                <w:szCs w:val="24"/>
                <w:lang w:val="nl-NL"/>
              </w:rPr>
            </w:pPr>
          </w:p>
          <w:p w14:paraId="5CCFD3F4" w14:textId="77777777" w:rsidR="004928C5" w:rsidRDefault="004928C5" w:rsidP="004928C5">
            <w:pPr>
              <w:pStyle w:val="Lijstalinea"/>
              <w:numPr>
                <w:ilvl w:val="2"/>
                <w:numId w:val="10"/>
              </w:numPr>
              <w:spacing w:line="256" w:lineRule="auto"/>
              <w:jc w:val="both"/>
              <w:rPr>
                <w:rFonts w:ascii="Verdana" w:hAnsi="Verdana"/>
                <w:sz w:val="20"/>
                <w:szCs w:val="20"/>
                <w:lang w:val="fr-FR"/>
              </w:rPr>
            </w:pPr>
            <w:r>
              <w:rPr>
                <w:rFonts w:ascii="Verdana" w:eastAsia="Times New Roman" w:hAnsi="Verdana"/>
                <w:sz w:val="20"/>
                <w:szCs w:val="20"/>
                <w:lang w:val="fr-FR"/>
              </w:rPr>
              <w:t>Appliquer un moratoire sur les décisions de fin de séjour pour « charge déraisonnable » à partir de maintenant et pour un délai jusqu’à 6 mois après la fin de la période à risques.</w:t>
            </w:r>
          </w:p>
          <w:p w14:paraId="2C031F58" w14:textId="77777777" w:rsidR="004928C5" w:rsidRDefault="004928C5" w:rsidP="004928C5">
            <w:pPr>
              <w:pStyle w:val="Lijstalinea"/>
              <w:numPr>
                <w:ilvl w:val="2"/>
                <w:numId w:val="10"/>
              </w:numPr>
              <w:spacing w:line="256" w:lineRule="auto"/>
              <w:jc w:val="both"/>
              <w:rPr>
                <w:rFonts w:ascii="Verdana" w:hAnsi="Verdana"/>
                <w:sz w:val="20"/>
                <w:szCs w:val="20"/>
                <w:lang w:val="fr-FR"/>
              </w:rPr>
            </w:pPr>
            <w:r>
              <w:rPr>
                <w:rFonts w:ascii="Verdana" w:eastAsia="Times New Roman" w:hAnsi="Verdana"/>
                <w:sz w:val="20"/>
                <w:szCs w:val="20"/>
                <w:lang w:val="fr-FR"/>
              </w:rPr>
              <w:t xml:space="preserve">Considérer l’impossibilité de retour comme réputée remplie durant la période à risque sanitaire. A ce titre, assouplir la procédure permettant aux personnes sans titre de séjour d’obtenir une aide sociale du CPAS en mettant en place un mécanisme permettant aux CPAS de bénéficier du financement de ces aides sans que le bénéficiaire ne doive recourir au Tribunal du Travail de façon systématique. </w:t>
            </w:r>
          </w:p>
          <w:p w14:paraId="71CC1FBD" w14:textId="77777777" w:rsidR="00362012" w:rsidRPr="004928C5" w:rsidRDefault="00362012" w:rsidP="00362012">
            <w:pPr>
              <w:jc w:val="both"/>
            </w:pPr>
          </w:p>
          <w:p w14:paraId="3EEA7977" w14:textId="77777777" w:rsidR="00A244D2" w:rsidRPr="004928C5" w:rsidRDefault="00A244D2" w:rsidP="00162057">
            <w:pPr>
              <w:rPr>
                <w:i/>
                <w:iCs/>
                <w:szCs w:val="24"/>
              </w:rPr>
            </w:pPr>
          </w:p>
        </w:tc>
      </w:tr>
      <w:tr w:rsidR="003D4E6D" w:rsidRPr="003D4E6D" w14:paraId="7225BA46"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4C9BD5" w14:textId="77777777" w:rsidR="003D4E6D" w:rsidRPr="00A244D2" w:rsidRDefault="00C92509" w:rsidP="003D4E6D">
            <w:pPr>
              <w:numPr>
                <w:ilvl w:val="0"/>
                <w:numId w:val="1"/>
              </w:numPr>
              <w:contextualSpacing/>
              <w:jc w:val="center"/>
              <w:rPr>
                <w:b/>
                <w:bCs/>
                <w:sz w:val="24"/>
                <w:szCs w:val="24"/>
              </w:rPr>
            </w:pPr>
            <w:r>
              <w:rPr>
                <w:b/>
                <w:bCs/>
                <w:sz w:val="24"/>
                <w:szCs w:val="24"/>
              </w:rPr>
              <w:t xml:space="preserve">Mise en </w:t>
            </w:r>
            <w:proofErr w:type="spellStart"/>
            <w:r>
              <w:rPr>
                <w:b/>
                <w:bCs/>
                <w:sz w:val="24"/>
                <w:szCs w:val="24"/>
              </w:rPr>
              <w:t>oeuvre</w:t>
            </w:r>
            <w:proofErr w:type="spellEnd"/>
          </w:p>
          <w:p w14:paraId="55031411" w14:textId="77777777" w:rsidR="003D4E6D" w:rsidRPr="00A244D2" w:rsidRDefault="003D4E6D" w:rsidP="003D4E6D">
            <w:pPr>
              <w:ind w:left="720"/>
              <w:contextualSpacing/>
              <w:jc w:val="center"/>
              <w:rPr>
                <w:i/>
              </w:rPr>
            </w:pPr>
          </w:p>
        </w:tc>
      </w:tr>
      <w:tr w:rsidR="003D4E6D" w:rsidRPr="00806C17" w14:paraId="652E32F4" w14:textId="77777777" w:rsidTr="003D4E6D">
        <w:tc>
          <w:tcPr>
            <w:tcW w:w="9495" w:type="dxa"/>
            <w:tcBorders>
              <w:top w:val="single" w:sz="4" w:space="0" w:color="auto"/>
              <w:left w:val="single" w:sz="4" w:space="0" w:color="auto"/>
              <w:bottom w:val="single" w:sz="4" w:space="0" w:color="auto"/>
              <w:right w:val="single" w:sz="4" w:space="0" w:color="auto"/>
            </w:tcBorders>
          </w:tcPr>
          <w:p w14:paraId="2C67F110" w14:textId="0C597E56" w:rsidR="003D4E6D" w:rsidRDefault="003D4E6D" w:rsidP="003D4E6D">
            <w:pPr>
              <w:jc w:val="both"/>
              <w:rPr>
                <w:b/>
                <w:bCs/>
                <w:sz w:val="24"/>
                <w:szCs w:val="24"/>
                <w:lang w:val="fr-FR"/>
              </w:rPr>
            </w:pPr>
            <w:r w:rsidRPr="003D4E6D">
              <w:rPr>
                <w:b/>
                <w:bCs/>
                <w:sz w:val="24"/>
                <w:szCs w:val="24"/>
                <w:lang w:val="fr-FR"/>
              </w:rPr>
              <w:t xml:space="preserve">2.1 </w:t>
            </w:r>
            <w:r w:rsidR="00C92509">
              <w:rPr>
                <w:b/>
                <w:bCs/>
                <w:sz w:val="24"/>
                <w:szCs w:val="24"/>
                <w:lang w:val="fr-FR"/>
              </w:rPr>
              <w:t>Quels sont les résultats déjà obtenus?</w:t>
            </w:r>
          </w:p>
          <w:p w14:paraId="60505FDD" w14:textId="067A8B16" w:rsidR="00C348C5" w:rsidRDefault="00C348C5" w:rsidP="003D4E6D">
            <w:pPr>
              <w:jc w:val="both"/>
              <w:rPr>
                <w:b/>
                <w:bCs/>
                <w:sz w:val="24"/>
                <w:szCs w:val="24"/>
                <w:lang w:val="fr-FR"/>
              </w:rPr>
            </w:pPr>
          </w:p>
          <w:p w14:paraId="535E594B" w14:textId="00377630" w:rsidR="004928C5" w:rsidRDefault="006A1B00" w:rsidP="004928C5">
            <w:pPr>
              <w:rPr>
                <w:rFonts w:cstheme="minorHAnsi"/>
              </w:rPr>
            </w:pPr>
            <w:r w:rsidRPr="006A1B00">
              <w:rPr>
                <w:rFonts w:cstheme="minorHAnsi"/>
              </w:rPr>
              <w:t>La c</w:t>
            </w:r>
            <w:r w:rsidR="00EE7D8B" w:rsidRPr="006A1B00">
              <w:rPr>
                <w:rFonts w:cstheme="minorHAnsi"/>
              </w:rPr>
              <w:t xml:space="preserve">ommunication du </w:t>
            </w:r>
            <w:proofErr w:type="spellStart"/>
            <w:r w:rsidR="00EE7D8B" w:rsidRPr="006A1B00">
              <w:rPr>
                <w:rFonts w:cstheme="minorHAnsi"/>
              </w:rPr>
              <w:t>Gemcom</w:t>
            </w:r>
            <w:proofErr w:type="spellEnd"/>
            <w:r w:rsidR="00EE7D8B" w:rsidRPr="006A1B00">
              <w:rPr>
                <w:rFonts w:cstheme="minorHAnsi"/>
              </w:rPr>
              <w:t xml:space="preserve"> du 26 octobre 2020</w:t>
            </w:r>
            <w:r w:rsidRPr="006A1B00">
              <w:rPr>
                <w:rFonts w:cstheme="minorHAnsi"/>
              </w:rPr>
              <w:t xml:space="preserve"> concernant </w:t>
            </w:r>
            <w:r>
              <w:rPr>
                <w:rFonts w:cstheme="minorHAnsi"/>
              </w:rPr>
              <w:t>les nouvelles mesures contre le coronavirus</w:t>
            </w:r>
            <w:r w:rsidR="00D52244">
              <w:rPr>
                <w:rFonts w:cstheme="minorHAnsi"/>
              </w:rPr>
              <w:t>-</w:t>
            </w:r>
            <w:r>
              <w:rPr>
                <w:rFonts w:cstheme="minorHAnsi"/>
              </w:rPr>
              <w:t xml:space="preserve">influence sur le dossier des étrangers </w:t>
            </w:r>
            <w:r w:rsidR="00D52244">
              <w:rPr>
                <w:rFonts w:cstheme="minorHAnsi"/>
              </w:rPr>
              <w:t>est</w:t>
            </w:r>
            <w:r>
              <w:rPr>
                <w:rFonts w:cstheme="minorHAnsi"/>
              </w:rPr>
              <w:t xml:space="preserve"> d'application du 23 octobre</w:t>
            </w:r>
            <w:r w:rsidR="00D52244">
              <w:rPr>
                <w:rFonts w:cstheme="minorHAnsi"/>
              </w:rPr>
              <w:t xml:space="preserve"> 2020</w:t>
            </w:r>
            <w:r>
              <w:rPr>
                <w:rFonts w:cstheme="minorHAnsi"/>
              </w:rPr>
              <w:t xml:space="preserve"> au 23 novembre</w:t>
            </w:r>
            <w:r w:rsidR="00D52244">
              <w:rPr>
                <w:rFonts w:cstheme="minorHAnsi"/>
              </w:rPr>
              <w:t xml:space="preserve"> 2020</w:t>
            </w:r>
            <w:r>
              <w:rPr>
                <w:rFonts w:cstheme="minorHAnsi"/>
              </w:rPr>
              <w:t>.</w:t>
            </w:r>
            <w:r w:rsidR="004928C5">
              <w:rPr>
                <w:rFonts w:cstheme="minorHAnsi"/>
              </w:rPr>
              <w:t xml:space="preserve"> </w:t>
            </w:r>
          </w:p>
          <w:p w14:paraId="0C7E9D16" w14:textId="77777777" w:rsidR="004928C5" w:rsidRDefault="004928C5" w:rsidP="004928C5">
            <w:pPr>
              <w:rPr>
                <w:rFonts w:cstheme="minorHAnsi"/>
              </w:rPr>
            </w:pPr>
          </w:p>
          <w:p w14:paraId="76E6560D" w14:textId="65947CA4" w:rsidR="004928C5" w:rsidRDefault="004928C5" w:rsidP="004928C5">
            <w:r>
              <w:t>L’OE traite encore les demandes et les communes reçoivent les instructions. Donc les annexes, titres de séjour sont délivrées par mail, les OQT doivent être exécutés et les informations doivent être encodées au TI 195 du registre national.</w:t>
            </w:r>
          </w:p>
          <w:p w14:paraId="1ABB898D" w14:textId="77777777" w:rsidR="003D4E6D" w:rsidRPr="003D4E6D" w:rsidRDefault="003D4E6D" w:rsidP="003D4E6D">
            <w:pPr>
              <w:jc w:val="both"/>
              <w:rPr>
                <w:b/>
                <w:bCs/>
                <w:sz w:val="24"/>
                <w:szCs w:val="24"/>
                <w:lang w:val="fr-FR"/>
              </w:rPr>
            </w:pPr>
          </w:p>
          <w:p w14:paraId="2798B0EE" w14:textId="50A49A57" w:rsidR="003D4E6D" w:rsidRDefault="003D4E6D" w:rsidP="003D4E6D">
            <w:pPr>
              <w:jc w:val="both"/>
              <w:rPr>
                <w:b/>
                <w:bCs/>
                <w:sz w:val="24"/>
                <w:szCs w:val="24"/>
                <w:lang w:val="fr-FR"/>
              </w:rPr>
            </w:pPr>
            <w:r w:rsidRPr="00C92509">
              <w:rPr>
                <w:b/>
                <w:bCs/>
                <w:sz w:val="24"/>
                <w:szCs w:val="24"/>
                <w:lang w:val="fr-FR"/>
              </w:rPr>
              <w:t xml:space="preserve">2.2 </w:t>
            </w:r>
            <w:r w:rsidR="00C92509" w:rsidRPr="00C92509">
              <w:rPr>
                <w:b/>
                <w:bCs/>
                <w:sz w:val="24"/>
                <w:szCs w:val="24"/>
                <w:lang w:val="fr-FR"/>
              </w:rPr>
              <w:t>Qu'est-ce qui est en cours de réalisation</w:t>
            </w:r>
            <w:r w:rsidR="00731F92">
              <w:rPr>
                <w:b/>
                <w:bCs/>
                <w:sz w:val="24"/>
                <w:szCs w:val="24"/>
                <w:lang w:val="fr-FR"/>
              </w:rPr>
              <w:t xml:space="preserve"> ou de préparation</w:t>
            </w:r>
            <w:r w:rsidR="00C92509" w:rsidRPr="00C92509">
              <w:rPr>
                <w:b/>
                <w:bCs/>
                <w:sz w:val="24"/>
                <w:szCs w:val="24"/>
                <w:lang w:val="fr-FR"/>
              </w:rPr>
              <w:t>?</w:t>
            </w:r>
          </w:p>
          <w:p w14:paraId="60F327FA" w14:textId="77777777" w:rsidR="00C348C5" w:rsidRDefault="00C348C5" w:rsidP="00C348C5"/>
          <w:p w14:paraId="18361A95" w14:textId="77777777" w:rsidR="004928C5" w:rsidRDefault="004928C5" w:rsidP="004928C5">
            <w:r>
              <w:t xml:space="preserve">Au niveau du SPP, Il est proposé de reprendre le FAQ 2.6 valable depuis le 18/5/2020 mais l’adapter.  </w:t>
            </w:r>
          </w:p>
          <w:p w14:paraId="6EA68B96" w14:textId="77777777" w:rsidR="004928C5" w:rsidRDefault="004928C5" w:rsidP="004928C5"/>
          <w:p w14:paraId="0645F8F3" w14:textId="77777777" w:rsidR="004928C5" w:rsidRDefault="004928C5" w:rsidP="004928C5">
            <w:r>
              <w:t xml:space="preserve">Ce FAQ serait valable jusqu’au 23 novembre 2020 (comme prévu dans l’instruction) </w:t>
            </w:r>
          </w:p>
          <w:p w14:paraId="49A73621" w14:textId="77777777" w:rsidR="00C348C5" w:rsidRPr="00C348C5" w:rsidRDefault="00C348C5" w:rsidP="003D4E6D">
            <w:pPr>
              <w:jc w:val="both"/>
              <w:rPr>
                <w:b/>
                <w:bCs/>
                <w:sz w:val="24"/>
                <w:szCs w:val="24"/>
              </w:rPr>
            </w:pPr>
          </w:p>
          <w:p w14:paraId="27C8519C" w14:textId="77777777" w:rsidR="003D4E6D" w:rsidRPr="00C92509" w:rsidRDefault="003D4E6D" w:rsidP="003D4E6D">
            <w:pPr>
              <w:jc w:val="both"/>
              <w:rPr>
                <w:b/>
                <w:bCs/>
                <w:sz w:val="24"/>
                <w:szCs w:val="24"/>
                <w:lang w:val="fr-FR"/>
              </w:rPr>
            </w:pPr>
          </w:p>
          <w:p w14:paraId="4AEF9B86" w14:textId="77777777" w:rsidR="003D4E6D" w:rsidRPr="00C92509" w:rsidRDefault="003D4E6D" w:rsidP="003D4E6D">
            <w:pPr>
              <w:jc w:val="both"/>
              <w:rPr>
                <w:i/>
                <w:iCs/>
                <w:sz w:val="24"/>
                <w:szCs w:val="24"/>
                <w:lang w:val="fr-FR"/>
              </w:rPr>
            </w:pPr>
          </w:p>
        </w:tc>
      </w:tr>
      <w:tr w:rsidR="003D4E6D" w:rsidRPr="00A244D2" w14:paraId="0FBB2A9C"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659B39" w14:textId="77777777" w:rsidR="003D4E6D" w:rsidRPr="00A244D2" w:rsidRDefault="003D4E6D" w:rsidP="003D4E6D">
            <w:pPr>
              <w:numPr>
                <w:ilvl w:val="0"/>
                <w:numId w:val="1"/>
              </w:numPr>
              <w:contextualSpacing/>
              <w:jc w:val="center"/>
              <w:rPr>
                <w:b/>
                <w:bCs/>
                <w:sz w:val="24"/>
                <w:szCs w:val="24"/>
              </w:rPr>
            </w:pPr>
            <w:r>
              <w:rPr>
                <w:b/>
                <w:bCs/>
                <w:sz w:val="24"/>
                <w:szCs w:val="24"/>
              </w:rPr>
              <w:t xml:space="preserve">Analyse </w:t>
            </w:r>
          </w:p>
          <w:p w14:paraId="2D00B8B8" w14:textId="77777777" w:rsidR="003D4E6D" w:rsidRPr="00A244D2" w:rsidRDefault="003D4E6D" w:rsidP="003D4E6D">
            <w:pPr>
              <w:jc w:val="center"/>
              <w:rPr>
                <w:i/>
                <w:sz w:val="24"/>
                <w:szCs w:val="24"/>
              </w:rPr>
            </w:pPr>
          </w:p>
        </w:tc>
      </w:tr>
      <w:tr w:rsidR="003D4E6D" w:rsidRPr="00881048" w14:paraId="77DE2D6F" w14:textId="77777777" w:rsidTr="00D5178C">
        <w:trPr>
          <w:trHeight w:val="2073"/>
        </w:trPr>
        <w:tc>
          <w:tcPr>
            <w:tcW w:w="9495" w:type="dxa"/>
            <w:tcBorders>
              <w:top w:val="single" w:sz="4" w:space="0" w:color="auto"/>
              <w:left w:val="single" w:sz="4" w:space="0" w:color="auto"/>
              <w:bottom w:val="single" w:sz="4" w:space="0" w:color="auto"/>
              <w:right w:val="single" w:sz="4" w:space="0" w:color="auto"/>
            </w:tcBorders>
          </w:tcPr>
          <w:p w14:paraId="1A5E6C41" w14:textId="2F2BCFCA" w:rsidR="003D4E6D" w:rsidRDefault="004C19F8" w:rsidP="003D4E6D">
            <w:pPr>
              <w:jc w:val="both"/>
              <w:rPr>
                <w:b/>
                <w:bCs/>
                <w:iCs/>
                <w:sz w:val="24"/>
                <w:szCs w:val="24"/>
                <w:lang w:val="nl-BE"/>
              </w:rPr>
            </w:pPr>
            <w:r w:rsidRPr="004C19F8">
              <w:rPr>
                <w:b/>
                <w:bCs/>
                <w:iCs/>
                <w:sz w:val="24"/>
                <w:szCs w:val="24"/>
                <w:lang w:val="nl-BE"/>
              </w:rPr>
              <w:lastRenderedPageBreak/>
              <w:t>3.1 Impact</w:t>
            </w:r>
          </w:p>
          <w:p w14:paraId="3ECF57C4" w14:textId="3366DCCF" w:rsidR="004928C5" w:rsidRDefault="004928C5" w:rsidP="003D4E6D">
            <w:pPr>
              <w:jc w:val="both"/>
              <w:rPr>
                <w:b/>
                <w:bCs/>
                <w:iCs/>
                <w:sz w:val="24"/>
                <w:szCs w:val="24"/>
                <w:lang w:val="nl-BE"/>
              </w:rPr>
            </w:pPr>
          </w:p>
          <w:p w14:paraId="0C31CC8A" w14:textId="7FFF57AD" w:rsidR="004928C5" w:rsidRPr="004928C5" w:rsidRDefault="004928C5" w:rsidP="003D4E6D">
            <w:pPr>
              <w:jc w:val="both"/>
              <w:rPr>
                <w:iCs/>
                <w:sz w:val="24"/>
                <w:szCs w:val="24"/>
              </w:rPr>
            </w:pPr>
            <w:r w:rsidRPr="004928C5">
              <w:rPr>
                <w:iCs/>
                <w:sz w:val="24"/>
                <w:szCs w:val="24"/>
              </w:rPr>
              <w:t>Les deux points soulevés relèvent de la compétence de l'OE.</w:t>
            </w:r>
            <w:r>
              <w:rPr>
                <w:iCs/>
                <w:sz w:val="24"/>
                <w:szCs w:val="24"/>
              </w:rPr>
              <w:t xml:space="preserve"> En effet, le critère de la charge déraisonnable et l'impossibilité de retour sont appréciés par l'OE.</w:t>
            </w:r>
          </w:p>
          <w:p w14:paraId="336BBB54" w14:textId="77777777" w:rsidR="00D5178C" w:rsidRPr="004928C5" w:rsidRDefault="00D5178C" w:rsidP="003D4E6D">
            <w:pPr>
              <w:jc w:val="both"/>
              <w:rPr>
                <w:b/>
                <w:bCs/>
                <w:iCs/>
                <w:sz w:val="24"/>
                <w:szCs w:val="24"/>
              </w:rPr>
            </w:pPr>
          </w:p>
          <w:p w14:paraId="46FE4475" w14:textId="6AFC82B1" w:rsidR="004C19F8" w:rsidRPr="004928C5" w:rsidRDefault="004C19F8" w:rsidP="003D4E6D">
            <w:pPr>
              <w:jc w:val="both"/>
              <w:rPr>
                <w:b/>
                <w:bCs/>
                <w:iCs/>
                <w:sz w:val="24"/>
                <w:szCs w:val="24"/>
              </w:rPr>
            </w:pPr>
            <w:r w:rsidRPr="004928C5">
              <w:rPr>
                <w:b/>
                <w:bCs/>
                <w:iCs/>
                <w:sz w:val="24"/>
                <w:szCs w:val="24"/>
              </w:rPr>
              <w:t xml:space="preserve">3.2 </w:t>
            </w:r>
            <w:r w:rsidR="00C92509" w:rsidRPr="004928C5">
              <w:rPr>
                <w:b/>
                <w:bCs/>
                <w:iCs/>
                <w:sz w:val="24"/>
                <w:szCs w:val="24"/>
              </w:rPr>
              <w:t>Points d’attention</w:t>
            </w:r>
          </w:p>
          <w:p w14:paraId="742EA5E7" w14:textId="3C9F7472" w:rsidR="00DC59A9" w:rsidRPr="004928C5" w:rsidRDefault="00DC59A9" w:rsidP="003D4E6D">
            <w:pPr>
              <w:jc w:val="both"/>
              <w:rPr>
                <w:b/>
                <w:bCs/>
                <w:iCs/>
                <w:sz w:val="24"/>
                <w:szCs w:val="24"/>
              </w:rPr>
            </w:pPr>
          </w:p>
          <w:p w14:paraId="4C43180C" w14:textId="10988472" w:rsidR="00DC59A9" w:rsidRPr="00DC59A9" w:rsidRDefault="00DC59A9" w:rsidP="003D4E6D">
            <w:pPr>
              <w:jc w:val="both"/>
              <w:rPr>
                <w:iCs/>
                <w:sz w:val="24"/>
                <w:szCs w:val="24"/>
              </w:rPr>
            </w:pPr>
            <w:r w:rsidRPr="00DC59A9">
              <w:rPr>
                <w:iCs/>
                <w:sz w:val="24"/>
                <w:szCs w:val="24"/>
              </w:rPr>
              <w:t>Les instructions de l'Office sont valables jusqu'au 23 novembre</w:t>
            </w:r>
            <w:r>
              <w:rPr>
                <w:iCs/>
                <w:sz w:val="24"/>
                <w:szCs w:val="24"/>
              </w:rPr>
              <w:t>. Les mesures devront certainement être prolongées, il faudra y être attentif</w:t>
            </w:r>
            <w:r w:rsidR="004928C5">
              <w:rPr>
                <w:iCs/>
                <w:sz w:val="24"/>
                <w:szCs w:val="24"/>
              </w:rPr>
              <w:t>.</w:t>
            </w:r>
          </w:p>
          <w:p w14:paraId="23950629" w14:textId="77777777" w:rsidR="00D5178C" w:rsidRPr="00DC59A9" w:rsidRDefault="00D5178C" w:rsidP="003D4E6D">
            <w:pPr>
              <w:jc w:val="both"/>
              <w:rPr>
                <w:b/>
                <w:bCs/>
                <w:iCs/>
                <w:sz w:val="24"/>
                <w:szCs w:val="24"/>
              </w:rPr>
            </w:pPr>
          </w:p>
          <w:p w14:paraId="271A1B94" w14:textId="6509BE38" w:rsidR="004C19F8" w:rsidRPr="004928C5" w:rsidRDefault="004C19F8" w:rsidP="003D4E6D">
            <w:pPr>
              <w:jc w:val="both"/>
              <w:rPr>
                <w:b/>
                <w:bCs/>
                <w:iCs/>
                <w:sz w:val="24"/>
                <w:szCs w:val="24"/>
              </w:rPr>
            </w:pPr>
            <w:r w:rsidRPr="004928C5">
              <w:rPr>
                <w:b/>
                <w:bCs/>
                <w:iCs/>
                <w:sz w:val="24"/>
                <w:szCs w:val="24"/>
              </w:rPr>
              <w:t xml:space="preserve">3.3 </w:t>
            </w:r>
            <w:r w:rsidR="00C92509" w:rsidRPr="004928C5">
              <w:rPr>
                <w:b/>
                <w:bCs/>
                <w:iCs/>
                <w:sz w:val="24"/>
                <w:szCs w:val="24"/>
              </w:rPr>
              <w:t>Avantages</w:t>
            </w:r>
          </w:p>
          <w:p w14:paraId="465F6DCC" w14:textId="456C34B4" w:rsidR="00DC59A9" w:rsidRPr="00F87C77" w:rsidRDefault="00DC59A9" w:rsidP="00DC59A9">
            <w:pPr>
              <w:shd w:val="clear" w:color="auto" w:fill="FFFFFF"/>
              <w:spacing w:before="225" w:after="225"/>
              <w:rPr>
                <w:rFonts w:cstheme="minorHAnsi"/>
                <w:color w:val="000000" w:themeColor="text1"/>
                <w:sz w:val="24"/>
                <w:szCs w:val="24"/>
                <w:lang w:eastAsia="fr-BE"/>
              </w:rPr>
            </w:pPr>
            <w:r w:rsidRPr="00F87C77">
              <w:rPr>
                <w:rFonts w:cstheme="minorHAnsi"/>
                <w:iCs/>
                <w:color w:val="000000" w:themeColor="text1"/>
                <w:sz w:val="24"/>
                <w:szCs w:val="24"/>
              </w:rPr>
              <w:t>Au niveau du SPP</w:t>
            </w:r>
            <w:r w:rsidR="004928C5">
              <w:rPr>
                <w:rFonts w:cstheme="minorHAnsi"/>
                <w:iCs/>
                <w:color w:val="000000" w:themeColor="text1"/>
                <w:sz w:val="24"/>
                <w:szCs w:val="24"/>
              </w:rPr>
              <w:t>,</w:t>
            </w:r>
            <w:r w:rsidRPr="00F87C77">
              <w:rPr>
                <w:rFonts w:cstheme="minorHAnsi"/>
                <w:iCs/>
                <w:color w:val="000000" w:themeColor="text1"/>
                <w:sz w:val="24"/>
                <w:szCs w:val="24"/>
              </w:rPr>
              <w:t xml:space="preserve"> </w:t>
            </w:r>
            <w:r w:rsidRPr="00F87C77">
              <w:rPr>
                <w:rFonts w:cstheme="minorHAnsi"/>
                <w:color w:val="000000" w:themeColor="text1"/>
                <w:sz w:val="24"/>
                <w:szCs w:val="24"/>
                <w:lang w:eastAsia="fr-BE"/>
              </w:rPr>
              <w:t>afin de ne pas léser l’usager dans ses droits, s’il ne se voit pas délivrer par l’administration communale un accusé de réception ou une annexe qui atteste de la demande de prolongation de son titre de séjour et si le registre national n’a pas encore été adapté, l’intéressé peut continuer à prétendre à l’aide sociale ou au droit à l’intégration sociale :</w:t>
            </w:r>
          </w:p>
          <w:p w14:paraId="5603FD01" w14:textId="77777777" w:rsidR="00DC59A9" w:rsidRPr="00F87C77" w:rsidRDefault="00DC59A9" w:rsidP="00DC59A9">
            <w:pPr>
              <w:shd w:val="clear" w:color="auto" w:fill="FFFFFF"/>
              <w:spacing w:before="225" w:after="225"/>
              <w:rPr>
                <w:rFonts w:cstheme="minorHAnsi"/>
                <w:color w:val="000000" w:themeColor="text1"/>
                <w:sz w:val="24"/>
                <w:szCs w:val="24"/>
                <w:lang w:eastAsia="fr-BE"/>
              </w:rPr>
            </w:pPr>
            <w:r w:rsidRPr="00F87C77">
              <w:rPr>
                <w:rFonts w:cstheme="minorHAnsi"/>
                <w:color w:val="000000" w:themeColor="text1"/>
                <w:sz w:val="24"/>
                <w:szCs w:val="24"/>
                <w:lang w:eastAsia="fr-BE"/>
              </w:rPr>
              <w:t>-soit jusqu’au 23 novembre 2020 ;</w:t>
            </w:r>
          </w:p>
          <w:p w14:paraId="720DFDA8" w14:textId="77777777" w:rsidR="00DC59A9" w:rsidRPr="00F87C77" w:rsidRDefault="00DC59A9" w:rsidP="00DC59A9">
            <w:pPr>
              <w:shd w:val="clear" w:color="auto" w:fill="FFFFFF"/>
              <w:spacing w:before="225" w:after="225"/>
              <w:rPr>
                <w:rFonts w:cstheme="minorHAnsi"/>
                <w:color w:val="000000" w:themeColor="text1"/>
                <w:sz w:val="24"/>
                <w:szCs w:val="24"/>
                <w:lang w:eastAsia="fr-BE"/>
              </w:rPr>
            </w:pPr>
            <w:r w:rsidRPr="00F87C77">
              <w:rPr>
                <w:rFonts w:cstheme="minorHAnsi"/>
                <w:color w:val="000000" w:themeColor="text1"/>
                <w:sz w:val="24"/>
                <w:szCs w:val="24"/>
                <w:lang w:eastAsia="fr-BE"/>
              </w:rPr>
              <w:t>-soit, avant cette date, jusqu’à ce qu’un élément nouveau dans sa situation de séjour implique que le droit à l’aide sociale ne peut plus être octroyé.</w:t>
            </w:r>
          </w:p>
          <w:p w14:paraId="2FA0B796" w14:textId="77777777" w:rsidR="00D5178C" w:rsidRPr="00DC59A9" w:rsidRDefault="00D5178C" w:rsidP="003D4E6D">
            <w:pPr>
              <w:jc w:val="both"/>
              <w:rPr>
                <w:b/>
                <w:bCs/>
                <w:iCs/>
                <w:sz w:val="24"/>
                <w:szCs w:val="24"/>
              </w:rPr>
            </w:pPr>
          </w:p>
          <w:p w14:paraId="43AFBF85" w14:textId="77777777" w:rsidR="004C19F8" w:rsidRDefault="004C19F8" w:rsidP="003D4E6D">
            <w:pPr>
              <w:jc w:val="both"/>
              <w:rPr>
                <w:b/>
                <w:bCs/>
                <w:iCs/>
                <w:sz w:val="24"/>
                <w:szCs w:val="24"/>
                <w:lang w:val="nl-BE"/>
              </w:rPr>
            </w:pPr>
            <w:r w:rsidRPr="004C19F8">
              <w:rPr>
                <w:b/>
                <w:bCs/>
                <w:iCs/>
                <w:sz w:val="24"/>
                <w:szCs w:val="24"/>
                <w:lang w:val="nl-BE"/>
              </w:rPr>
              <w:t>3.4</w:t>
            </w:r>
            <w:r>
              <w:rPr>
                <w:b/>
                <w:bCs/>
                <w:iCs/>
                <w:sz w:val="24"/>
                <w:szCs w:val="24"/>
                <w:lang w:val="nl-BE"/>
              </w:rPr>
              <w:t xml:space="preserve"> </w:t>
            </w:r>
            <w:proofErr w:type="spellStart"/>
            <w:r w:rsidR="00C92509">
              <w:rPr>
                <w:b/>
                <w:bCs/>
                <w:iCs/>
                <w:sz w:val="24"/>
                <w:szCs w:val="24"/>
                <w:lang w:val="nl-BE"/>
              </w:rPr>
              <w:t>Inconvénients</w:t>
            </w:r>
            <w:proofErr w:type="spellEnd"/>
          </w:p>
          <w:p w14:paraId="48533CD7" w14:textId="77777777" w:rsidR="00346633" w:rsidRDefault="00346633" w:rsidP="003D4E6D">
            <w:pPr>
              <w:jc w:val="both"/>
              <w:rPr>
                <w:b/>
                <w:bCs/>
                <w:iCs/>
                <w:sz w:val="24"/>
                <w:szCs w:val="24"/>
                <w:lang w:val="nl-BE"/>
              </w:rPr>
            </w:pPr>
          </w:p>
          <w:p w14:paraId="3C51D0AF" w14:textId="77777777" w:rsidR="00346633" w:rsidRPr="004C19F8" w:rsidRDefault="00346633" w:rsidP="003D4E6D">
            <w:pPr>
              <w:jc w:val="both"/>
              <w:rPr>
                <w:b/>
                <w:bCs/>
                <w:iCs/>
                <w:sz w:val="24"/>
                <w:szCs w:val="24"/>
                <w:lang w:val="nl-BE"/>
              </w:rPr>
            </w:pPr>
            <w:r>
              <w:rPr>
                <w:b/>
                <w:bCs/>
                <w:iCs/>
                <w:sz w:val="24"/>
                <w:szCs w:val="24"/>
                <w:lang w:val="nl-BE"/>
              </w:rPr>
              <w:t xml:space="preserve">3.5 </w:t>
            </w:r>
            <w:r w:rsidR="00C92509">
              <w:rPr>
                <w:b/>
                <w:bCs/>
                <w:iCs/>
                <w:sz w:val="24"/>
                <w:szCs w:val="24"/>
                <w:lang w:val="nl-BE"/>
              </w:rPr>
              <w:t>Base légale</w:t>
            </w:r>
          </w:p>
          <w:p w14:paraId="29BF957A" w14:textId="77777777" w:rsidR="004C19F8" w:rsidRDefault="004C19F8" w:rsidP="003D4E6D">
            <w:pPr>
              <w:jc w:val="both"/>
              <w:rPr>
                <w:iCs/>
                <w:szCs w:val="24"/>
                <w:lang w:val="nl-BE"/>
              </w:rPr>
            </w:pPr>
          </w:p>
          <w:p w14:paraId="35D6433C" w14:textId="77777777" w:rsidR="003D4E6D" w:rsidRPr="00881048" w:rsidRDefault="003D4E6D" w:rsidP="003D4E6D">
            <w:pPr>
              <w:jc w:val="both"/>
              <w:rPr>
                <w:iCs/>
                <w:szCs w:val="24"/>
                <w:lang w:val="nl-BE"/>
              </w:rPr>
            </w:pPr>
          </w:p>
        </w:tc>
      </w:tr>
      <w:tr w:rsidR="00C77A4D" w:rsidRPr="00A244D2" w14:paraId="218D3948"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81F6F5" w14:textId="77777777" w:rsidR="00C77A4D" w:rsidRPr="00C77A4D" w:rsidRDefault="00C92509" w:rsidP="00C77A4D">
            <w:pPr>
              <w:pStyle w:val="Lijstalinea"/>
              <w:numPr>
                <w:ilvl w:val="0"/>
                <w:numId w:val="1"/>
              </w:numPr>
              <w:jc w:val="center"/>
              <w:rPr>
                <w:b/>
                <w:sz w:val="24"/>
                <w:szCs w:val="24"/>
              </w:rPr>
            </w:pPr>
            <w:r>
              <w:rPr>
                <w:b/>
                <w:sz w:val="24"/>
                <w:szCs w:val="24"/>
              </w:rPr>
              <w:t>Groupe cible</w:t>
            </w:r>
          </w:p>
          <w:p w14:paraId="11EBE3C2" w14:textId="77777777" w:rsidR="00C77A4D" w:rsidRPr="00A244D2" w:rsidRDefault="00C77A4D" w:rsidP="00D2572F">
            <w:pPr>
              <w:jc w:val="center"/>
              <w:rPr>
                <w:i/>
                <w:sz w:val="24"/>
                <w:szCs w:val="24"/>
              </w:rPr>
            </w:pPr>
          </w:p>
        </w:tc>
      </w:tr>
      <w:tr w:rsidR="00C77A4D" w:rsidRPr="00833AAD" w14:paraId="610EB26E" w14:textId="77777777" w:rsidTr="00D2572F">
        <w:tc>
          <w:tcPr>
            <w:tcW w:w="9495" w:type="dxa"/>
            <w:tcBorders>
              <w:top w:val="single" w:sz="4" w:space="0" w:color="auto"/>
              <w:left w:val="single" w:sz="4" w:space="0" w:color="auto"/>
              <w:bottom w:val="single" w:sz="4" w:space="0" w:color="auto"/>
              <w:right w:val="single" w:sz="4" w:space="0" w:color="auto"/>
            </w:tcBorders>
          </w:tcPr>
          <w:p w14:paraId="75E1FDDF" w14:textId="77777777" w:rsidR="004928C5" w:rsidRDefault="004928C5" w:rsidP="00C77A4D">
            <w:pPr>
              <w:rPr>
                <w:sz w:val="24"/>
                <w:szCs w:val="24"/>
                <w:lang w:val="fr-FR"/>
              </w:rPr>
            </w:pPr>
          </w:p>
          <w:p w14:paraId="41DB54A6" w14:textId="51063311" w:rsidR="00C77A4D" w:rsidRDefault="004928C5" w:rsidP="00C77A4D">
            <w:pPr>
              <w:rPr>
                <w:sz w:val="24"/>
                <w:szCs w:val="24"/>
                <w:lang w:val="fr-FR"/>
              </w:rPr>
            </w:pPr>
            <w:r>
              <w:rPr>
                <w:sz w:val="24"/>
                <w:szCs w:val="24"/>
                <w:lang w:val="fr-FR"/>
              </w:rPr>
              <w:t>Les étrangers</w:t>
            </w:r>
          </w:p>
          <w:p w14:paraId="164B47D0" w14:textId="77777777" w:rsidR="00C77A4D" w:rsidRPr="00833AAD" w:rsidRDefault="00C77A4D" w:rsidP="00C77A4D">
            <w:pPr>
              <w:rPr>
                <w:sz w:val="24"/>
                <w:szCs w:val="24"/>
                <w:lang w:val="fr-FR"/>
              </w:rPr>
            </w:pPr>
          </w:p>
        </w:tc>
      </w:tr>
      <w:tr w:rsidR="00C77A4D" w:rsidRPr="00C77A4D" w14:paraId="3FEF7481"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E004D3" w14:textId="77777777" w:rsidR="00C77A4D" w:rsidRPr="00C77A4D" w:rsidRDefault="00C92509" w:rsidP="00C77A4D">
            <w:pPr>
              <w:pStyle w:val="Lijstalinea"/>
              <w:numPr>
                <w:ilvl w:val="0"/>
                <w:numId w:val="1"/>
              </w:numPr>
              <w:jc w:val="center"/>
              <w:rPr>
                <w:b/>
                <w:sz w:val="24"/>
                <w:szCs w:val="24"/>
              </w:rPr>
            </w:pPr>
            <w:r>
              <w:rPr>
                <w:b/>
                <w:sz w:val="24"/>
                <w:szCs w:val="24"/>
              </w:rPr>
              <w:t>Impact budgétaire</w:t>
            </w:r>
          </w:p>
          <w:p w14:paraId="2C25C47B" w14:textId="77777777" w:rsidR="00C77A4D" w:rsidRPr="00A244D2" w:rsidRDefault="00C77A4D" w:rsidP="00D2572F">
            <w:pPr>
              <w:jc w:val="center"/>
              <w:rPr>
                <w:i/>
                <w:sz w:val="24"/>
                <w:szCs w:val="24"/>
              </w:rPr>
            </w:pPr>
          </w:p>
        </w:tc>
      </w:tr>
      <w:tr w:rsidR="00C77A4D" w:rsidRPr="00806C17" w14:paraId="4C78DD9D" w14:textId="77777777" w:rsidTr="003D4E6D">
        <w:tc>
          <w:tcPr>
            <w:tcW w:w="9495" w:type="dxa"/>
            <w:tcBorders>
              <w:top w:val="single" w:sz="4" w:space="0" w:color="auto"/>
              <w:left w:val="single" w:sz="4" w:space="0" w:color="auto"/>
              <w:bottom w:val="single" w:sz="4" w:space="0" w:color="auto"/>
              <w:right w:val="single" w:sz="4" w:space="0" w:color="auto"/>
            </w:tcBorders>
          </w:tcPr>
          <w:p w14:paraId="60556030" w14:textId="77777777" w:rsidR="00C77A4D" w:rsidRDefault="00C92509" w:rsidP="00C77A4D">
            <w:pPr>
              <w:rPr>
                <w:b/>
                <w:bCs/>
                <w:sz w:val="24"/>
                <w:szCs w:val="24"/>
                <w:lang w:val="fr-FR"/>
              </w:rPr>
            </w:pPr>
            <w:r w:rsidRPr="00C92509">
              <w:rPr>
                <w:b/>
                <w:bCs/>
                <w:sz w:val="24"/>
                <w:szCs w:val="24"/>
                <w:lang w:val="fr-FR"/>
              </w:rPr>
              <w:t>Coût et financement de c</w:t>
            </w:r>
            <w:r>
              <w:rPr>
                <w:b/>
                <w:bCs/>
                <w:sz w:val="24"/>
                <w:szCs w:val="24"/>
                <w:lang w:val="fr-FR"/>
              </w:rPr>
              <w:t>ette mesure</w:t>
            </w:r>
          </w:p>
          <w:p w14:paraId="4657FDC9" w14:textId="77777777" w:rsidR="00FF381F" w:rsidRPr="00C92509" w:rsidRDefault="00FF381F" w:rsidP="00C77A4D">
            <w:pPr>
              <w:rPr>
                <w:b/>
                <w:bCs/>
                <w:sz w:val="24"/>
                <w:szCs w:val="24"/>
                <w:lang w:val="fr-FR"/>
              </w:rPr>
            </w:pPr>
          </w:p>
          <w:p w14:paraId="38AFD486" w14:textId="77777777" w:rsidR="00C77A4D" w:rsidRPr="00C92509" w:rsidRDefault="00C77A4D" w:rsidP="00C77A4D">
            <w:pPr>
              <w:rPr>
                <w:sz w:val="24"/>
                <w:szCs w:val="24"/>
                <w:lang w:val="fr-FR"/>
              </w:rPr>
            </w:pPr>
          </w:p>
        </w:tc>
      </w:tr>
      <w:tr w:rsidR="00C77A4D" w:rsidRPr="00806C17" w14:paraId="0754C0CF" w14:textId="77777777" w:rsidTr="003D4E6D">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DAAE12" w14:textId="77777777" w:rsidR="00C77A4D" w:rsidRPr="00C92509" w:rsidRDefault="00C92509" w:rsidP="009541AA">
            <w:pPr>
              <w:numPr>
                <w:ilvl w:val="0"/>
                <w:numId w:val="1"/>
              </w:numPr>
              <w:contextualSpacing/>
              <w:jc w:val="center"/>
              <w:rPr>
                <w:b/>
                <w:bCs/>
                <w:iCs/>
                <w:sz w:val="24"/>
                <w:szCs w:val="24"/>
                <w:lang w:val="fr-FR"/>
              </w:rPr>
            </w:pPr>
            <w:bookmarkStart w:id="1" w:name="_Hlk55895887"/>
            <w:r w:rsidRPr="00C92509">
              <w:rPr>
                <w:b/>
                <w:bCs/>
                <w:iCs/>
                <w:sz w:val="24"/>
                <w:szCs w:val="24"/>
                <w:lang w:val="fr-FR"/>
              </w:rPr>
              <w:t>Résultat(s) escompté(s) avec éléments d'analyse</w:t>
            </w:r>
          </w:p>
        </w:tc>
      </w:tr>
      <w:bookmarkEnd w:id="1"/>
      <w:tr w:rsidR="00C77A4D" w:rsidRPr="00806C17" w14:paraId="60D0EFED" w14:textId="77777777" w:rsidTr="003D4E6D">
        <w:tc>
          <w:tcPr>
            <w:tcW w:w="9495" w:type="dxa"/>
            <w:tcBorders>
              <w:top w:val="single" w:sz="4" w:space="0" w:color="auto"/>
              <w:left w:val="single" w:sz="4" w:space="0" w:color="auto"/>
              <w:bottom w:val="single" w:sz="4" w:space="0" w:color="auto"/>
              <w:right w:val="single" w:sz="4" w:space="0" w:color="auto"/>
            </w:tcBorders>
          </w:tcPr>
          <w:p w14:paraId="597577A0" w14:textId="77777777" w:rsidR="00C77A4D" w:rsidRPr="00C92509" w:rsidRDefault="00346633" w:rsidP="00C77A4D">
            <w:pPr>
              <w:rPr>
                <w:b/>
                <w:bCs/>
                <w:sz w:val="24"/>
                <w:szCs w:val="24"/>
                <w:lang w:val="fr-FR"/>
              </w:rPr>
            </w:pPr>
            <w:r w:rsidRPr="00C92509">
              <w:rPr>
                <w:b/>
                <w:bCs/>
                <w:sz w:val="24"/>
                <w:szCs w:val="24"/>
                <w:lang w:val="fr-FR"/>
              </w:rPr>
              <w:t xml:space="preserve">6.1 </w:t>
            </w:r>
            <w:r w:rsidR="00C92509" w:rsidRPr="00C92509">
              <w:rPr>
                <w:b/>
                <w:bCs/>
                <w:sz w:val="24"/>
                <w:szCs w:val="24"/>
                <w:lang w:val="fr-FR"/>
              </w:rPr>
              <w:t>Situation souhaitée</w:t>
            </w:r>
            <w:r w:rsidR="00C92509">
              <w:rPr>
                <w:b/>
                <w:bCs/>
                <w:sz w:val="24"/>
                <w:szCs w:val="24"/>
                <w:lang w:val="fr-FR"/>
              </w:rPr>
              <w:t>?</w:t>
            </w:r>
          </w:p>
          <w:p w14:paraId="2E49708A" w14:textId="77777777" w:rsidR="004928C5" w:rsidRDefault="004928C5" w:rsidP="00C77A4D">
            <w:pPr>
              <w:rPr>
                <w:b/>
                <w:bCs/>
                <w:sz w:val="24"/>
                <w:szCs w:val="24"/>
                <w:lang w:val="fr-FR"/>
              </w:rPr>
            </w:pPr>
          </w:p>
          <w:p w14:paraId="2F613B3D" w14:textId="0AB2364B" w:rsidR="00C77A4D" w:rsidRDefault="004928C5" w:rsidP="00C77A4D">
            <w:pPr>
              <w:rPr>
                <w:sz w:val="24"/>
                <w:szCs w:val="24"/>
                <w:lang w:val="fr-FR"/>
              </w:rPr>
            </w:pPr>
            <w:r w:rsidRPr="004928C5">
              <w:rPr>
                <w:sz w:val="24"/>
                <w:szCs w:val="24"/>
                <w:lang w:val="fr-FR"/>
              </w:rPr>
              <w:t xml:space="preserve">Ne pas </w:t>
            </w:r>
            <w:proofErr w:type="spellStart"/>
            <w:r w:rsidRPr="004928C5">
              <w:rPr>
                <w:sz w:val="24"/>
                <w:szCs w:val="24"/>
                <w:lang w:val="fr-FR"/>
              </w:rPr>
              <w:t>lèser</w:t>
            </w:r>
            <w:proofErr w:type="spellEnd"/>
            <w:r w:rsidRPr="004928C5">
              <w:rPr>
                <w:sz w:val="24"/>
                <w:szCs w:val="24"/>
                <w:lang w:val="fr-FR"/>
              </w:rPr>
              <w:t xml:space="preserve"> les droits de la personne</w:t>
            </w:r>
            <w:r>
              <w:rPr>
                <w:sz w:val="24"/>
                <w:szCs w:val="24"/>
                <w:lang w:val="fr-FR"/>
              </w:rPr>
              <w:t xml:space="preserve"> qui ne se serait pas vu</w:t>
            </w:r>
            <w:r w:rsidR="00D52244">
              <w:rPr>
                <w:sz w:val="24"/>
                <w:szCs w:val="24"/>
                <w:lang w:val="fr-FR"/>
              </w:rPr>
              <w:t>e</w:t>
            </w:r>
            <w:r>
              <w:rPr>
                <w:sz w:val="24"/>
                <w:szCs w:val="24"/>
                <w:lang w:val="fr-FR"/>
              </w:rPr>
              <w:t xml:space="preserve"> délivrer les documents ou dont les données du RN ne serait pas à jour.</w:t>
            </w:r>
          </w:p>
          <w:p w14:paraId="04EA9A95" w14:textId="77777777" w:rsidR="004928C5" w:rsidRPr="004928C5" w:rsidRDefault="004928C5" w:rsidP="00C77A4D">
            <w:pPr>
              <w:rPr>
                <w:sz w:val="24"/>
                <w:szCs w:val="24"/>
                <w:lang w:val="fr-FR"/>
              </w:rPr>
            </w:pPr>
          </w:p>
          <w:p w14:paraId="402A5C24" w14:textId="7457FCB1" w:rsidR="00346633" w:rsidRDefault="00346633" w:rsidP="009541AA">
            <w:pPr>
              <w:rPr>
                <w:b/>
                <w:bCs/>
                <w:sz w:val="24"/>
                <w:szCs w:val="24"/>
                <w:lang w:val="fr-FR"/>
              </w:rPr>
            </w:pPr>
            <w:r w:rsidRPr="00C92509">
              <w:rPr>
                <w:b/>
                <w:bCs/>
                <w:sz w:val="24"/>
                <w:szCs w:val="24"/>
                <w:lang w:val="fr-FR"/>
              </w:rPr>
              <w:t xml:space="preserve">6.2 </w:t>
            </w:r>
            <w:r w:rsidR="00C92509" w:rsidRPr="00C92509">
              <w:rPr>
                <w:b/>
                <w:bCs/>
                <w:sz w:val="24"/>
                <w:szCs w:val="24"/>
                <w:lang w:val="fr-FR"/>
              </w:rPr>
              <w:t>Comment atteindre l’objectif</w:t>
            </w:r>
            <w:r w:rsidR="00FA0F82">
              <w:rPr>
                <w:b/>
                <w:bCs/>
                <w:sz w:val="24"/>
                <w:szCs w:val="24"/>
                <w:lang w:val="fr-FR"/>
              </w:rPr>
              <w:t>?</w:t>
            </w:r>
          </w:p>
          <w:p w14:paraId="6E861AE4" w14:textId="29C2A221" w:rsidR="004928C5" w:rsidRDefault="004928C5" w:rsidP="009541AA">
            <w:pPr>
              <w:rPr>
                <w:b/>
                <w:bCs/>
                <w:sz w:val="24"/>
                <w:szCs w:val="24"/>
                <w:lang w:val="fr-FR"/>
              </w:rPr>
            </w:pPr>
          </w:p>
          <w:p w14:paraId="2AD284DC" w14:textId="1DE631E6" w:rsidR="004928C5" w:rsidRPr="004928C5" w:rsidRDefault="004928C5" w:rsidP="009541AA">
            <w:pPr>
              <w:rPr>
                <w:sz w:val="24"/>
                <w:szCs w:val="24"/>
                <w:lang w:val="fr-FR"/>
              </w:rPr>
            </w:pPr>
            <w:r w:rsidRPr="004928C5">
              <w:rPr>
                <w:sz w:val="24"/>
                <w:szCs w:val="24"/>
                <w:lang w:val="fr-FR"/>
              </w:rPr>
              <w:t>Adaptation d</w:t>
            </w:r>
            <w:r>
              <w:rPr>
                <w:sz w:val="24"/>
                <w:szCs w:val="24"/>
                <w:lang w:val="fr-FR"/>
              </w:rPr>
              <w:t>e l'ancien</w:t>
            </w:r>
            <w:r w:rsidRPr="004928C5">
              <w:rPr>
                <w:sz w:val="24"/>
                <w:szCs w:val="24"/>
                <w:lang w:val="fr-FR"/>
              </w:rPr>
              <w:t xml:space="preserve"> FAQ 2.6</w:t>
            </w:r>
          </w:p>
          <w:p w14:paraId="341DA7C5" w14:textId="77777777" w:rsidR="00346633" w:rsidRPr="00C92509" w:rsidRDefault="00346633" w:rsidP="009541AA">
            <w:pPr>
              <w:rPr>
                <w:b/>
                <w:bCs/>
                <w:sz w:val="24"/>
                <w:szCs w:val="24"/>
                <w:lang w:val="fr-FR"/>
              </w:rPr>
            </w:pPr>
          </w:p>
          <w:p w14:paraId="70BA1079" w14:textId="77777777" w:rsidR="006D638F" w:rsidRPr="00C92509" w:rsidRDefault="00346633" w:rsidP="009541AA">
            <w:pPr>
              <w:rPr>
                <w:b/>
                <w:bCs/>
                <w:sz w:val="24"/>
                <w:szCs w:val="24"/>
                <w:lang w:val="fr-FR"/>
              </w:rPr>
            </w:pPr>
            <w:r w:rsidRPr="00C92509">
              <w:rPr>
                <w:b/>
                <w:bCs/>
                <w:sz w:val="24"/>
                <w:szCs w:val="24"/>
                <w:lang w:val="fr-FR"/>
              </w:rPr>
              <w:lastRenderedPageBreak/>
              <w:t xml:space="preserve">6.3 </w:t>
            </w:r>
            <w:r w:rsidR="00C92509" w:rsidRPr="00C92509">
              <w:rPr>
                <w:b/>
                <w:bCs/>
                <w:sz w:val="24"/>
                <w:szCs w:val="24"/>
                <w:lang w:val="fr-FR"/>
              </w:rPr>
              <w:t>Adapter les lois et r</w:t>
            </w:r>
            <w:r w:rsidR="00C92509">
              <w:rPr>
                <w:b/>
                <w:bCs/>
                <w:sz w:val="24"/>
                <w:szCs w:val="24"/>
                <w:lang w:val="fr-FR"/>
              </w:rPr>
              <w:t>èglements?</w:t>
            </w:r>
          </w:p>
          <w:p w14:paraId="2D16DEFB" w14:textId="77777777" w:rsidR="00C77A4D" w:rsidRPr="00C92509" w:rsidRDefault="00C77A4D" w:rsidP="00C77A4D">
            <w:pPr>
              <w:jc w:val="center"/>
              <w:rPr>
                <w:i/>
                <w:iCs/>
                <w:color w:val="FF0000"/>
                <w:sz w:val="24"/>
                <w:szCs w:val="24"/>
                <w:lang w:val="fr-FR"/>
              </w:rPr>
            </w:pPr>
          </w:p>
          <w:p w14:paraId="617501BF" w14:textId="77777777" w:rsidR="00C77A4D" w:rsidRPr="00C92509" w:rsidRDefault="00C77A4D" w:rsidP="00C77A4D">
            <w:pPr>
              <w:jc w:val="both"/>
              <w:rPr>
                <w:b/>
                <w:bCs/>
                <w:sz w:val="24"/>
                <w:szCs w:val="24"/>
                <w:lang w:val="fr-FR"/>
              </w:rPr>
            </w:pPr>
          </w:p>
        </w:tc>
      </w:tr>
      <w:tr w:rsidR="006D638F" w:rsidRPr="006D638F" w14:paraId="16AC3049" w14:textId="77777777" w:rsidTr="00D2572F">
        <w:tc>
          <w:tcPr>
            <w:tcW w:w="94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913462" w14:textId="77777777" w:rsidR="006D638F" w:rsidRPr="006D638F" w:rsidRDefault="00FA0F82" w:rsidP="006D638F">
            <w:pPr>
              <w:pStyle w:val="Lijstalinea"/>
              <w:numPr>
                <w:ilvl w:val="0"/>
                <w:numId w:val="1"/>
              </w:numPr>
              <w:jc w:val="center"/>
              <w:rPr>
                <w:b/>
                <w:sz w:val="24"/>
                <w:szCs w:val="24"/>
              </w:rPr>
            </w:pPr>
            <w:r w:rsidRPr="00FA0F82">
              <w:rPr>
                <w:b/>
                <w:sz w:val="24"/>
                <w:szCs w:val="24"/>
              </w:rPr>
              <w:lastRenderedPageBreak/>
              <w:t>Etapes à prévoir</w:t>
            </w:r>
          </w:p>
          <w:p w14:paraId="3F9372E9" w14:textId="77777777" w:rsidR="006D638F" w:rsidRPr="00A244D2" w:rsidRDefault="006D638F" w:rsidP="00D2572F">
            <w:pPr>
              <w:jc w:val="center"/>
              <w:rPr>
                <w:i/>
                <w:sz w:val="24"/>
                <w:szCs w:val="24"/>
              </w:rPr>
            </w:pPr>
          </w:p>
        </w:tc>
      </w:tr>
      <w:tr w:rsidR="006D638F" w:rsidRPr="00FA0F82" w14:paraId="3B3688E4" w14:textId="77777777" w:rsidTr="003D4E6D">
        <w:tc>
          <w:tcPr>
            <w:tcW w:w="9495" w:type="dxa"/>
            <w:tcBorders>
              <w:top w:val="single" w:sz="4" w:space="0" w:color="auto"/>
              <w:left w:val="single" w:sz="4" w:space="0" w:color="auto"/>
              <w:bottom w:val="single" w:sz="4" w:space="0" w:color="auto"/>
              <w:right w:val="single" w:sz="4" w:space="0" w:color="auto"/>
            </w:tcBorders>
          </w:tcPr>
          <w:p w14:paraId="13DF01C0" w14:textId="24B4BD29" w:rsidR="00655944" w:rsidRDefault="00FA0F82" w:rsidP="00FA0F82">
            <w:pPr>
              <w:rPr>
                <w:b/>
                <w:bCs/>
                <w:sz w:val="24"/>
                <w:szCs w:val="24"/>
                <w:lang w:val="fr-FR"/>
              </w:rPr>
            </w:pPr>
            <w:r w:rsidRPr="00FA0F82">
              <w:rPr>
                <w:b/>
                <w:bCs/>
                <w:sz w:val="24"/>
                <w:szCs w:val="24"/>
                <w:lang w:val="fr-FR"/>
              </w:rPr>
              <w:t>Calendrier de mise en œuvre</w:t>
            </w:r>
          </w:p>
          <w:p w14:paraId="3274859C" w14:textId="77777777" w:rsidR="00FA0F82" w:rsidRPr="006D638F" w:rsidRDefault="00FA0F82" w:rsidP="00FA0F82">
            <w:pPr>
              <w:rPr>
                <w:b/>
                <w:bCs/>
                <w:sz w:val="24"/>
                <w:szCs w:val="24"/>
                <w:lang w:val="fr-FR"/>
              </w:rPr>
            </w:pPr>
          </w:p>
        </w:tc>
      </w:tr>
    </w:tbl>
    <w:p w14:paraId="362E56CA" w14:textId="77777777" w:rsidR="00A244D2" w:rsidRPr="006D638F" w:rsidRDefault="00A244D2">
      <w:pPr>
        <w:rPr>
          <w:lang w:val="fr-FR"/>
        </w:rPr>
      </w:pPr>
    </w:p>
    <w:sectPr w:rsidR="00A244D2" w:rsidRPr="006D6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8B"/>
    <w:multiLevelType w:val="hybridMultilevel"/>
    <w:tmpl w:val="793ECE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9E30D2"/>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094DDF"/>
    <w:multiLevelType w:val="hybridMultilevel"/>
    <w:tmpl w:val="676629AA"/>
    <w:lvl w:ilvl="0" w:tplc="17D008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AB57AA"/>
    <w:multiLevelType w:val="hybridMultilevel"/>
    <w:tmpl w:val="F4D8A7A8"/>
    <w:lvl w:ilvl="0" w:tplc="E234A7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DC3937"/>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51D763DE"/>
    <w:multiLevelType w:val="hybridMultilevel"/>
    <w:tmpl w:val="F45C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392E10"/>
    <w:multiLevelType w:val="hybridMultilevel"/>
    <w:tmpl w:val="F6362DD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656C38EA"/>
    <w:multiLevelType w:val="hybridMultilevel"/>
    <w:tmpl w:val="56F46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E3F2968"/>
    <w:multiLevelType w:val="hybridMultilevel"/>
    <w:tmpl w:val="CEA89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2"/>
  </w:num>
  <w:num w:numId="6">
    <w:abstractNumId w:val="1"/>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D2"/>
    <w:rsid w:val="0003438F"/>
    <w:rsid w:val="00046045"/>
    <w:rsid w:val="00072339"/>
    <w:rsid w:val="0008087C"/>
    <w:rsid w:val="00084015"/>
    <w:rsid w:val="00113612"/>
    <w:rsid w:val="00162057"/>
    <w:rsid w:val="001837D9"/>
    <w:rsid w:val="001B6FFB"/>
    <w:rsid w:val="001D26DF"/>
    <w:rsid w:val="001D71ED"/>
    <w:rsid w:val="0021238A"/>
    <w:rsid w:val="00246CDA"/>
    <w:rsid w:val="002B714A"/>
    <w:rsid w:val="002D75F2"/>
    <w:rsid w:val="002E037A"/>
    <w:rsid w:val="0031089E"/>
    <w:rsid w:val="00325855"/>
    <w:rsid w:val="00346633"/>
    <w:rsid w:val="0036088C"/>
    <w:rsid w:val="00362012"/>
    <w:rsid w:val="003A2655"/>
    <w:rsid w:val="003B760A"/>
    <w:rsid w:val="003D4E6D"/>
    <w:rsid w:val="004928C5"/>
    <w:rsid w:val="004C19F8"/>
    <w:rsid w:val="00576153"/>
    <w:rsid w:val="005A204F"/>
    <w:rsid w:val="005F3454"/>
    <w:rsid w:val="00612FE1"/>
    <w:rsid w:val="00655944"/>
    <w:rsid w:val="006A1B00"/>
    <w:rsid w:val="006A5A24"/>
    <w:rsid w:val="006C61AD"/>
    <w:rsid w:val="006D638F"/>
    <w:rsid w:val="00727202"/>
    <w:rsid w:val="00731F92"/>
    <w:rsid w:val="0074380F"/>
    <w:rsid w:val="007643CF"/>
    <w:rsid w:val="00777DE9"/>
    <w:rsid w:val="007D5201"/>
    <w:rsid w:val="007F691A"/>
    <w:rsid w:val="00806C17"/>
    <w:rsid w:val="00823307"/>
    <w:rsid w:val="00833AAD"/>
    <w:rsid w:val="00852653"/>
    <w:rsid w:val="00881048"/>
    <w:rsid w:val="00892774"/>
    <w:rsid w:val="009517B1"/>
    <w:rsid w:val="009541AA"/>
    <w:rsid w:val="00A0702A"/>
    <w:rsid w:val="00A105FA"/>
    <w:rsid w:val="00A244D2"/>
    <w:rsid w:val="00A55029"/>
    <w:rsid w:val="00A87FFB"/>
    <w:rsid w:val="00A95E99"/>
    <w:rsid w:val="00AA687A"/>
    <w:rsid w:val="00AE25AC"/>
    <w:rsid w:val="00AF2F02"/>
    <w:rsid w:val="00B530C5"/>
    <w:rsid w:val="00B54665"/>
    <w:rsid w:val="00BB310D"/>
    <w:rsid w:val="00BD4010"/>
    <w:rsid w:val="00BD4516"/>
    <w:rsid w:val="00C348C5"/>
    <w:rsid w:val="00C55C31"/>
    <w:rsid w:val="00C77A4D"/>
    <w:rsid w:val="00C92509"/>
    <w:rsid w:val="00CC290F"/>
    <w:rsid w:val="00D5178C"/>
    <w:rsid w:val="00D52244"/>
    <w:rsid w:val="00D52E54"/>
    <w:rsid w:val="00DA7E21"/>
    <w:rsid w:val="00DC59A9"/>
    <w:rsid w:val="00DE1B13"/>
    <w:rsid w:val="00E11512"/>
    <w:rsid w:val="00E27EFE"/>
    <w:rsid w:val="00E50492"/>
    <w:rsid w:val="00E70190"/>
    <w:rsid w:val="00EE7D8B"/>
    <w:rsid w:val="00EF2063"/>
    <w:rsid w:val="00F72DA4"/>
    <w:rsid w:val="00F87C77"/>
    <w:rsid w:val="00F945DA"/>
    <w:rsid w:val="00FA0320"/>
    <w:rsid w:val="00FA0F82"/>
    <w:rsid w:val="00FE22BC"/>
    <w:rsid w:val="00FE4D0A"/>
    <w:rsid w:val="00FF2406"/>
    <w:rsid w:val="00FF3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347A"/>
  <w15:chartTrackingRefBased/>
  <w15:docId w15:val="{BE515273-CB42-453E-9419-9D8B8002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4D2"/>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438F"/>
    <w:pPr>
      <w:ind w:left="720"/>
      <w:contextualSpacing/>
    </w:pPr>
  </w:style>
  <w:style w:type="character" w:styleId="Hyperlink">
    <w:name w:val="Hyperlink"/>
    <w:basedOn w:val="Standaardalinea-lettertype"/>
    <w:uiPriority w:val="99"/>
    <w:unhideWhenUsed/>
    <w:rsid w:val="00084015"/>
    <w:rPr>
      <w:color w:val="0563C1" w:themeColor="hyperlink"/>
      <w:u w:val="single"/>
    </w:rPr>
  </w:style>
  <w:style w:type="character" w:styleId="Onopgelostemelding">
    <w:name w:val="Unresolved Mention"/>
    <w:basedOn w:val="Standaardalinea-lettertype"/>
    <w:uiPriority w:val="99"/>
    <w:semiHidden/>
    <w:unhideWhenUsed/>
    <w:rsid w:val="00084015"/>
    <w:rPr>
      <w:color w:val="605E5C"/>
      <w:shd w:val="clear" w:color="auto" w:fill="E1DFDD"/>
    </w:rPr>
  </w:style>
  <w:style w:type="paragraph" w:customStyle="1" w:styleId="Default">
    <w:name w:val="Default"/>
    <w:rsid w:val="00C348C5"/>
    <w:pPr>
      <w:autoSpaceDE w:val="0"/>
      <w:autoSpaceDN w:val="0"/>
      <w:adjustRightInd w:val="0"/>
      <w:spacing w:after="0" w:line="240" w:lineRule="auto"/>
    </w:pPr>
    <w:rPr>
      <w:rFonts w:ascii="Arial" w:hAnsi="Arial" w:cs="Arial"/>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459">
      <w:bodyDiv w:val="1"/>
      <w:marLeft w:val="0"/>
      <w:marRight w:val="0"/>
      <w:marTop w:val="0"/>
      <w:marBottom w:val="0"/>
      <w:divBdr>
        <w:top w:val="none" w:sz="0" w:space="0" w:color="auto"/>
        <w:left w:val="none" w:sz="0" w:space="0" w:color="auto"/>
        <w:bottom w:val="none" w:sz="0" w:space="0" w:color="auto"/>
        <w:right w:val="none" w:sz="0" w:space="0" w:color="auto"/>
      </w:divBdr>
    </w:div>
    <w:div w:id="684288581">
      <w:bodyDiv w:val="1"/>
      <w:marLeft w:val="0"/>
      <w:marRight w:val="0"/>
      <w:marTop w:val="0"/>
      <w:marBottom w:val="0"/>
      <w:divBdr>
        <w:top w:val="none" w:sz="0" w:space="0" w:color="auto"/>
        <w:left w:val="none" w:sz="0" w:space="0" w:color="auto"/>
        <w:bottom w:val="none" w:sz="0" w:space="0" w:color="auto"/>
        <w:right w:val="none" w:sz="0" w:space="0" w:color="auto"/>
      </w:divBdr>
    </w:div>
    <w:div w:id="1263226793">
      <w:bodyDiv w:val="1"/>
      <w:marLeft w:val="0"/>
      <w:marRight w:val="0"/>
      <w:marTop w:val="0"/>
      <w:marBottom w:val="0"/>
      <w:divBdr>
        <w:top w:val="none" w:sz="0" w:space="0" w:color="auto"/>
        <w:left w:val="none" w:sz="0" w:space="0" w:color="auto"/>
        <w:bottom w:val="none" w:sz="0" w:space="0" w:color="auto"/>
        <w:right w:val="none" w:sz="0" w:space="0" w:color="auto"/>
      </w:divBdr>
    </w:div>
    <w:div w:id="18822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Crée un document." ma:contentTypeScope="" ma:versionID="112bb94b1c44c15799306c7be9422a39">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230675ed6742648b40a80bbfba9af09c"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Props1.xml><?xml version="1.0" encoding="utf-8"?>
<ds:datastoreItem xmlns:ds="http://schemas.openxmlformats.org/officeDocument/2006/customXml" ds:itemID="{0F09FEFF-CD64-41AD-8AB6-FCDAE86DF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F1ECB-7A5A-4DDC-A4FA-C0B0713DBB3E}">
  <ds:schemaRefs>
    <ds:schemaRef ds:uri="http://schemas.microsoft.com/sharepoint/v3/contenttype/forms"/>
  </ds:schemaRefs>
</ds:datastoreItem>
</file>

<file path=customXml/itemProps3.xml><?xml version="1.0" encoding="utf-8"?>
<ds:datastoreItem xmlns:ds="http://schemas.openxmlformats.org/officeDocument/2006/customXml" ds:itemID="{521BBF3D-A1ED-49D3-8CD4-54C436B076D2}">
  <ds:schemaRefs>
    <ds:schemaRef ds:uri="http://schemas.microsoft.com/office/2006/documentManagement/types"/>
    <ds:schemaRef ds:uri="4c6a26a4-0da3-46ff-90ba-c4347004d7d6"/>
    <ds:schemaRef ds:uri="http://purl.org/dc/elements/1.1/"/>
    <ds:schemaRef ds:uri="http://purl.org/dc/dcmitype/"/>
    <ds:schemaRef ds:uri="http://www.w3.org/XML/1998/namespace"/>
    <ds:schemaRef ds:uri="http://purl.org/dc/terms/"/>
    <ds:schemaRef ds:uri="ec2b5544-cf9c-4dce-86c1-577a48caaa09"/>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2499</Characters>
  <Application>Microsoft Office Word</Application>
  <DocSecurity>4</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Opfergelt Anita</dc:creator>
  <cp:keywords/>
  <dc:description/>
  <cp:lastModifiedBy>Mattheussens Gunther</cp:lastModifiedBy>
  <cp:revision>2</cp:revision>
  <dcterms:created xsi:type="dcterms:W3CDTF">2020-11-19T09:54:00Z</dcterms:created>
  <dcterms:modified xsi:type="dcterms:W3CDTF">2020-11-19T09:54:00Z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