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73CF" w:rsidRDefault="00CC73CF">
      <w:pPr>
        <w:rPr>
          <w:b/>
          <w:bCs/>
          <w:sz w:val="28"/>
          <w:szCs w:val="28"/>
        </w:rPr>
      </w:pPr>
      <w:r>
        <w:rPr>
          <w:b/>
          <w:bCs/>
          <w:sz w:val="28"/>
          <w:szCs w:val="28"/>
        </w:rPr>
        <w:t>Fiche 3.3</w:t>
      </w:r>
      <w:bookmarkStart w:id="0" w:name="_GoBack"/>
      <w:bookmarkEnd w:id="0"/>
    </w:p>
    <w:p w:rsidR="00362012" w:rsidRDefault="002D75F2">
      <w:pPr>
        <w:rPr>
          <w:b/>
          <w:bCs/>
          <w:sz w:val="28"/>
          <w:szCs w:val="28"/>
        </w:rPr>
      </w:pPr>
      <w:r>
        <w:rPr>
          <w:b/>
          <w:bCs/>
          <w:sz w:val="28"/>
          <w:szCs w:val="28"/>
        </w:rPr>
        <w:t xml:space="preserve">THEMA: </w:t>
      </w:r>
      <w:r w:rsidR="00FA6139">
        <w:rPr>
          <w:b/>
          <w:bCs/>
          <w:sz w:val="28"/>
          <w:szCs w:val="28"/>
        </w:rPr>
        <w:t>Toegankelijkheid van de diensten</w:t>
      </w:r>
    </w:p>
    <w:p w:rsidR="00823307" w:rsidRPr="00823307" w:rsidRDefault="00823307">
      <w:pPr>
        <w:rPr>
          <w:b/>
          <w:bCs/>
          <w:sz w:val="28"/>
          <w:szCs w:val="28"/>
        </w:rPr>
      </w:pPr>
    </w:p>
    <w:tbl>
      <w:tblPr>
        <w:tblStyle w:val="Tabelraster"/>
        <w:tblW w:w="9495" w:type="dxa"/>
        <w:tblLayout w:type="fixed"/>
        <w:tblLook w:val="04A0" w:firstRow="1" w:lastRow="0" w:firstColumn="1" w:lastColumn="0" w:noHBand="0" w:noVBand="1"/>
      </w:tblPr>
      <w:tblGrid>
        <w:gridCol w:w="9495"/>
      </w:tblGrid>
      <w:tr w:rsidR="00A244D2" w:rsidRPr="00A244D2" w:rsidTr="003D4E6D">
        <w:tc>
          <w:tcPr>
            <w:tcW w:w="9495"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A244D2" w:rsidRPr="00A244D2" w:rsidRDefault="003D4E6D" w:rsidP="00A244D2">
            <w:pPr>
              <w:numPr>
                <w:ilvl w:val="0"/>
                <w:numId w:val="1"/>
              </w:numPr>
              <w:contextualSpacing/>
              <w:jc w:val="center"/>
              <w:rPr>
                <w:b/>
                <w:bCs/>
                <w:sz w:val="24"/>
                <w:szCs w:val="24"/>
                <w:lang w:val="nl-BE"/>
              </w:rPr>
            </w:pPr>
            <w:r>
              <w:rPr>
                <w:b/>
                <w:sz w:val="24"/>
                <w:szCs w:val="24"/>
                <w:lang w:val="nl-BE"/>
              </w:rPr>
              <w:t>Voorstel maatregel</w:t>
            </w:r>
          </w:p>
        </w:tc>
      </w:tr>
      <w:tr w:rsidR="00A244D2" w:rsidRPr="0031089E" w:rsidTr="003D4E6D">
        <w:tc>
          <w:tcPr>
            <w:tcW w:w="9495" w:type="dxa"/>
            <w:tcBorders>
              <w:top w:val="single" w:sz="4" w:space="0" w:color="auto"/>
              <w:left w:val="single" w:sz="4" w:space="0" w:color="auto"/>
              <w:bottom w:val="single" w:sz="4" w:space="0" w:color="auto"/>
              <w:right w:val="single" w:sz="4" w:space="0" w:color="auto"/>
            </w:tcBorders>
          </w:tcPr>
          <w:p w:rsidR="00D24444" w:rsidRPr="00D24444" w:rsidRDefault="002D75F2" w:rsidP="00D24444">
            <w:pPr>
              <w:pStyle w:val="Lijstalinea"/>
              <w:numPr>
                <w:ilvl w:val="1"/>
                <w:numId w:val="10"/>
              </w:numPr>
              <w:jc w:val="both"/>
              <w:rPr>
                <w:b/>
                <w:bCs/>
                <w:sz w:val="24"/>
                <w:szCs w:val="24"/>
                <w:lang w:val="nl-NL"/>
              </w:rPr>
            </w:pPr>
            <w:r w:rsidRPr="00D24444">
              <w:rPr>
                <w:b/>
                <w:bCs/>
                <w:sz w:val="24"/>
                <w:szCs w:val="24"/>
                <w:lang w:val="nl-NL"/>
              </w:rPr>
              <w:t>Beschrijving c</w:t>
            </w:r>
            <w:r w:rsidR="00362012" w:rsidRPr="00D24444">
              <w:rPr>
                <w:b/>
                <w:bCs/>
                <w:sz w:val="24"/>
                <w:szCs w:val="24"/>
                <w:lang w:val="nl-NL"/>
              </w:rPr>
              <w:t>ontext</w:t>
            </w:r>
            <w:r w:rsidR="00AF2F02" w:rsidRPr="00D24444">
              <w:rPr>
                <w:b/>
                <w:bCs/>
                <w:sz w:val="24"/>
                <w:szCs w:val="24"/>
                <w:lang w:val="nl-NL"/>
              </w:rPr>
              <w:t>/problematiek</w:t>
            </w:r>
            <w:r w:rsidR="00D24444" w:rsidRPr="00D24444">
              <w:rPr>
                <w:b/>
                <w:bCs/>
                <w:sz w:val="24"/>
                <w:szCs w:val="24"/>
                <w:lang w:val="nl-NL"/>
              </w:rPr>
              <w:t xml:space="preserve">: </w:t>
            </w:r>
          </w:p>
          <w:p w:rsidR="00362012" w:rsidRPr="00F27F10" w:rsidRDefault="00D24444" w:rsidP="00D24444">
            <w:pPr>
              <w:pStyle w:val="Lijstalinea"/>
              <w:ind w:left="360"/>
              <w:jc w:val="both"/>
              <w:rPr>
                <w:sz w:val="24"/>
                <w:szCs w:val="24"/>
                <w:lang w:val="nl-NL"/>
              </w:rPr>
            </w:pPr>
            <w:r w:rsidRPr="00F27F10">
              <w:rPr>
                <w:sz w:val="24"/>
                <w:szCs w:val="24"/>
                <w:lang w:val="nl-NL"/>
              </w:rPr>
              <w:t xml:space="preserve">de toegankelijkheid tot de diensten van het OCMW (en dus de rechten </w:t>
            </w:r>
            <w:r w:rsidR="00D0482A" w:rsidRPr="00F27F10">
              <w:rPr>
                <w:sz w:val="24"/>
                <w:szCs w:val="24"/>
                <w:lang w:val="nl-NL"/>
              </w:rPr>
              <w:t xml:space="preserve">en hulpvragen </w:t>
            </w:r>
            <w:r w:rsidRPr="00F27F10">
              <w:rPr>
                <w:sz w:val="24"/>
                <w:szCs w:val="24"/>
                <w:lang w:val="nl-NL"/>
              </w:rPr>
              <w:t xml:space="preserve">van </w:t>
            </w:r>
            <w:r w:rsidR="003869FC" w:rsidRPr="00F27F10">
              <w:rPr>
                <w:sz w:val="24"/>
                <w:szCs w:val="24"/>
                <w:lang w:val="nl-NL"/>
              </w:rPr>
              <w:t>cliënten</w:t>
            </w:r>
            <w:r w:rsidRPr="00F27F10">
              <w:rPr>
                <w:sz w:val="24"/>
                <w:szCs w:val="24"/>
                <w:lang w:val="nl-NL"/>
              </w:rPr>
              <w:t>) wordt bemoeilijkt door de COVID-crisis</w:t>
            </w:r>
          </w:p>
          <w:p w:rsidR="00852653" w:rsidRPr="003D4E6D" w:rsidRDefault="00852653" w:rsidP="00362012">
            <w:pPr>
              <w:jc w:val="both"/>
              <w:rPr>
                <w:sz w:val="24"/>
                <w:szCs w:val="24"/>
                <w:lang w:val="nl-BE"/>
              </w:rPr>
            </w:pPr>
          </w:p>
          <w:p w:rsidR="00362012" w:rsidRPr="003D4E6D" w:rsidRDefault="003D4E6D" w:rsidP="00362012">
            <w:pPr>
              <w:jc w:val="both"/>
              <w:rPr>
                <w:sz w:val="24"/>
                <w:szCs w:val="24"/>
                <w:lang w:val="nl-NL"/>
              </w:rPr>
            </w:pPr>
            <w:r w:rsidRPr="003D4E6D">
              <w:rPr>
                <w:b/>
                <w:bCs/>
                <w:sz w:val="24"/>
                <w:szCs w:val="24"/>
                <w:lang w:val="nl-NL"/>
              </w:rPr>
              <w:t xml:space="preserve">1.2 </w:t>
            </w:r>
            <w:r w:rsidR="00362012" w:rsidRPr="003D4E6D">
              <w:rPr>
                <w:b/>
                <w:bCs/>
                <w:sz w:val="24"/>
                <w:szCs w:val="24"/>
                <w:lang w:val="nl-NL"/>
              </w:rPr>
              <w:t>Inhoud maatregel</w:t>
            </w:r>
          </w:p>
          <w:p w:rsidR="00AE25AC" w:rsidRPr="008D163F" w:rsidRDefault="00D0482A" w:rsidP="00BB310D">
            <w:pPr>
              <w:jc w:val="both"/>
              <w:rPr>
                <w:sz w:val="24"/>
                <w:szCs w:val="24"/>
                <w:lang w:val="nl-NL"/>
              </w:rPr>
            </w:pPr>
            <w:r w:rsidRPr="008D163F">
              <w:rPr>
                <w:sz w:val="24"/>
                <w:szCs w:val="24"/>
                <w:lang w:val="nl-NL"/>
              </w:rPr>
              <w:t>Vereenvoudigen en versoepelen van aanvraagprocedures</w:t>
            </w:r>
          </w:p>
          <w:p w:rsidR="00362012" w:rsidRPr="008D163F" w:rsidRDefault="00D0482A" w:rsidP="00362012">
            <w:pPr>
              <w:jc w:val="both"/>
              <w:rPr>
                <w:sz w:val="24"/>
                <w:szCs w:val="24"/>
                <w:lang w:val="nl-NL"/>
              </w:rPr>
            </w:pPr>
            <w:r w:rsidRPr="008D163F">
              <w:rPr>
                <w:sz w:val="24"/>
                <w:szCs w:val="24"/>
                <w:lang w:val="nl-NL"/>
              </w:rPr>
              <w:t>Tijdelijk toekenningsvoorwaarden aanpassen of versoepelen</w:t>
            </w:r>
          </w:p>
          <w:p w:rsidR="00D0482A" w:rsidRPr="008D163F" w:rsidRDefault="00D0482A" w:rsidP="00362012">
            <w:pPr>
              <w:jc w:val="both"/>
              <w:rPr>
                <w:sz w:val="24"/>
                <w:szCs w:val="24"/>
                <w:lang w:val="nl-NL"/>
              </w:rPr>
            </w:pPr>
            <w:r w:rsidRPr="008D163F">
              <w:rPr>
                <w:sz w:val="24"/>
                <w:szCs w:val="24"/>
                <w:lang w:val="nl-NL"/>
              </w:rPr>
              <w:t>Soepel omspringen met termijnen: geen negatieve beslissingen nemen wegens het niet tijdig bezorgen van de gevraagde informatie</w:t>
            </w:r>
          </w:p>
          <w:p w:rsidR="00D0482A" w:rsidRPr="008D163F" w:rsidRDefault="00D0482A" w:rsidP="00362012">
            <w:pPr>
              <w:jc w:val="both"/>
              <w:rPr>
                <w:sz w:val="24"/>
                <w:szCs w:val="24"/>
                <w:lang w:val="nl-NL"/>
              </w:rPr>
            </w:pPr>
            <w:r w:rsidRPr="008D163F">
              <w:rPr>
                <w:sz w:val="24"/>
                <w:szCs w:val="24"/>
                <w:lang w:val="nl-NL"/>
              </w:rPr>
              <w:t>Het sociaal onderzoek moet worden versoepeld in het belang van de gezinnen en er moet een vertrouwensprincipe gelden</w:t>
            </w:r>
          </w:p>
          <w:p w:rsidR="00A244D2" w:rsidRPr="008507F9" w:rsidRDefault="00A244D2" w:rsidP="008507F9">
            <w:pPr>
              <w:jc w:val="both"/>
              <w:rPr>
                <w:i/>
                <w:iCs/>
                <w:szCs w:val="24"/>
                <w:lang w:val="nl-NL"/>
              </w:rPr>
            </w:pPr>
          </w:p>
        </w:tc>
      </w:tr>
      <w:tr w:rsidR="003D4E6D" w:rsidRPr="003D4E6D" w:rsidTr="003D4E6D">
        <w:tc>
          <w:tcPr>
            <w:tcW w:w="949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3D4E6D" w:rsidRPr="00A244D2" w:rsidRDefault="003D4E6D" w:rsidP="003D4E6D">
            <w:pPr>
              <w:numPr>
                <w:ilvl w:val="0"/>
                <w:numId w:val="1"/>
              </w:numPr>
              <w:contextualSpacing/>
              <w:jc w:val="center"/>
              <w:rPr>
                <w:b/>
                <w:bCs/>
                <w:sz w:val="24"/>
                <w:szCs w:val="24"/>
              </w:rPr>
            </w:pPr>
            <w:proofErr w:type="spellStart"/>
            <w:r>
              <w:rPr>
                <w:b/>
                <w:bCs/>
                <w:sz w:val="24"/>
                <w:szCs w:val="24"/>
              </w:rPr>
              <w:t>Uitvoering</w:t>
            </w:r>
            <w:proofErr w:type="spellEnd"/>
          </w:p>
          <w:p w:rsidR="003D4E6D" w:rsidRPr="00A244D2" w:rsidRDefault="003D4E6D" w:rsidP="003D4E6D">
            <w:pPr>
              <w:ind w:left="720"/>
              <w:contextualSpacing/>
              <w:jc w:val="center"/>
              <w:rPr>
                <w:i/>
              </w:rPr>
            </w:pPr>
          </w:p>
        </w:tc>
      </w:tr>
      <w:tr w:rsidR="003D4E6D" w:rsidRPr="003D4E6D" w:rsidTr="003D4E6D">
        <w:tc>
          <w:tcPr>
            <w:tcW w:w="9495" w:type="dxa"/>
            <w:tcBorders>
              <w:top w:val="single" w:sz="4" w:space="0" w:color="auto"/>
              <w:left w:val="single" w:sz="4" w:space="0" w:color="auto"/>
              <w:bottom w:val="single" w:sz="4" w:space="0" w:color="auto"/>
              <w:right w:val="single" w:sz="4" w:space="0" w:color="auto"/>
            </w:tcBorders>
          </w:tcPr>
          <w:p w:rsidR="003D4E6D" w:rsidRDefault="003D4E6D" w:rsidP="003D4E6D">
            <w:pPr>
              <w:jc w:val="both"/>
              <w:rPr>
                <w:b/>
                <w:bCs/>
                <w:sz w:val="24"/>
                <w:szCs w:val="24"/>
                <w:lang w:val="fr-FR"/>
              </w:rPr>
            </w:pPr>
            <w:r w:rsidRPr="003D4E6D">
              <w:rPr>
                <w:b/>
                <w:bCs/>
                <w:sz w:val="24"/>
                <w:szCs w:val="24"/>
                <w:lang w:val="fr-FR"/>
              </w:rPr>
              <w:t xml:space="preserve">2.1 Wat </w:t>
            </w:r>
            <w:proofErr w:type="spellStart"/>
            <w:r w:rsidRPr="003D4E6D">
              <w:rPr>
                <w:b/>
                <w:bCs/>
                <w:sz w:val="24"/>
                <w:szCs w:val="24"/>
                <w:lang w:val="fr-FR"/>
              </w:rPr>
              <w:t>werd</w:t>
            </w:r>
            <w:proofErr w:type="spellEnd"/>
            <w:r w:rsidRPr="003D4E6D">
              <w:rPr>
                <w:b/>
                <w:bCs/>
                <w:sz w:val="24"/>
                <w:szCs w:val="24"/>
                <w:lang w:val="fr-FR"/>
              </w:rPr>
              <w:t xml:space="preserve"> </w:t>
            </w:r>
            <w:proofErr w:type="spellStart"/>
            <w:r w:rsidRPr="003D4E6D">
              <w:rPr>
                <w:b/>
                <w:bCs/>
                <w:sz w:val="24"/>
                <w:szCs w:val="24"/>
                <w:lang w:val="fr-FR"/>
              </w:rPr>
              <w:t>reeds</w:t>
            </w:r>
            <w:proofErr w:type="spellEnd"/>
            <w:r w:rsidRPr="003D4E6D">
              <w:rPr>
                <w:b/>
                <w:bCs/>
                <w:sz w:val="24"/>
                <w:szCs w:val="24"/>
                <w:lang w:val="fr-FR"/>
              </w:rPr>
              <w:t xml:space="preserve"> </w:t>
            </w:r>
            <w:proofErr w:type="spellStart"/>
            <w:r w:rsidRPr="003D4E6D">
              <w:rPr>
                <w:b/>
                <w:bCs/>
                <w:sz w:val="24"/>
                <w:szCs w:val="24"/>
                <w:lang w:val="fr-FR"/>
              </w:rPr>
              <w:t>gerealiseerd</w:t>
            </w:r>
            <w:proofErr w:type="spellEnd"/>
            <w:r w:rsidRPr="003D4E6D">
              <w:rPr>
                <w:b/>
                <w:bCs/>
                <w:sz w:val="24"/>
                <w:szCs w:val="24"/>
                <w:lang w:val="fr-FR"/>
              </w:rPr>
              <w:t> ?</w:t>
            </w:r>
          </w:p>
          <w:p w:rsidR="003D4E6D" w:rsidRPr="008D163F" w:rsidRDefault="00F6201A" w:rsidP="003D4E6D">
            <w:pPr>
              <w:jc w:val="both"/>
              <w:rPr>
                <w:rFonts w:cstheme="minorHAnsi"/>
                <w:sz w:val="24"/>
                <w:szCs w:val="24"/>
                <w:lang w:val="nl-BE"/>
              </w:rPr>
            </w:pPr>
            <w:r w:rsidRPr="008D163F">
              <w:rPr>
                <w:rFonts w:cstheme="minorHAnsi"/>
                <w:sz w:val="24"/>
                <w:szCs w:val="24"/>
                <w:lang w:val="nl-BE"/>
              </w:rPr>
              <w:t>Tijdens de eerste periode van de covid</w:t>
            </w:r>
            <w:r w:rsidR="00F27F10" w:rsidRPr="008D163F">
              <w:rPr>
                <w:rFonts w:cstheme="minorHAnsi"/>
                <w:sz w:val="24"/>
                <w:szCs w:val="24"/>
                <w:lang w:val="nl-BE"/>
              </w:rPr>
              <w:t>19</w:t>
            </w:r>
            <w:r w:rsidRPr="008D163F">
              <w:rPr>
                <w:rFonts w:cstheme="minorHAnsi"/>
                <w:sz w:val="24"/>
                <w:szCs w:val="24"/>
                <w:lang w:val="nl-BE"/>
              </w:rPr>
              <w:t xml:space="preserve"> crisis werden een reeks FAQ </w:t>
            </w:r>
            <w:proofErr w:type="spellStart"/>
            <w:r w:rsidRPr="008D163F">
              <w:rPr>
                <w:rFonts w:cstheme="minorHAnsi"/>
                <w:sz w:val="24"/>
                <w:szCs w:val="24"/>
                <w:lang w:val="nl-BE"/>
              </w:rPr>
              <w:t>ivm</w:t>
            </w:r>
            <w:proofErr w:type="spellEnd"/>
            <w:r w:rsidRPr="008D163F">
              <w:rPr>
                <w:rFonts w:cstheme="minorHAnsi"/>
                <w:sz w:val="24"/>
                <w:szCs w:val="24"/>
                <w:lang w:val="nl-BE"/>
              </w:rPr>
              <w:t xml:space="preserve"> de toegankelijkheid en de versoepelde procedures</w:t>
            </w:r>
            <w:r w:rsidR="00DE0571" w:rsidRPr="008D163F">
              <w:rPr>
                <w:rFonts w:cstheme="minorHAnsi"/>
                <w:sz w:val="24"/>
                <w:szCs w:val="24"/>
                <w:lang w:val="nl-BE"/>
              </w:rPr>
              <w:t xml:space="preserve"> en sociaal onderzoek</w:t>
            </w:r>
            <w:r w:rsidRPr="008D163F">
              <w:rPr>
                <w:rFonts w:cstheme="minorHAnsi"/>
                <w:sz w:val="24"/>
                <w:szCs w:val="24"/>
                <w:lang w:val="nl-BE"/>
              </w:rPr>
              <w:t xml:space="preserve"> gepubliceerd door de POD MI op de website.</w:t>
            </w:r>
          </w:p>
          <w:p w:rsidR="003869FC" w:rsidRPr="008D163F" w:rsidRDefault="003869FC" w:rsidP="003D4E6D">
            <w:pPr>
              <w:jc w:val="both"/>
              <w:rPr>
                <w:rStyle w:val="Zwaar"/>
                <w:rFonts w:cstheme="minorHAnsi"/>
                <w:b w:val="0"/>
                <w:bCs w:val="0"/>
                <w:sz w:val="24"/>
                <w:szCs w:val="24"/>
                <w:shd w:val="clear" w:color="auto" w:fill="FFFFFF"/>
                <w:lang w:val="nl-BE"/>
              </w:rPr>
            </w:pPr>
            <w:proofErr w:type="spellStart"/>
            <w:r w:rsidRPr="008D163F">
              <w:rPr>
                <w:rFonts w:cstheme="minorHAnsi"/>
                <w:sz w:val="24"/>
                <w:szCs w:val="24"/>
                <w:lang w:val="nl-BE"/>
              </w:rPr>
              <w:t>Oa</w:t>
            </w:r>
            <w:proofErr w:type="spellEnd"/>
            <w:r w:rsidRPr="008D163F">
              <w:rPr>
                <w:rFonts w:cstheme="minorHAnsi"/>
                <w:sz w:val="24"/>
                <w:szCs w:val="24"/>
                <w:lang w:val="nl-BE"/>
              </w:rPr>
              <w:t xml:space="preserve"> </w:t>
            </w:r>
            <w:r w:rsidRPr="008D163F">
              <w:rPr>
                <w:rFonts w:cstheme="minorHAnsi"/>
                <w:sz w:val="24"/>
                <w:szCs w:val="24"/>
                <w:shd w:val="clear" w:color="auto" w:fill="FFFFFF"/>
                <w:lang w:val="nl-BE"/>
              </w:rPr>
              <w:t xml:space="preserve">Er wordt de </w:t>
            </w:r>
            <w:proofErr w:type="spellStart"/>
            <w:r w:rsidRPr="008D163F">
              <w:rPr>
                <w:rFonts w:cstheme="minorHAnsi"/>
                <w:sz w:val="24"/>
                <w:szCs w:val="24"/>
                <w:shd w:val="clear" w:color="auto" w:fill="FFFFFF"/>
                <w:lang w:val="nl-BE"/>
              </w:rPr>
              <w:t>OCMW’s</w:t>
            </w:r>
            <w:proofErr w:type="spellEnd"/>
            <w:r w:rsidRPr="008D163F">
              <w:rPr>
                <w:rFonts w:cstheme="minorHAnsi"/>
                <w:sz w:val="24"/>
                <w:szCs w:val="24"/>
                <w:shd w:val="clear" w:color="auto" w:fill="FFFFFF"/>
                <w:lang w:val="nl-BE"/>
              </w:rPr>
              <w:t xml:space="preserve"> gevraagd om</w:t>
            </w:r>
            <w:r w:rsidRPr="008D163F">
              <w:rPr>
                <w:rFonts w:cstheme="minorHAnsi"/>
                <w:b/>
                <w:bCs/>
                <w:sz w:val="24"/>
                <w:szCs w:val="24"/>
                <w:shd w:val="clear" w:color="auto" w:fill="FFFFFF"/>
                <w:lang w:val="nl-BE"/>
              </w:rPr>
              <w:t> </w:t>
            </w:r>
            <w:r w:rsidRPr="008D163F">
              <w:rPr>
                <w:rStyle w:val="Zwaar"/>
                <w:rFonts w:cstheme="minorHAnsi"/>
                <w:b w:val="0"/>
                <w:bCs w:val="0"/>
                <w:sz w:val="24"/>
                <w:szCs w:val="24"/>
                <w:shd w:val="clear" w:color="auto" w:fill="FFFFFF"/>
                <w:lang w:val="nl-BE"/>
              </w:rPr>
              <w:t>de ganse dag een telefonische permanentie te verzekeren</w:t>
            </w:r>
          </w:p>
          <w:p w:rsidR="003869FC" w:rsidRPr="008D163F" w:rsidRDefault="003869FC" w:rsidP="003D4E6D">
            <w:pPr>
              <w:jc w:val="both"/>
              <w:rPr>
                <w:rFonts w:cstheme="minorHAnsi"/>
                <w:sz w:val="24"/>
                <w:szCs w:val="24"/>
                <w:lang w:val="nl-BE"/>
              </w:rPr>
            </w:pPr>
            <w:r w:rsidRPr="008D163F">
              <w:rPr>
                <w:rFonts w:cstheme="minorHAnsi"/>
                <w:sz w:val="24"/>
                <w:szCs w:val="24"/>
                <w:shd w:val="clear" w:color="auto" w:fill="FFFFFF"/>
                <w:lang w:val="nl-BE"/>
              </w:rPr>
              <w:t xml:space="preserve">Om ervoor te zorgen dat personen die geen telefonische of elektronische middelen hebben aanvragen kunnen indienen, wordt de </w:t>
            </w:r>
            <w:proofErr w:type="spellStart"/>
            <w:r w:rsidRPr="008D163F">
              <w:rPr>
                <w:rFonts w:cstheme="minorHAnsi"/>
                <w:sz w:val="24"/>
                <w:szCs w:val="24"/>
                <w:shd w:val="clear" w:color="auto" w:fill="FFFFFF"/>
                <w:lang w:val="nl-BE"/>
              </w:rPr>
              <w:t>OCMW’s</w:t>
            </w:r>
            <w:proofErr w:type="spellEnd"/>
            <w:r w:rsidRPr="008D163F">
              <w:rPr>
                <w:rFonts w:cstheme="minorHAnsi"/>
                <w:sz w:val="24"/>
                <w:szCs w:val="24"/>
                <w:shd w:val="clear" w:color="auto" w:fill="FFFFFF"/>
                <w:lang w:val="nl-BE"/>
              </w:rPr>
              <w:t xml:space="preserve"> uitdrukkelijk gevraagd om</w:t>
            </w:r>
            <w:r w:rsidR="008507F9">
              <w:rPr>
                <w:rFonts w:cstheme="minorHAnsi"/>
                <w:sz w:val="24"/>
                <w:szCs w:val="24"/>
                <w:shd w:val="clear" w:color="auto" w:fill="FFFFFF"/>
                <w:lang w:val="nl-BE"/>
              </w:rPr>
              <w:t xml:space="preserve"> minstens</w:t>
            </w:r>
            <w:r w:rsidRPr="008D163F">
              <w:rPr>
                <w:rFonts w:cstheme="minorHAnsi"/>
                <w:sz w:val="24"/>
                <w:szCs w:val="24"/>
                <w:shd w:val="clear" w:color="auto" w:fill="FFFFFF"/>
                <w:lang w:val="nl-BE"/>
              </w:rPr>
              <w:t> </w:t>
            </w:r>
            <w:r w:rsidRPr="008D163F">
              <w:rPr>
                <w:rStyle w:val="Zwaar"/>
                <w:rFonts w:cstheme="minorHAnsi"/>
                <w:sz w:val="24"/>
                <w:szCs w:val="24"/>
                <w:shd w:val="clear" w:color="auto" w:fill="FFFFFF"/>
                <w:lang w:val="nl-BE"/>
              </w:rPr>
              <w:t>twee maal per week een onthaal te behouden</w:t>
            </w:r>
            <w:r w:rsidRPr="008D163F">
              <w:rPr>
                <w:rFonts w:cstheme="minorHAnsi"/>
                <w:sz w:val="24"/>
                <w:szCs w:val="24"/>
                <w:shd w:val="clear" w:color="auto" w:fill="FFFFFF"/>
                <w:lang w:val="nl-BE"/>
              </w:rPr>
              <w:t>, overeenkomstig artikel 4 van het koninklijk besluit van 11 juli 2002, met inachtneming van de preventieve hygiënemaatregelen, zoals die werden opgesteld door de autoriteiten.</w:t>
            </w:r>
          </w:p>
          <w:p w:rsidR="003D4E6D" w:rsidRPr="008D163F" w:rsidRDefault="003869FC" w:rsidP="003D4E6D">
            <w:pPr>
              <w:jc w:val="both"/>
              <w:rPr>
                <w:rFonts w:cstheme="minorHAnsi"/>
                <w:sz w:val="24"/>
                <w:szCs w:val="24"/>
                <w:lang w:val="nl-BE"/>
              </w:rPr>
            </w:pPr>
            <w:r w:rsidRPr="008D163F">
              <w:rPr>
                <w:rFonts w:cstheme="minorHAnsi"/>
                <w:sz w:val="24"/>
                <w:szCs w:val="24"/>
                <w:lang w:val="nl-BE"/>
              </w:rPr>
              <w:t>Het is van belang dat een cliënt kan worden ontvangen, wanneer hij zich aanbiedt bij het OCMW om een aanvraag in te dienen, zelfs zonder afspraak. Tijdens dit eerste contact mag het OCMW enkel de aanvraag registreren en nadien een afspraak vastleggen met een maatschappelijk werker om deze aanvraag te behandelen.</w:t>
            </w:r>
          </w:p>
          <w:p w:rsidR="003869FC" w:rsidRPr="008D163F" w:rsidRDefault="003869FC" w:rsidP="003D4E6D">
            <w:pPr>
              <w:jc w:val="both"/>
              <w:rPr>
                <w:rFonts w:cstheme="minorHAnsi"/>
                <w:sz w:val="24"/>
                <w:szCs w:val="24"/>
                <w:lang w:val="nl-BE"/>
              </w:rPr>
            </w:pPr>
            <w:r w:rsidRPr="008D163F">
              <w:rPr>
                <w:rFonts w:cstheme="minorHAnsi"/>
                <w:sz w:val="24"/>
                <w:szCs w:val="24"/>
                <w:lang w:val="nl-BE"/>
              </w:rPr>
              <w:t>De steunaanvragen mogen steeds via telefoon, email of iedere andere elektronische middel worden ingediend.</w:t>
            </w:r>
          </w:p>
          <w:p w:rsidR="003869FC" w:rsidRPr="008D163F" w:rsidRDefault="003869FC" w:rsidP="003D4E6D">
            <w:pPr>
              <w:jc w:val="both"/>
              <w:rPr>
                <w:rFonts w:cstheme="minorHAnsi"/>
                <w:sz w:val="24"/>
                <w:szCs w:val="24"/>
                <w:lang w:val="nl-BE"/>
              </w:rPr>
            </w:pPr>
            <w:r w:rsidRPr="008D163F">
              <w:rPr>
                <w:rFonts w:cstheme="minorHAnsi"/>
                <w:sz w:val="24"/>
                <w:szCs w:val="24"/>
                <w:lang w:val="nl-BE"/>
              </w:rPr>
              <w:t>De persoon moet echter niet naar het OCMW komen om het aanvraagregister te ondertekenen.</w:t>
            </w:r>
          </w:p>
          <w:p w:rsidR="003869FC" w:rsidRPr="008D163F" w:rsidRDefault="003869FC" w:rsidP="003D4E6D">
            <w:pPr>
              <w:jc w:val="both"/>
              <w:rPr>
                <w:rFonts w:cstheme="minorHAnsi"/>
                <w:sz w:val="24"/>
                <w:szCs w:val="24"/>
                <w:lang w:val="nl-BE"/>
              </w:rPr>
            </w:pPr>
          </w:p>
          <w:p w:rsidR="003D4E6D" w:rsidRDefault="003D4E6D" w:rsidP="003D4E6D">
            <w:pPr>
              <w:jc w:val="both"/>
              <w:rPr>
                <w:b/>
                <w:bCs/>
                <w:sz w:val="24"/>
                <w:szCs w:val="24"/>
                <w:lang w:val="nl-BE"/>
              </w:rPr>
            </w:pPr>
            <w:r w:rsidRPr="003D4E6D">
              <w:rPr>
                <w:b/>
                <w:bCs/>
                <w:sz w:val="24"/>
                <w:szCs w:val="24"/>
                <w:lang w:val="nl-BE"/>
              </w:rPr>
              <w:t>2.2 Wat is lopende of in uitvoering?</w:t>
            </w:r>
          </w:p>
          <w:p w:rsidR="003D4E6D" w:rsidRPr="00DE0571" w:rsidRDefault="00DE0571" w:rsidP="003D4E6D">
            <w:pPr>
              <w:jc w:val="both"/>
              <w:rPr>
                <w:sz w:val="24"/>
                <w:szCs w:val="24"/>
                <w:lang w:val="nl-BE"/>
              </w:rPr>
            </w:pPr>
            <w:r w:rsidRPr="00DE0571">
              <w:rPr>
                <w:sz w:val="24"/>
                <w:szCs w:val="24"/>
                <w:lang w:val="nl-BE"/>
              </w:rPr>
              <w:t>Dezelfde FAQ</w:t>
            </w:r>
            <w:r w:rsidR="00F27F10">
              <w:rPr>
                <w:sz w:val="24"/>
                <w:szCs w:val="24"/>
                <w:lang w:val="nl-BE"/>
              </w:rPr>
              <w:t>’s</w:t>
            </w:r>
            <w:r w:rsidRPr="00DE0571">
              <w:rPr>
                <w:sz w:val="24"/>
                <w:szCs w:val="24"/>
                <w:lang w:val="nl-BE"/>
              </w:rPr>
              <w:t xml:space="preserve"> werden opnieuw op de site</w:t>
            </w:r>
            <w:r w:rsidR="008507F9">
              <w:rPr>
                <w:sz w:val="24"/>
                <w:szCs w:val="24"/>
                <w:lang w:val="nl-BE"/>
              </w:rPr>
              <w:t xml:space="preserve"> van de POD MI</w:t>
            </w:r>
            <w:r w:rsidRPr="00DE0571">
              <w:rPr>
                <w:sz w:val="24"/>
                <w:szCs w:val="24"/>
                <w:lang w:val="nl-BE"/>
              </w:rPr>
              <w:t xml:space="preserve"> geplaatst miv 2/11/2020</w:t>
            </w:r>
          </w:p>
          <w:p w:rsidR="003D4E6D" w:rsidRPr="003D4E6D" w:rsidRDefault="003D4E6D" w:rsidP="003D4E6D">
            <w:pPr>
              <w:jc w:val="both"/>
              <w:rPr>
                <w:i/>
                <w:iCs/>
                <w:sz w:val="24"/>
                <w:szCs w:val="24"/>
                <w:lang w:val="nl-BE"/>
              </w:rPr>
            </w:pPr>
          </w:p>
        </w:tc>
      </w:tr>
      <w:tr w:rsidR="003D4E6D" w:rsidRPr="00A244D2" w:rsidTr="003D4E6D">
        <w:tc>
          <w:tcPr>
            <w:tcW w:w="949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3D4E6D" w:rsidRPr="00A244D2" w:rsidRDefault="003D4E6D" w:rsidP="003D4E6D">
            <w:pPr>
              <w:numPr>
                <w:ilvl w:val="0"/>
                <w:numId w:val="1"/>
              </w:numPr>
              <w:contextualSpacing/>
              <w:jc w:val="center"/>
              <w:rPr>
                <w:b/>
                <w:bCs/>
                <w:sz w:val="24"/>
                <w:szCs w:val="24"/>
              </w:rPr>
            </w:pPr>
            <w:r>
              <w:rPr>
                <w:b/>
                <w:bCs/>
                <w:sz w:val="24"/>
                <w:szCs w:val="24"/>
              </w:rPr>
              <w:t xml:space="preserve">Analyse </w:t>
            </w:r>
          </w:p>
          <w:p w:rsidR="003D4E6D" w:rsidRPr="00A244D2" w:rsidRDefault="003D4E6D" w:rsidP="003D4E6D">
            <w:pPr>
              <w:jc w:val="center"/>
              <w:rPr>
                <w:i/>
                <w:sz w:val="24"/>
                <w:szCs w:val="24"/>
              </w:rPr>
            </w:pPr>
          </w:p>
        </w:tc>
      </w:tr>
      <w:tr w:rsidR="003D4E6D" w:rsidRPr="00881048" w:rsidTr="00D5178C">
        <w:trPr>
          <w:trHeight w:val="2073"/>
        </w:trPr>
        <w:tc>
          <w:tcPr>
            <w:tcW w:w="9495" w:type="dxa"/>
            <w:tcBorders>
              <w:top w:val="single" w:sz="4" w:space="0" w:color="auto"/>
              <w:left w:val="single" w:sz="4" w:space="0" w:color="auto"/>
              <w:bottom w:val="single" w:sz="4" w:space="0" w:color="auto"/>
              <w:right w:val="single" w:sz="4" w:space="0" w:color="auto"/>
            </w:tcBorders>
          </w:tcPr>
          <w:p w:rsidR="003D4E6D" w:rsidRDefault="004C19F8" w:rsidP="003D4E6D">
            <w:pPr>
              <w:jc w:val="both"/>
              <w:rPr>
                <w:b/>
                <w:bCs/>
                <w:iCs/>
                <w:sz w:val="24"/>
                <w:szCs w:val="24"/>
                <w:lang w:val="nl-BE"/>
              </w:rPr>
            </w:pPr>
            <w:r w:rsidRPr="004C19F8">
              <w:rPr>
                <w:b/>
                <w:bCs/>
                <w:iCs/>
                <w:sz w:val="24"/>
                <w:szCs w:val="24"/>
                <w:lang w:val="nl-BE"/>
              </w:rPr>
              <w:lastRenderedPageBreak/>
              <w:t>3.1 Impact</w:t>
            </w:r>
          </w:p>
          <w:p w:rsidR="00D5178C" w:rsidRPr="004C19F8" w:rsidRDefault="00D5178C" w:rsidP="003D4E6D">
            <w:pPr>
              <w:jc w:val="both"/>
              <w:rPr>
                <w:b/>
                <w:bCs/>
                <w:iCs/>
                <w:sz w:val="24"/>
                <w:szCs w:val="24"/>
                <w:lang w:val="nl-BE"/>
              </w:rPr>
            </w:pPr>
          </w:p>
          <w:p w:rsidR="004C19F8" w:rsidRPr="00970BA2" w:rsidRDefault="004C19F8" w:rsidP="003D4E6D">
            <w:pPr>
              <w:jc w:val="both"/>
              <w:rPr>
                <w:b/>
                <w:bCs/>
                <w:sz w:val="24"/>
                <w:szCs w:val="24"/>
                <w:lang w:val="nl-BE"/>
              </w:rPr>
            </w:pPr>
            <w:r w:rsidRPr="004C19F8">
              <w:rPr>
                <w:b/>
                <w:bCs/>
                <w:iCs/>
                <w:sz w:val="24"/>
                <w:szCs w:val="24"/>
                <w:lang w:val="nl-BE"/>
              </w:rPr>
              <w:t>3.2 Aandachtspunten</w:t>
            </w:r>
            <w:r w:rsidR="00970BA2">
              <w:rPr>
                <w:b/>
                <w:bCs/>
                <w:iCs/>
                <w:sz w:val="24"/>
                <w:szCs w:val="24"/>
                <w:lang w:val="nl-BE"/>
              </w:rPr>
              <w:t xml:space="preserve"> </w:t>
            </w:r>
            <w:r w:rsidR="00970BA2" w:rsidRPr="00970BA2">
              <w:rPr>
                <w:b/>
                <w:bCs/>
                <w:iCs/>
                <w:sz w:val="24"/>
                <w:szCs w:val="24"/>
                <w:lang w:val="nl-BE"/>
              </w:rPr>
              <w:t xml:space="preserve">: </w:t>
            </w:r>
            <w:r w:rsidR="00970BA2" w:rsidRPr="00970BA2">
              <w:rPr>
                <w:sz w:val="24"/>
                <w:szCs w:val="24"/>
                <w:lang w:val="nl-BE"/>
              </w:rPr>
              <w:t xml:space="preserve">de </w:t>
            </w:r>
            <w:proofErr w:type="spellStart"/>
            <w:r w:rsidR="00970BA2" w:rsidRPr="00970BA2">
              <w:rPr>
                <w:sz w:val="24"/>
                <w:szCs w:val="24"/>
                <w:lang w:val="nl-BE"/>
              </w:rPr>
              <w:t>my</w:t>
            </w:r>
            <w:proofErr w:type="spellEnd"/>
            <w:r w:rsidR="00970BA2" w:rsidRPr="00970BA2">
              <w:rPr>
                <w:sz w:val="24"/>
                <w:szCs w:val="24"/>
                <w:lang w:val="nl-BE"/>
              </w:rPr>
              <w:t xml:space="preserve"> werkers moeten blijven </w:t>
            </w:r>
            <w:proofErr w:type="spellStart"/>
            <w:r w:rsidR="00970BA2" w:rsidRPr="00970BA2">
              <w:rPr>
                <w:sz w:val="24"/>
                <w:szCs w:val="24"/>
                <w:lang w:val="nl-BE"/>
              </w:rPr>
              <w:t>pro-actief</w:t>
            </w:r>
            <w:proofErr w:type="spellEnd"/>
            <w:r w:rsidR="00970BA2" w:rsidRPr="00970BA2">
              <w:rPr>
                <w:sz w:val="24"/>
                <w:szCs w:val="24"/>
                <w:lang w:val="nl-BE"/>
              </w:rPr>
              <w:t xml:space="preserve"> contact opnemen met hun cliënten, contacten vooral gericht op een psychologische ondersteuning.</w:t>
            </w:r>
          </w:p>
          <w:p w:rsidR="00D5178C" w:rsidRPr="004C19F8" w:rsidRDefault="00D5178C" w:rsidP="003D4E6D">
            <w:pPr>
              <w:jc w:val="both"/>
              <w:rPr>
                <w:b/>
                <w:bCs/>
                <w:iCs/>
                <w:sz w:val="24"/>
                <w:szCs w:val="24"/>
                <w:lang w:val="nl-BE"/>
              </w:rPr>
            </w:pPr>
          </w:p>
          <w:p w:rsidR="004C19F8" w:rsidRDefault="004C19F8" w:rsidP="003D4E6D">
            <w:pPr>
              <w:jc w:val="both"/>
              <w:rPr>
                <w:b/>
                <w:bCs/>
                <w:iCs/>
                <w:sz w:val="24"/>
                <w:szCs w:val="24"/>
                <w:lang w:val="nl-BE"/>
              </w:rPr>
            </w:pPr>
            <w:r w:rsidRPr="004C19F8">
              <w:rPr>
                <w:b/>
                <w:bCs/>
                <w:iCs/>
                <w:sz w:val="24"/>
                <w:szCs w:val="24"/>
                <w:lang w:val="nl-BE"/>
              </w:rPr>
              <w:t>3.3</w:t>
            </w:r>
            <w:r>
              <w:rPr>
                <w:b/>
                <w:bCs/>
                <w:iCs/>
                <w:sz w:val="24"/>
                <w:szCs w:val="24"/>
                <w:lang w:val="nl-BE"/>
              </w:rPr>
              <w:t xml:space="preserve"> </w:t>
            </w:r>
            <w:r w:rsidRPr="004C19F8">
              <w:rPr>
                <w:b/>
                <w:bCs/>
                <w:iCs/>
                <w:sz w:val="24"/>
                <w:szCs w:val="24"/>
                <w:lang w:val="nl-BE"/>
              </w:rPr>
              <w:t>Voordelen</w:t>
            </w:r>
          </w:p>
          <w:p w:rsidR="00D5178C" w:rsidRPr="004C19F8" w:rsidRDefault="00D5178C" w:rsidP="003D4E6D">
            <w:pPr>
              <w:jc w:val="both"/>
              <w:rPr>
                <w:b/>
                <w:bCs/>
                <w:iCs/>
                <w:sz w:val="24"/>
                <w:szCs w:val="24"/>
                <w:lang w:val="nl-BE"/>
              </w:rPr>
            </w:pPr>
          </w:p>
          <w:p w:rsidR="004C19F8" w:rsidRDefault="004C19F8" w:rsidP="003D4E6D">
            <w:pPr>
              <w:jc w:val="both"/>
              <w:rPr>
                <w:b/>
                <w:bCs/>
                <w:iCs/>
                <w:sz w:val="24"/>
                <w:szCs w:val="24"/>
                <w:lang w:val="nl-BE"/>
              </w:rPr>
            </w:pPr>
            <w:r w:rsidRPr="004C19F8">
              <w:rPr>
                <w:b/>
                <w:bCs/>
                <w:iCs/>
                <w:sz w:val="24"/>
                <w:szCs w:val="24"/>
                <w:lang w:val="nl-BE"/>
              </w:rPr>
              <w:t>3.4</w:t>
            </w:r>
            <w:r>
              <w:rPr>
                <w:b/>
                <w:bCs/>
                <w:iCs/>
                <w:sz w:val="24"/>
                <w:szCs w:val="24"/>
                <w:lang w:val="nl-BE"/>
              </w:rPr>
              <w:t xml:space="preserve"> </w:t>
            </w:r>
            <w:r w:rsidRPr="004C19F8">
              <w:rPr>
                <w:b/>
                <w:bCs/>
                <w:iCs/>
                <w:sz w:val="24"/>
                <w:szCs w:val="24"/>
                <w:lang w:val="nl-BE"/>
              </w:rPr>
              <w:t>Nadelen</w:t>
            </w:r>
          </w:p>
          <w:p w:rsidR="00346633" w:rsidRDefault="00346633" w:rsidP="003D4E6D">
            <w:pPr>
              <w:jc w:val="both"/>
              <w:rPr>
                <w:b/>
                <w:bCs/>
                <w:iCs/>
                <w:sz w:val="24"/>
                <w:szCs w:val="24"/>
                <w:lang w:val="nl-BE"/>
              </w:rPr>
            </w:pPr>
          </w:p>
          <w:p w:rsidR="00346633" w:rsidRPr="004C19F8" w:rsidRDefault="00346633" w:rsidP="003D4E6D">
            <w:pPr>
              <w:jc w:val="both"/>
              <w:rPr>
                <w:b/>
                <w:bCs/>
                <w:iCs/>
                <w:sz w:val="24"/>
                <w:szCs w:val="24"/>
                <w:lang w:val="nl-BE"/>
              </w:rPr>
            </w:pPr>
            <w:r>
              <w:rPr>
                <w:b/>
                <w:bCs/>
                <w:iCs/>
                <w:sz w:val="24"/>
                <w:szCs w:val="24"/>
                <w:lang w:val="nl-BE"/>
              </w:rPr>
              <w:t>3.5  Wettelijke basis</w:t>
            </w:r>
          </w:p>
          <w:p w:rsidR="004C19F8" w:rsidRDefault="004C19F8" w:rsidP="003D4E6D">
            <w:pPr>
              <w:jc w:val="both"/>
              <w:rPr>
                <w:iCs/>
                <w:szCs w:val="24"/>
                <w:lang w:val="nl-BE"/>
              </w:rPr>
            </w:pPr>
          </w:p>
          <w:p w:rsidR="003D4E6D" w:rsidRPr="00881048" w:rsidRDefault="003D4E6D" w:rsidP="003D4E6D">
            <w:pPr>
              <w:jc w:val="both"/>
              <w:rPr>
                <w:iCs/>
                <w:szCs w:val="24"/>
                <w:lang w:val="nl-BE"/>
              </w:rPr>
            </w:pPr>
          </w:p>
        </w:tc>
      </w:tr>
      <w:tr w:rsidR="00C77A4D" w:rsidRPr="00A244D2" w:rsidTr="00D2572F">
        <w:tc>
          <w:tcPr>
            <w:tcW w:w="949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C77A4D" w:rsidRPr="00C77A4D" w:rsidRDefault="00C77A4D" w:rsidP="00C77A4D">
            <w:pPr>
              <w:pStyle w:val="Lijstalinea"/>
              <w:numPr>
                <w:ilvl w:val="0"/>
                <w:numId w:val="1"/>
              </w:numPr>
              <w:jc w:val="center"/>
              <w:rPr>
                <w:b/>
                <w:sz w:val="24"/>
                <w:szCs w:val="24"/>
              </w:rPr>
            </w:pPr>
            <w:proofErr w:type="spellStart"/>
            <w:r>
              <w:rPr>
                <w:b/>
                <w:sz w:val="24"/>
                <w:szCs w:val="24"/>
              </w:rPr>
              <w:t>Doelgroep</w:t>
            </w:r>
            <w:proofErr w:type="spellEnd"/>
          </w:p>
          <w:p w:rsidR="00C77A4D" w:rsidRPr="00A244D2" w:rsidRDefault="00C77A4D" w:rsidP="00D2572F">
            <w:pPr>
              <w:jc w:val="center"/>
              <w:rPr>
                <w:i/>
                <w:sz w:val="24"/>
                <w:szCs w:val="24"/>
              </w:rPr>
            </w:pPr>
          </w:p>
        </w:tc>
      </w:tr>
      <w:tr w:rsidR="00C77A4D" w:rsidRPr="00833AAD" w:rsidTr="00D2572F">
        <w:tc>
          <w:tcPr>
            <w:tcW w:w="9495" w:type="dxa"/>
            <w:tcBorders>
              <w:top w:val="single" w:sz="4" w:space="0" w:color="auto"/>
              <w:left w:val="single" w:sz="4" w:space="0" w:color="auto"/>
              <w:bottom w:val="single" w:sz="4" w:space="0" w:color="auto"/>
              <w:right w:val="single" w:sz="4" w:space="0" w:color="auto"/>
            </w:tcBorders>
          </w:tcPr>
          <w:p w:rsidR="00C77A4D" w:rsidRDefault="00DE0571" w:rsidP="00C77A4D">
            <w:pPr>
              <w:rPr>
                <w:sz w:val="24"/>
                <w:szCs w:val="24"/>
                <w:lang w:val="fr-FR"/>
              </w:rPr>
            </w:pPr>
            <w:r>
              <w:rPr>
                <w:sz w:val="24"/>
                <w:szCs w:val="24"/>
                <w:lang w:val="fr-FR"/>
              </w:rPr>
              <w:t>OCMW-</w:t>
            </w:r>
            <w:proofErr w:type="spellStart"/>
            <w:r>
              <w:rPr>
                <w:sz w:val="24"/>
                <w:szCs w:val="24"/>
                <w:lang w:val="fr-FR"/>
              </w:rPr>
              <w:t>clienten</w:t>
            </w:r>
            <w:proofErr w:type="spellEnd"/>
          </w:p>
          <w:p w:rsidR="00C77A4D" w:rsidRPr="00833AAD" w:rsidRDefault="00C77A4D" w:rsidP="00C77A4D">
            <w:pPr>
              <w:rPr>
                <w:sz w:val="24"/>
                <w:szCs w:val="24"/>
                <w:lang w:val="fr-FR"/>
              </w:rPr>
            </w:pPr>
          </w:p>
        </w:tc>
      </w:tr>
      <w:tr w:rsidR="00C77A4D" w:rsidRPr="00C77A4D" w:rsidTr="00D2572F">
        <w:tc>
          <w:tcPr>
            <w:tcW w:w="949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C77A4D" w:rsidRPr="00C77A4D" w:rsidRDefault="00C77A4D" w:rsidP="00C77A4D">
            <w:pPr>
              <w:pStyle w:val="Lijstalinea"/>
              <w:numPr>
                <w:ilvl w:val="0"/>
                <w:numId w:val="1"/>
              </w:numPr>
              <w:jc w:val="center"/>
              <w:rPr>
                <w:b/>
                <w:sz w:val="24"/>
                <w:szCs w:val="24"/>
              </w:rPr>
            </w:pPr>
            <w:proofErr w:type="spellStart"/>
            <w:r>
              <w:rPr>
                <w:b/>
                <w:sz w:val="24"/>
                <w:szCs w:val="24"/>
              </w:rPr>
              <w:t>Budgettaire</w:t>
            </w:r>
            <w:proofErr w:type="spellEnd"/>
            <w:r>
              <w:rPr>
                <w:b/>
                <w:sz w:val="24"/>
                <w:szCs w:val="24"/>
              </w:rPr>
              <w:t xml:space="preserve"> impact</w:t>
            </w:r>
          </w:p>
          <w:p w:rsidR="00C77A4D" w:rsidRPr="00A244D2" w:rsidRDefault="00C77A4D" w:rsidP="00D2572F">
            <w:pPr>
              <w:jc w:val="center"/>
              <w:rPr>
                <w:i/>
                <w:sz w:val="24"/>
                <w:szCs w:val="24"/>
              </w:rPr>
            </w:pPr>
          </w:p>
        </w:tc>
      </w:tr>
      <w:tr w:rsidR="00C77A4D" w:rsidRPr="00C77A4D" w:rsidTr="003D4E6D">
        <w:tc>
          <w:tcPr>
            <w:tcW w:w="9495" w:type="dxa"/>
            <w:tcBorders>
              <w:top w:val="single" w:sz="4" w:space="0" w:color="auto"/>
              <w:left w:val="single" w:sz="4" w:space="0" w:color="auto"/>
              <w:bottom w:val="single" w:sz="4" w:space="0" w:color="auto"/>
              <w:right w:val="single" w:sz="4" w:space="0" w:color="auto"/>
            </w:tcBorders>
          </w:tcPr>
          <w:p w:rsidR="00C77A4D" w:rsidRPr="00DE0571" w:rsidRDefault="00C77A4D" w:rsidP="00C77A4D">
            <w:pPr>
              <w:rPr>
                <w:sz w:val="24"/>
                <w:szCs w:val="24"/>
                <w:lang w:val="nl-BE"/>
              </w:rPr>
            </w:pPr>
            <w:r w:rsidRPr="00C77A4D">
              <w:rPr>
                <w:b/>
                <w:bCs/>
                <w:sz w:val="24"/>
                <w:szCs w:val="24"/>
                <w:lang w:val="nl-BE"/>
              </w:rPr>
              <w:t>Kosten en financiering van deze maatregel</w:t>
            </w:r>
            <w:r w:rsidR="00DE0571">
              <w:rPr>
                <w:b/>
                <w:bCs/>
                <w:sz w:val="24"/>
                <w:szCs w:val="24"/>
                <w:lang w:val="nl-BE"/>
              </w:rPr>
              <w:t xml:space="preserve"> : </w:t>
            </w:r>
            <w:r w:rsidR="00DE0571" w:rsidRPr="00DE0571">
              <w:rPr>
                <w:sz w:val="24"/>
                <w:szCs w:val="24"/>
                <w:lang w:val="nl-BE"/>
              </w:rPr>
              <w:t>geen</w:t>
            </w:r>
          </w:p>
          <w:p w:rsidR="00C77A4D" w:rsidRPr="00C77A4D" w:rsidRDefault="00C77A4D" w:rsidP="00C77A4D">
            <w:pPr>
              <w:rPr>
                <w:sz w:val="24"/>
                <w:szCs w:val="24"/>
                <w:lang w:val="nl-BE"/>
              </w:rPr>
            </w:pPr>
          </w:p>
        </w:tc>
      </w:tr>
      <w:tr w:rsidR="00C77A4D" w:rsidRPr="009541AA" w:rsidTr="003D4E6D">
        <w:tc>
          <w:tcPr>
            <w:tcW w:w="949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C77A4D" w:rsidRPr="009541AA" w:rsidRDefault="009541AA" w:rsidP="009541AA">
            <w:pPr>
              <w:numPr>
                <w:ilvl w:val="0"/>
                <w:numId w:val="1"/>
              </w:numPr>
              <w:contextualSpacing/>
              <w:jc w:val="center"/>
              <w:rPr>
                <w:b/>
                <w:bCs/>
                <w:iCs/>
                <w:sz w:val="24"/>
                <w:szCs w:val="24"/>
                <w:lang w:val="nl-BE"/>
              </w:rPr>
            </w:pPr>
            <w:bookmarkStart w:id="1" w:name="_Hlk55895887"/>
            <w:r w:rsidRPr="009541AA">
              <w:rPr>
                <w:b/>
                <w:bCs/>
                <w:iCs/>
                <w:sz w:val="24"/>
                <w:szCs w:val="24"/>
                <w:lang w:val="nl-BE"/>
              </w:rPr>
              <w:t>Verwacht resultaat(en) met analyse-elementen</w:t>
            </w:r>
          </w:p>
        </w:tc>
      </w:tr>
      <w:bookmarkEnd w:id="1"/>
      <w:tr w:rsidR="00C77A4D" w:rsidRPr="009541AA" w:rsidTr="003D4E6D">
        <w:tc>
          <w:tcPr>
            <w:tcW w:w="9495" w:type="dxa"/>
            <w:tcBorders>
              <w:top w:val="single" w:sz="4" w:space="0" w:color="auto"/>
              <w:left w:val="single" w:sz="4" w:space="0" w:color="auto"/>
              <w:bottom w:val="single" w:sz="4" w:space="0" w:color="auto"/>
              <w:right w:val="single" w:sz="4" w:space="0" w:color="auto"/>
            </w:tcBorders>
          </w:tcPr>
          <w:p w:rsidR="00C77A4D" w:rsidRPr="003869FC" w:rsidRDefault="00346633" w:rsidP="00C77A4D">
            <w:pPr>
              <w:rPr>
                <w:b/>
                <w:bCs/>
                <w:sz w:val="24"/>
                <w:szCs w:val="24"/>
                <w:lang w:val="fr-FR"/>
              </w:rPr>
            </w:pPr>
            <w:r w:rsidRPr="003869FC">
              <w:rPr>
                <w:b/>
                <w:bCs/>
                <w:sz w:val="24"/>
                <w:szCs w:val="24"/>
                <w:lang w:val="fr-FR"/>
              </w:rPr>
              <w:t xml:space="preserve">6.1 </w:t>
            </w:r>
            <w:proofErr w:type="spellStart"/>
            <w:r w:rsidR="00C77A4D" w:rsidRPr="003869FC">
              <w:rPr>
                <w:b/>
                <w:bCs/>
                <w:sz w:val="24"/>
                <w:szCs w:val="24"/>
                <w:lang w:val="fr-FR"/>
              </w:rPr>
              <w:t>Gewenste</w:t>
            </w:r>
            <w:proofErr w:type="spellEnd"/>
            <w:r w:rsidR="00C77A4D" w:rsidRPr="003869FC">
              <w:rPr>
                <w:b/>
                <w:bCs/>
                <w:sz w:val="24"/>
                <w:szCs w:val="24"/>
                <w:lang w:val="fr-FR"/>
              </w:rPr>
              <w:t xml:space="preserve"> </w:t>
            </w:r>
            <w:proofErr w:type="spellStart"/>
            <w:r w:rsidR="00C77A4D" w:rsidRPr="003869FC">
              <w:rPr>
                <w:b/>
                <w:bCs/>
                <w:sz w:val="24"/>
                <w:szCs w:val="24"/>
                <w:lang w:val="fr-FR"/>
              </w:rPr>
              <w:t>situatie</w:t>
            </w:r>
            <w:proofErr w:type="spellEnd"/>
            <w:r w:rsidRPr="003869FC">
              <w:rPr>
                <w:b/>
                <w:bCs/>
                <w:sz w:val="24"/>
                <w:szCs w:val="24"/>
                <w:lang w:val="fr-FR"/>
              </w:rPr>
              <w:t>?</w:t>
            </w:r>
          </w:p>
          <w:p w:rsidR="00AE2276" w:rsidRDefault="00AE2276" w:rsidP="00AE2276">
            <w:pPr>
              <w:pStyle w:val="Default"/>
              <w:rPr>
                <w:sz w:val="23"/>
                <w:szCs w:val="23"/>
              </w:rPr>
            </w:pPr>
            <w:r w:rsidRPr="00AE2276">
              <w:rPr>
                <w:sz w:val="23"/>
                <w:szCs w:val="23"/>
                <w:lang w:val="fr-FR"/>
              </w:rPr>
              <w:t xml:space="preserve">Garantie du service sous différentes formes multipliées pour faciliter l’accès aux droits : téléphone, mail, sms, mais aussi physique avec et sans rendez-vous à des conditions à définir pour la sécurité de l’usager et des bénéficiaires. </w:t>
            </w:r>
            <w:r>
              <w:rPr>
                <w:sz w:val="23"/>
                <w:szCs w:val="23"/>
              </w:rPr>
              <w:t xml:space="preserve">Fonctionner sur un principe de confiance durant la durée du confinement. Uniformiser l’application de la souplesse et du principe de confiance ; organiser des contacts et des suivis proactifs des bénéficiaires. </w:t>
            </w:r>
          </w:p>
          <w:p w:rsidR="00C77A4D" w:rsidRPr="00AE2276" w:rsidRDefault="00C77A4D" w:rsidP="00C77A4D">
            <w:pPr>
              <w:rPr>
                <w:b/>
                <w:bCs/>
                <w:sz w:val="24"/>
                <w:szCs w:val="24"/>
              </w:rPr>
            </w:pPr>
          </w:p>
          <w:p w:rsidR="00C77A4D" w:rsidRPr="00AE2276" w:rsidRDefault="00C77A4D" w:rsidP="00C77A4D">
            <w:pPr>
              <w:rPr>
                <w:b/>
                <w:bCs/>
                <w:sz w:val="24"/>
                <w:szCs w:val="24"/>
                <w:lang w:val="fr-FR"/>
              </w:rPr>
            </w:pPr>
          </w:p>
          <w:p w:rsidR="00346633" w:rsidRDefault="00346633" w:rsidP="009541AA">
            <w:pPr>
              <w:rPr>
                <w:b/>
                <w:bCs/>
                <w:sz w:val="24"/>
                <w:szCs w:val="24"/>
                <w:lang w:val="nl-BE"/>
              </w:rPr>
            </w:pPr>
            <w:r>
              <w:rPr>
                <w:b/>
                <w:bCs/>
                <w:sz w:val="24"/>
                <w:szCs w:val="24"/>
                <w:lang w:val="nl-BE"/>
              </w:rPr>
              <w:t xml:space="preserve">6.2 </w:t>
            </w:r>
            <w:r w:rsidR="009541AA" w:rsidRPr="009541AA">
              <w:rPr>
                <w:b/>
                <w:bCs/>
                <w:sz w:val="24"/>
                <w:szCs w:val="24"/>
                <w:lang w:val="nl-BE"/>
              </w:rPr>
              <w:t>Hoe de doelstelling bereiken</w:t>
            </w:r>
            <w:r>
              <w:rPr>
                <w:b/>
                <w:bCs/>
                <w:sz w:val="24"/>
                <w:szCs w:val="24"/>
                <w:lang w:val="nl-BE"/>
              </w:rPr>
              <w:t xml:space="preserve">? </w:t>
            </w:r>
          </w:p>
          <w:p w:rsidR="00346633" w:rsidRDefault="00F27F10" w:rsidP="009541AA">
            <w:pPr>
              <w:rPr>
                <w:sz w:val="24"/>
                <w:szCs w:val="24"/>
                <w:lang w:val="nl-BE"/>
              </w:rPr>
            </w:pPr>
            <w:r>
              <w:rPr>
                <w:sz w:val="24"/>
                <w:szCs w:val="24"/>
                <w:lang w:val="nl-BE"/>
              </w:rPr>
              <w:t xml:space="preserve">Via publicatie van FAQ de regelgeving herhalen alsook de procedures en versoepelingen </w:t>
            </w:r>
            <w:proofErr w:type="spellStart"/>
            <w:r>
              <w:rPr>
                <w:sz w:val="24"/>
                <w:szCs w:val="24"/>
                <w:lang w:val="nl-BE"/>
              </w:rPr>
              <w:t>mbt</w:t>
            </w:r>
            <w:proofErr w:type="spellEnd"/>
            <w:r>
              <w:rPr>
                <w:sz w:val="24"/>
                <w:szCs w:val="24"/>
                <w:lang w:val="nl-BE"/>
              </w:rPr>
              <w:t xml:space="preserve"> het sociaal onderzoek tijdens deze 2</w:t>
            </w:r>
            <w:r w:rsidRPr="00F27F10">
              <w:rPr>
                <w:sz w:val="24"/>
                <w:szCs w:val="24"/>
                <w:vertAlign w:val="superscript"/>
                <w:lang w:val="nl-BE"/>
              </w:rPr>
              <w:t>de</w:t>
            </w:r>
            <w:r>
              <w:rPr>
                <w:sz w:val="24"/>
                <w:szCs w:val="24"/>
                <w:lang w:val="nl-BE"/>
              </w:rPr>
              <w:t xml:space="preserve"> crisisperiode verduidelijken</w:t>
            </w:r>
            <w:r w:rsidR="00970BA2">
              <w:rPr>
                <w:sz w:val="24"/>
                <w:szCs w:val="24"/>
                <w:lang w:val="nl-BE"/>
              </w:rPr>
              <w:t xml:space="preserve">. </w:t>
            </w:r>
          </w:p>
          <w:p w:rsidR="00970BA2" w:rsidRDefault="00970BA2" w:rsidP="009541AA">
            <w:pPr>
              <w:rPr>
                <w:sz w:val="24"/>
                <w:szCs w:val="24"/>
                <w:lang w:val="nl-BE"/>
              </w:rPr>
            </w:pPr>
            <w:r>
              <w:rPr>
                <w:sz w:val="24"/>
                <w:szCs w:val="24"/>
                <w:lang w:val="nl-BE"/>
              </w:rPr>
              <w:t>Beschikbaar stellen van folders aan de OCMW (COVID19- heb ik recht op maatschappelijke dienstverlening</w:t>
            </w:r>
            <w:r w:rsidR="009E0F11">
              <w:rPr>
                <w:sz w:val="24"/>
                <w:szCs w:val="24"/>
                <w:lang w:val="nl-BE"/>
              </w:rPr>
              <w:t>)</w:t>
            </w:r>
          </w:p>
          <w:p w:rsidR="00F27F10" w:rsidRDefault="00F27F10" w:rsidP="009541AA">
            <w:pPr>
              <w:rPr>
                <w:b/>
                <w:bCs/>
                <w:sz w:val="24"/>
                <w:szCs w:val="24"/>
                <w:lang w:val="nl-BE"/>
              </w:rPr>
            </w:pPr>
          </w:p>
          <w:p w:rsidR="006D638F" w:rsidRPr="009541AA" w:rsidRDefault="00346633" w:rsidP="009541AA">
            <w:pPr>
              <w:rPr>
                <w:b/>
                <w:bCs/>
                <w:sz w:val="24"/>
                <w:szCs w:val="24"/>
                <w:lang w:val="nl-BE"/>
              </w:rPr>
            </w:pPr>
            <w:r>
              <w:rPr>
                <w:b/>
                <w:bCs/>
                <w:sz w:val="24"/>
                <w:szCs w:val="24"/>
                <w:lang w:val="nl-BE"/>
              </w:rPr>
              <w:t>6.3 Wet- en regelgeving aanpassen?</w:t>
            </w:r>
          </w:p>
          <w:p w:rsidR="00C77A4D" w:rsidRPr="009541AA" w:rsidRDefault="00C77A4D" w:rsidP="00C77A4D">
            <w:pPr>
              <w:jc w:val="center"/>
              <w:rPr>
                <w:i/>
                <w:iCs/>
                <w:color w:val="FF0000"/>
                <w:sz w:val="24"/>
                <w:szCs w:val="24"/>
                <w:lang w:val="nl-BE"/>
              </w:rPr>
            </w:pPr>
          </w:p>
          <w:p w:rsidR="00C77A4D" w:rsidRPr="009541AA" w:rsidRDefault="00C77A4D" w:rsidP="00C77A4D">
            <w:pPr>
              <w:jc w:val="both"/>
              <w:rPr>
                <w:b/>
                <w:bCs/>
                <w:sz w:val="24"/>
                <w:szCs w:val="24"/>
                <w:lang w:val="nl-BE"/>
              </w:rPr>
            </w:pPr>
          </w:p>
        </w:tc>
      </w:tr>
      <w:tr w:rsidR="006D638F" w:rsidRPr="006D638F" w:rsidTr="00D2572F">
        <w:tc>
          <w:tcPr>
            <w:tcW w:w="949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6D638F" w:rsidRPr="006D638F" w:rsidRDefault="006D638F" w:rsidP="006D638F">
            <w:pPr>
              <w:pStyle w:val="Lijstalinea"/>
              <w:numPr>
                <w:ilvl w:val="0"/>
                <w:numId w:val="1"/>
              </w:numPr>
              <w:jc w:val="center"/>
              <w:rPr>
                <w:b/>
                <w:sz w:val="24"/>
                <w:szCs w:val="24"/>
              </w:rPr>
            </w:pPr>
            <w:proofErr w:type="spellStart"/>
            <w:r>
              <w:rPr>
                <w:b/>
                <w:sz w:val="24"/>
                <w:szCs w:val="24"/>
              </w:rPr>
              <w:t>Stappenplan</w:t>
            </w:r>
            <w:proofErr w:type="spellEnd"/>
          </w:p>
          <w:p w:rsidR="006D638F" w:rsidRPr="00A244D2" w:rsidRDefault="006D638F" w:rsidP="00D2572F">
            <w:pPr>
              <w:jc w:val="center"/>
              <w:rPr>
                <w:i/>
                <w:sz w:val="24"/>
                <w:szCs w:val="24"/>
              </w:rPr>
            </w:pPr>
          </w:p>
        </w:tc>
      </w:tr>
      <w:tr w:rsidR="006D638F" w:rsidRPr="006D638F" w:rsidTr="003D4E6D">
        <w:tc>
          <w:tcPr>
            <w:tcW w:w="9495" w:type="dxa"/>
            <w:tcBorders>
              <w:top w:val="single" w:sz="4" w:space="0" w:color="auto"/>
              <w:left w:val="single" w:sz="4" w:space="0" w:color="auto"/>
              <w:bottom w:val="single" w:sz="4" w:space="0" w:color="auto"/>
              <w:right w:val="single" w:sz="4" w:space="0" w:color="auto"/>
            </w:tcBorders>
          </w:tcPr>
          <w:p w:rsidR="006D638F" w:rsidRDefault="00346633" w:rsidP="006D638F">
            <w:pPr>
              <w:rPr>
                <w:b/>
                <w:bCs/>
                <w:sz w:val="24"/>
                <w:szCs w:val="24"/>
                <w:lang w:val="fr-FR"/>
              </w:rPr>
            </w:pPr>
            <w:proofErr w:type="spellStart"/>
            <w:r>
              <w:rPr>
                <w:b/>
                <w:bCs/>
                <w:sz w:val="24"/>
                <w:szCs w:val="24"/>
                <w:lang w:val="fr-FR"/>
              </w:rPr>
              <w:t>Uitvoeringsschema</w:t>
            </w:r>
            <w:proofErr w:type="spellEnd"/>
          </w:p>
          <w:p w:rsidR="006D638F" w:rsidRDefault="006D638F" w:rsidP="006D638F">
            <w:pPr>
              <w:rPr>
                <w:b/>
                <w:bCs/>
                <w:sz w:val="24"/>
                <w:szCs w:val="24"/>
                <w:lang w:val="fr-FR"/>
              </w:rPr>
            </w:pPr>
          </w:p>
          <w:p w:rsidR="00F27F10" w:rsidRPr="00F27F10" w:rsidRDefault="00F27F10" w:rsidP="006D638F">
            <w:pPr>
              <w:rPr>
                <w:sz w:val="24"/>
                <w:szCs w:val="24"/>
                <w:lang w:val="nl-BE"/>
              </w:rPr>
            </w:pPr>
            <w:r w:rsidRPr="00F27F10">
              <w:rPr>
                <w:sz w:val="24"/>
                <w:szCs w:val="24"/>
                <w:lang w:val="nl-BE"/>
              </w:rPr>
              <w:t>Reeds gepubliceerd op de site van de POD MI miv 2/11/2020</w:t>
            </w:r>
          </w:p>
        </w:tc>
      </w:tr>
    </w:tbl>
    <w:p w:rsidR="00A244D2" w:rsidRPr="00F27F10" w:rsidRDefault="00A244D2"/>
    <w:sectPr w:rsidR="00A244D2" w:rsidRPr="00F27F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E238B"/>
    <w:multiLevelType w:val="hybridMultilevel"/>
    <w:tmpl w:val="793ECE5E"/>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269E30D2"/>
    <w:multiLevelType w:val="hybridMultilevel"/>
    <w:tmpl w:val="CEA89F88"/>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2" w15:restartNumberingAfterBreak="0">
    <w:nsid w:val="2E094DDF"/>
    <w:multiLevelType w:val="hybridMultilevel"/>
    <w:tmpl w:val="676629AA"/>
    <w:lvl w:ilvl="0" w:tplc="17D008B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30AB57AA"/>
    <w:multiLevelType w:val="hybridMultilevel"/>
    <w:tmpl w:val="F4D8A7A8"/>
    <w:lvl w:ilvl="0" w:tplc="E234A77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32774A47"/>
    <w:multiLevelType w:val="multilevel"/>
    <w:tmpl w:val="A7E229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7DC3937"/>
    <w:multiLevelType w:val="hybridMultilevel"/>
    <w:tmpl w:val="F6362DDE"/>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6" w15:restartNumberingAfterBreak="0">
    <w:nsid w:val="59392E10"/>
    <w:multiLevelType w:val="hybridMultilevel"/>
    <w:tmpl w:val="F6362DDE"/>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7" w15:restartNumberingAfterBreak="0">
    <w:nsid w:val="656C38EA"/>
    <w:multiLevelType w:val="hybridMultilevel"/>
    <w:tmpl w:val="56F4695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6E3F2968"/>
    <w:multiLevelType w:val="hybridMultilevel"/>
    <w:tmpl w:val="CEA89F88"/>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num w:numId="1">
    <w:abstractNumId w:val="1"/>
  </w:num>
  <w:num w:numId="2">
    <w:abstractNumId w:val="0"/>
  </w:num>
  <w:num w:numId="3">
    <w:abstractNumId w:val="7"/>
  </w:num>
  <w:num w:numId="4">
    <w:abstractNumId w:val="3"/>
  </w:num>
  <w:num w:numId="5">
    <w:abstractNumId w:val="2"/>
  </w:num>
  <w:num w:numId="6">
    <w:abstractNumId w:val="1"/>
  </w:num>
  <w:num w:numId="7">
    <w:abstractNumId w:val="5"/>
  </w:num>
  <w:num w:numId="8">
    <w:abstractNumId w:val="6"/>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4D2"/>
    <w:rsid w:val="0003438F"/>
    <w:rsid w:val="00046045"/>
    <w:rsid w:val="00072339"/>
    <w:rsid w:val="0008087C"/>
    <w:rsid w:val="00084015"/>
    <w:rsid w:val="00113612"/>
    <w:rsid w:val="00162057"/>
    <w:rsid w:val="001837D9"/>
    <w:rsid w:val="001B6FFB"/>
    <w:rsid w:val="001D26DF"/>
    <w:rsid w:val="001D71ED"/>
    <w:rsid w:val="0021238A"/>
    <w:rsid w:val="00246CDA"/>
    <w:rsid w:val="002B714A"/>
    <w:rsid w:val="002D75F2"/>
    <w:rsid w:val="002E037A"/>
    <w:rsid w:val="0031089E"/>
    <w:rsid w:val="00325855"/>
    <w:rsid w:val="00346633"/>
    <w:rsid w:val="0036088C"/>
    <w:rsid w:val="00362012"/>
    <w:rsid w:val="003869FC"/>
    <w:rsid w:val="003A2655"/>
    <w:rsid w:val="003B760A"/>
    <w:rsid w:val="003D4E6D"/>
    <w:rsid w:val="004C19F8"/>
    <w:rsid w:val="00576153"/>
    <w:rsid w:val="005A204F"/>
    <w:rsid w:val="005F3454"/>
    <w:rsid w:val="00612FE1"/>
    <w:rsid w:val="006A5A24"/>
    <w:rsid w:val="006C61AD"/>
    <w:rsid w:val="006D638F"/>
    <w:rsid w:val="00727202"/>
    <w:rsid w:val="0074380F"/>
    <w:rsid w:val="007643CF"/>
    <w:rsid w:val="00777DE9"/>
    <w:rsid w:val="007D5201"/>
    <w:rsid w:val="00823307"/>
    <w:rsid w:val="00833AAD"/>
    <w:rsid w:val="008507F9"/>
    <w:rsid w:val="00852653"/>
    <w:rsid w:val="00881048"/>
    <w:rsid w:val="00892774"/>
    <w:rsid w:val="008D163F"/>
    <w:rsid w:val="00937629"/>
    <w:rsid w:val="009517B1"/>
    <w:rsid w:val="009541AA"/>
    <w:rsid w:val="00970BA2"/>
    <w:rsid w:val="009E0F11"/>
    <w:rsid w:val="00A105FA"/>
    <w:rsid w:val="00A244D2"/>
    <w:rsid w:val="00A55029"/>
    <w:rsid w:val="00A87FFB"/>
    <w:rsid w:val="00A95E99"/>
    <w:rsid w:val="00AA687A"/>
    <w:rsid w:val="00AE2276"/>
    <w:rsid w:val="00AE25AC"/>
    <w:rsid w:val="00AF2F02"/>
    <w:rsid w:val="00B530C5"/>
    <w:rsid w:val="00B54665"/>
    <w:rsid w:val="00BB310D"/>
    <w:rsid w:val="00BD4010"/>
    <w:rsid w:val="00BD4516"/>
    <w:rsid w:val="00C55C31"/>
    <w:rsid w:val="00C77A4D"/>
    <w:rsid w:val="00CC290F"/>
    <w:rsid w:val="00CC73CF"/>
    <w:rsid w:val="00D0482A"/>
    <w:rsid w:val="00D17492"/>
    <w:rsid w:val="00D24444"/>
    <w:rsid w:val="00D5178C"/>
    <w:rsid w:val="00D52E54"/>
    <w:rsid w:val="00DA7E21"/>
    <w:rsid w:val="00DE0571"/>
    <w:rsid w:val="00DE1B13"/>
    <w:rsid w:val="00E11512"/>
    <w:rsid w:val="00E27EFE"/>
    <w:rsid w:val="00E50492"/>
    <w:rsid w:val="00E70190"/>
    <w:rsid w:val="00EF2063"/>
    <w:rsid w:val="00F27F10"/>
    <w:rsid w:val="00F6201A"/>
    <w:rsid w:val="00F72DA4"/>
    <w:rsid w:val="00F945DA"/>
    <w:rsid w:val="00FA0320"/>
    <w:rsid w:val="00FA6139"/>
    <w:rsid w:val="00FE22BC"/>
    <w:rsid w:val="00FE4D0A"/>
    <w:rsid w:val="00FF24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733BC"/>
  <w15:chartTrackingRefBased/>
  <w15:docId w15:val="{BE515273-CB42-453E-9419-9D8B80029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A244D2"/>
    <w:pPr>
      <w:spacing w:after="0" w:line="240" w:lineRule="auto"/>
    </w:pPr>
    <w:rPr>
      <w:lang w:val="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03438F"/>
    <w:pPr>
      <w:ind w:left="720"/>
      <w:contextualSpacing/>
    </w:pPr>
  </w:style>
  <w:style w:type="character" w:styleId="Hyperlink">
    <w:name w:val="Hyperlink"/>
    <w:basedOn w:val="Standaardalinea-lettertype"/>
    <w:uiPriority w:val="99"/>
    <w:unhideWhenUsed/>
    <w:rsid w:val="00084015"/>
    <w:rPr>
      <w:color w:val="0563C1" w:themeColor="hyperlink"/>
      <w:u w:val="single"/>
    </w:rPr>
  </w:style>
  <w:style w:type="character" w:styleId="Onopgelostemelding">
    <w:name w:val="Unresolved Mention"/>
    <w:basedOn w:val="Standaardalinea-lettertype"/>
    <w:uiPriority w:val="99"/>
    <w:semiHidden/>
    <w:unhideWhenUsed/>
    <w:rsid w:val="00084015"/>
    <w:rPr>
      <w:color w:val="605E5C"/>
      <w:shd w:val="clear" w:color="auto" w:fill="E1DFDD"/>
    </w:rPr>
  </w:style>
  <w:style w:type="paragraph" w:customStyle="1" w:styleId="Default">
    <w:name w:val="Default"/>
    <w:rsid w:val="00AE2276"/>
    <w:pPr>
      <w:autoSpaceDE w:val="0"/>
      <w:autoSpaceDN w:val="0"/>
      <w:adjustRightInd w:val="0"/>
      <w:spacing w:after="0" w:line="240" w:lineRule="auto"/>
    </w:pPr>
    <w:rPr>
      <w:rFonts w:ascii="Calibri" w:hAnsi="Calibri" w:cs="Calibri"/>
      <w:color w:val="000000"/>
      <w:sz w:val="24"/>
      <w:szCs w:val="24"/>
    </w:rPr>
  </w:style>
  <w:style w:type="character" w:styleId="Zwaar">
    <w:name w:val="Strong"/>
    <w:basedOn w:val="Standaardalinea-lettertype"/>
    <w:uiPriority w:val="22"/>
    <w:qFormat/>
    <w:rsid w:val="003869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4288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499</Words>
  <Characters>2745</Characters>
  <Application>Microsoft Office Word</Application>
  <DocSecurity>4</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Opfergelt Anita</dc:creator>
  <cp:keywords/>
  <dc:description/>
  <cp:lastModifiedBy>Mattheussens Gunther</cp:lastModifiedBy>
  <cp:revision>2</cp:revision>
  <dcterms:created xsi:type="dcterms:W3CDTF">2020-11-19T10:00:00Z</dcterms:created>
  <dcterms:modified xsi:type="dcterms:W3CDTF">2020-11-19T10:00:00Z</dcterms:modified>
</cp:coreProperties>
</file>