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03F00" w14:textId="2FE581B5" w:rsidR="00205B86" w:rsidRDefault="007355C7" w:rsidP="001D3965">
      <w:bookmarkStart w:id="0" w:name="_GoBack"/>
      <w:bookmarkEnd w:id="0"/>
      <w:r>
        <w:rPr>
          <w:noProof/>
        </w:rPr>
        <w:drawing>
          <wp:inline distT="0" distB="0" distL="0" distR="0" wp14:anchorId="12ADD925" wp14:editId="42520DB6">
            <wp:extent cx="1300545" cy="525780"/>
            <wp:effectExtent l="0" t="0" r="0" b="762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840" cy="531155"/>
                    </a:xfrm>
                    <a:prstGeom prst="rect">
                      <a:avLst/>
                    </a:prstGeom>
                  </pic:spPr>
                </pic:pic>
              </a:graphicData>
            </a:graphic>
          </wp:inline>
        </w:drawing>
      </w:r>
    </w:p>
    <w:p w14:paraId="35E3C419" w14:textId="4EB09641" w:rsidR="001D3965" w:rsidRPr="007355C7" w:rsidRDefault="007355C7" w:rsidP="007355C7">
      <w:pPr>
        <w:pStyle w:val="Titre1"/>
        <w:rPr>
          <w:lang w:val="fr-BE"/>
        </w:rPr>
      </w:pPr>
      <w:r w:rsidRPr="007355C7">
        <w:rPr>
          <w:lang w:val="fr-BE"/>
        </w:rPr>
        <w:t>Contribution d’</w:t>
      </w:r>
      <w:proofErr w:type="spellStart"/>
      <w:r w:rsidRPr="007355C7">
        <w:rPr>
          <w:lang w:val="fr-BE"/>
        </w:rPr>
        <w:t>Unia</w:t>
      </w:r>
      <w:proofErr w:type="spellEnd"/>
      <w:r w:rsidRPr="007355C7">
        <w:rPr>
          <w:lang w:val="fr-BE"/>
        </w:rPr>
        <w:t xml:space="preserve"> </w:t>
      </w:r>
      <w:proofErr w:type="spellStart"/>
      <w:r w:rsidRPr="007355C7">
        <w:rPr>
          <w:lang w:val="fr-BE"/>
        </w:rPr>
        <w:t>Task</w:t>
      </w:r>
      <w:proofErr w:type="spellEnd"/>
      <w:r w:rsidRPr="007355C7">
        <w:rPr>
          <w:lang w:val="fr-BE"/>
        </w:rPr>
        <w:t xml:space="preserve"> Force Soutien à</w:t>
      </w:r>
      <w:r>
        <w:rPr>
          <w:lang w:val="fr-BE"/>
        </w:rPr>
        <w:t xml:space="preserve"> la campagne de vaccination 8 janvier 2021</w:t>
      </w:r>
    </w:p>
    <w:p w14:paraId="1B27E1B6" w14:textId="640AB40B" w:rsidR="001D3965" w:rsidRDefault="001D3965" w:rsidP="001D3965"/>
    <w:p w14:paraId="09A9FB4B" w14:textId="32A8B2EF" w:rsidR="001D3965" w:rsidRDefault="007355C7" w:rsidP="001D3965">
      <w:pPr>
        <w:rPr>
          <w:lang w:val="fr-BE"/>
        </w:rPr>
      </w:pPr>
      <w:r>
        <w:rPr>
          <w:lang w:val="fr-BE"/>
        </w:rPr>
        <w:t xml:space="preserve">Plusieurs recommandations ont été présentées antérieurement par la </w:t>
      </w:r>
      <w:proofErr w:type="spellStart"/>
      <w:r>
        <w:rPr>
          <w:lang w:val="fr-BE"/>
        </w:rPr>
        <w:t>Task</w:t>
      </w:r>
      <w:proofErr w:type="spellEnd"/>
      <w:r>
        <w:rPr>
          <w:lang w:val="fr-BE"/>
        </w:rPr>
        <w:t xml:space="preserve"> Force concernant la communication vers les groupes vulnérables. </w:t>
      </w:r>
      <w:proofErr w:type="spellStart"/>
      <w:r>
        <w:rPr>
          <w:lang w:val="fr-BE"/>
        </w:rPr>
        <w:t>Unia</w:t>
      </w:r>
      <w:proofErr w:type="spellEnd"/>
      <w:r>
        <w:rPr>
          <w:lang w:val="fr-BE"/>
        </w:rPr>
        <w:t>, qui les soutient dans leur ensemble, r</w:t>
      </w:r>
      <w:r w:rsidR="001D3965">
        <w:rPr>
          <w:lang w:val="fr-BE"/>
        </w:rPr>
        <w:t>envoi</w:t>
      </w:r>
      <w:r>
        <w:rPr>
          <w:lang w:val="fr-BE"/>
        </w:rPr>
        <w:t xml:space="preserve">e ainsi </w:t>
      </w:r>
      <w:r w:rsidR="001D3965">
        <w:rPr>
          <w:lang w:val="fr-BE"/>
        </w:rPr>
        <w:t xml:space="preserve"> vers :</w:t>
      </w:r>
    </w:p>
    <w:p w14:paraId="23228CE6" w14:textId="6076407A" w:rsidR="001D3965" w:rsidRDefault="007355C7" w:rsidP="001D3965">
      <w:pPr>
        <w:pStyle w:val="Paragraphedeliste"/>
        <w:numPr>
          <w:ilvl w:val="0"/>
          <w:numId w:val="5"/>
        </w:numPr>
        <w:rPr>
          <w:lang w:val="fr-BE"/>
        </w:rPr>
      </w:pPr>
      <w:r>
        <w:rPr>
          <w:lang w:val="fr-BE"/>
        </w:rPr>
        <w:t xml:space="preserve">La </w:t>
      </w:r>
      <w:r w:rsidR="001D3965" w:rsidRPr="001D3965">
        <w:rPr>
          <w:lang w:val="fr-BE"/>
        </w:rPr>
        <w:t xml:space="preserve">FICHE 02.1 </w:t>
      </w:r>
      <w:proofErr w:type="spellStart"/>
      <w:r w:rsidR="001D3965" w:rsidRPr="001D3965">
        <w:rPr>
          <w:lang w:val="fr-BE"/>
        </w:rPr>
        <w:t>Communicatie</w:t>
      </w:r>
      <w:proofErr w:type="spellEnd"/>
      <w:r w:rsidR="001D3965" w:rsidRPr="001D3965">
        <w:rPr>
          <w:lang w:val="fr-BE"/>
        </w:rPr>
        <w:t xml:space="preserve"> (nb: fusion des 4 fiches concernant la communication)</w:t>
      </w:r>
      <w:r w:rsidR="001D3965">
        <w:rPr>
          <w:lang w:val="fr-BE"/>
        </w:rPr>
        <w:t> : voir doc</w:t>
      </w:r>
      <w:r>
        <w:rPr>
          <w:lang w:val="fr-BE"/>
        </w:rPr>
        <w:t xml:space="preserve">ument </w:t>
      </w:r>
      <w:r w:rsidR="001D3965">
        <w:rPr>
          <w:lang w:val="fr-BE"/>
        </w:rPr>
        <w:t>en a</w:t>
      </w:r>
      <w:r>
        <w:rPr>
          <w:lang w:val="fr-BE"/>
        </w:rPr>
        <w:t>ttaché ;</w:t>
      </w:r>
    </w:p>
    <w:p w14:paraId="558FF533" w14:textId="4D03899F" w:rsidR="001D3965" w:rsidRPr="001D3965" w:rsidRDefault="007355C7" w:rsidP="001D3965">
      <w:pPr>
        <w:pStyle w:val="Paragraphedeliste"/>
        <w:numPr>
          <w:ilvl w:val="0"/>
          <w:numId w:val="5"/>
        </w:numPr>
        <w:rPr>
          <w:lang w:val="fr-BE"/>
        </w:rPr>
      </w:pPr>
      <w:r>
        <w:rPr>
          <w:lang w:val="fr-BE"/>
        </w:rPr>
        <w:t>L’a</w:t>
      </w:r>
      <w:r w:rsidR="001D3965">
        <w:rPr>
          <w:lang w:val="fr-BE"/>
        </w:rPr>
        <w:t xml:space="preserve">vis du Service de lutte contre la pauvreté, la précarité et l’exclusion sociale : </w:t>
      </w:r>
      <w:hyperlink r:id="rId9" w:history="1">
        <w:r w:rsidR="001D3965" w:rsidRPr="001D3965">
          <w:rPr>
            <w:color w:val="0000FF"/>
            <w:u w:val="single"/>
            <w:lang/>
          </w:rPr>
          <w:t>Avis vaccination COVID19 – Service de lutte contre la pauvreté (luttepauvrete.be)</w:t>
        </w:r>
      </w:hyperlink>
      <w:r w:rsidR="0049558E">
        <w:rPr>
          <w:color w:val="0000FF"/>
          <w:u w:val="single"/>
          <w:lang/>
        </w:rPr>
        <w:t> </w:t>
      </w:r>
      <w:r w:rsidR="0049558E">
        <w:rPr>
          <w:color w:val="0000FF"/>
          <w:u w:val="single"/>
          <w:lang w:val="fr-BE"/>
        </w:rPr>
        <w:t>;</w:t>
      </w:r>
    </w:p>
    <w:p w14:paraId="45D4CEC9" w14:textId="213781A3" w:rsidR="001D3965" w:rsidRDefault="007355C7" w:rsidP="001D3965">
      <w:pPr>
        <w:pStyle w:val="Paragraphedeliste"/>
        <w:numPr>
          <w:ilvl w:val="0"/>
          <w:numId w:val="5"/>
        </w:numPr>
        <w:rPr>
          <w:lang w:val="fr-BE"/>
        </w:rPr>
      </w:pPr>
      <w:r>
        <w:rPr>
          <w:lang w:val="fr-BE"/>
        </w:rPr>
        <w:t>La c</w:t>
      </w:r>
      <w:r w:rsidR="00426240">
        <w:rPr>
          <w:lang w:val="fr-BE"/>
        </w:rPr>
        <w:t>ontribution du</w:t>
      </w:r>
      <w:r w:rsidR="001D3965">
        <w:rPr>
          <w:lang w:val="fr-BE"/>
        </w:rPr>
        <w:t xml:space="preserve"> Conseil Supérieur National des Personnes Handicapées</w:t>
      </w:r>
      <w:r w:rsidR="00426240">
        <w:rPr>
          <w:lang w:val="fr-BE"/>
        </w:rPr>
        <w:t xml:space="preserve"> « </w:t>
      </w:r>
      <w:r w:rsidR="00426240" w:rsidRPr="00426240">
        <w:rPr>
          <w:lang w:val="fr-BE"/>
        </w:rPr>
        <w:t>COVID- VAGUE 2 – attentes des PH et des familles - Objectifs et attentes</w:t>
      </w:r>
      <w:r w:rsidR="00426240">
        <w:rPr>
          <w:lang w:val="fr-BE"/>
        </w:rPr>
        <w:t> », point 2 Communication sur les mesures</w:t>
      </w:r>
      <w:r w:rsidR="0049558E">
        <w:rPr>
          <w:lang w:val="fr-BE"/>
        </w:rPr>
        <w:t> : voir document en attaché.</w:t>
      </w:r>
    </w:p>
    <w:p w14:paraId="7F15EAB2" w14:textId="59DC7AF6" w:rsidR="00D93C7C" w:rsidRDefault="00D93C7C" w:rsidP="00D93C7C">
      <w:pPr>
        <w:rPr>
          <w:lang w:val="fr-BE"/>
        </w:rPr>
      </w:pPr>
    </w:p>
    <w:p w14:paraId="7A6611D2" w14:textId="3F7C079E" w:rsidR="001D55C8" w:rsidRDefault="001D55C8" w:rsidP="00D93C7C">
      <w:pPr>
        <w:rPr>
          <w:lang w:val="fr-BE"/>
        </w:rPr>
      </w:pPr>
      <w:proofErr w:type="spellStart"/>
      <w:r>
        <w:rPr>
          <w:lang w:val="fr-BE"/>
        </w:rPr>
        <w:t>Unia</w:t>
      </w:r>
      <w:proofErr w:type="spellEnd"/>
      <w:r>
        <w:rPr>
          <w:lang w:val="fr-BE"/>
        </w:rPr>
        <w:t xml:space="preserve"> propose </w:t>
      </w:r>
      <w:r w:rsidR="007355C7">
        <w:rPr>
          <w:lang w:val="fr-BE"/>
        </w:rPr>
        <w:t>les</w:t>
      </w:r>
      <w:r>
        <w:rPr>
          <w:lang w:val="fr-BE"/>
        </w:rPr>
        <w:t xml:space="preserve"> points d’attention complémentaires </w:t>
      </w:r>
      <w:r w:rsidR="007355C7">
        <w:rPr>
          <w:lang w:val="fr-BE"/>
        </w:rPr>
        <w:t>suivant</w:t>
      </w:r>
      <w:r>
        <w:rPr>
          <w:lang w:val="fr-BE"/>
        </w:rPr>
        <w:t>:</w:t>
      </w:r>
    </w:p>
    <w:p w14:paraId="39C338A9" w14:textId="143D07FA" w:rsidR="001D55C8" w:rsidRDefault="007607CD" w:rsidP="007607CD">
      <w:pPr>
        <w:pStyle w:val="Paragraphedeliste"/>
        <w:numPr>
          <w:ilvl w:val="0"/>
          <w:numId w:val="6"/>
        </w:numPr>
        <w:rPr>
          <w:lang w:val="fr-BE"/>
        </w:rPr>
      </w:pPr>
      <w:r>
        <w:rPr>
          <w:lang w:val="fr-BE"/>
        </w:rPr>
        <w:t xml:space="preserve">L’efficacité de </w:t>
      </w:r>
      <w:r w:rsidRPr="007355C7">
        <w:rPr>
          <w:b/>
          <w:bCs/>
          <w:lang w:val="fr-BE"/>
        </w:rPr>
        <w:t>la dimension locale</w:t>
      </w:r>
      <w:r>
        <w:rPr>
          <w:lang w:val="fr-BE"/>
        </w:rPr>
        <w:t xml:space="preserve"> de ce type de campagne d’information ayant été mise en avant, </w:t>
      </w:r>
      <w:proofErr w:type="spellStart"/>
      <w:r>
        <w:rPr>
          <w:lang w:val="fr-BE"/>
        </w:rPr>
        <w:t>Unia</w:t>
      </w:r>
      <w:proofErr w:type="spellEnd"/>
      <w:r>
        <w:rPr>
          <w:lang w:val="fr-BE"/>
        </w:rPr>
        <w:t xml:space="preserve"> insiste sur la nécessité d’une bonne coordination avec les différents niveaux de pouvoir afin d’atteindre les groupes vulnérables</w:t>
      </w:r>
      <w:r w:rsidR="00F85D14">
        <w:rPr>
          <w:lang w:val="fr-BE"/>
        </w:rPr>
        <w:t>. Nous pensons par exemple aux conseils consultatifs des aînés et des personnes handicapées au niveau des communes ; aux entreprises de travail adapté/</w:t>
      </w:r>
      <w:proofErr w:type="spellStart"/>
      <w:r w:rsidR="00F85D14">
        <w:rPr>
          <w:lang w:val="fr-BE"/>
        </w:rPr>
        <w:t>maatwerkbedrijven</w:t>
      </w:r>
      <w:proofErr w:type="spellEnd"/>
      <w:r w:rsidR="00F85D14">
        <w:rPr>
          <w:lang w:val="fr-BE"/>
        </w:rPr>
        <w:t xml:space="preserve"> au niveau régional (</w:t>
      </w:r>
      <w:proofErr w:type="spellStart"/>
      <w:r w:rsidR="00F85D14">
        <w:rPr>
          <w:lang w:val="fr-BE"/>
        </w:rPr>
        <w:t>Cocof</w:t>
      </w:r>
      <w:proofErr w:type="spellEnd"/>
      <w:r w:rsidR="00F85D14">
        <w:rPr>
          <w:lang w:val="fr-BE"/>
        </w:rPr>
        <w:t xml:space="preserve"> à Bruxelles) ; aux services d’accompagnement des personnes handicapées ; aux agences régionales (</w:t>
      </w:r>
      <w:proofErr w:type="spellStart"/>
      <w:r w:rsidR="00F85D14">
        <w:rPr>
          <w:lang w:val="fr-BE"/>
        </w:rPr>
        <w:t>Aviq</w:t>
      </w:r>
      <w:proofErr w:type="spellEnd"/>
      <w:r w:rsidR="00F85D14">
        <w:rPr>
          <w:lang w:val="fr-BE"/>
        </w:rPr>
        <w:t>, VAPH, DPB, Phare)</w:t>
      </w:r>
      <w:r w:rsidR="007355C7">
        <w:rPr>
          <w:lang w:val="fr-BE"/>
        </w:rPr>
        <w:t>.</w:t>
      </w:r>
    </w:p>
    <w:p w14:paraId="5912C416" w14:textId="77777777" w:rsidR="00F85D14" w:rsidRDefault="00F85D14" w:rsidP="00F85D14">
      <w:pPr>
        <w:pStyle w:val="Paragraphedeliste"/>
        <w:rPr>
          <w:lang w:val="fr-BE"/>
        </w:rPr>
      </w:pPr>
    </w:p>
    <w:p w14:paraId="2C6417B0" w14:textId="74A750C5" w:rsidR="00F85D14" w:rsidRDefault="00F85D14" w:rsidP="007607CD">
      <w:pPr>
        <w:pStyle w:val="Paragraphedeliste"/>
        <w:numPr>
          <w:ilvl w:val="0"/>
          <w:numId w:val="6"/>
        </w:numPr>
        <w:rPr>
          <w:lang w:val="fr-BE"/>
        </w:rPr>
      </w:pPr>
      <w:proofErr w:type="spellStart"/>
      <w:r>
        <w:rPr>
          <w:lang w:val="fr-BE"/>
        </w:rPr>
        <w:t>Unia</w:t>
      </w:r>
      <w:proofErr w:type="spellEnd"/>
      <w:r>
        <w:rPr>
          <w:lang w:val="fr-BE"/>
        </w:rPr>
        <w:t xml:space="preserve"> rappelle que </w:t>
      </w:r>
      <w:r w:rsidRPr="007355C7">
        <w:rPr>
          <w:b/>
          <w:bCs/>
          <w:lang w:val="fr-BE"/>
        </w:rPr>
        <w:t>les détenus et les personnes internées</w:t>
      </w:r>
      <w:r>
        <w:rPr>
          <w:lang w:val="fr-BE"/>
        </w:rPr>
        <w:t xml:space="preserve"> vivent le confinement de manière inhumaine (restrictions de visites, restrictions de sorties, 23h/24 en cellule). Elles aussi ne doivent pas être oubliées dans la stratégie de campagne de vaccination.</w:t>
      </w:r>
    </w:p>
    <w:p w14:paraId="177AB04C" w14:textId="77777777" w:rsidR="007355C7" w:rsidRPr="007355C7" w:rsidRDefault="007355C7" w:rsidP="007355C7">
      <w:pPr>
        <w:pStyle w:val="Paragraphedeliste"/>
        <w:rPr>
          <w:lang w:val="fr-BE"/>
        </w:rPr>
      </w:pPr>
    </w:p>
    <w:p w14:paraId="415A021F" w14:textId="10488844" w:rsidR="001D55C8" w:rsidRPr="007355C7" w:rsidRDefault="007355C7" w:rsidP="001D55C8">
      <w:pPr>
        <w:pStyle w:val="Paragraphedeliste"/>
        <w:numPr>
          <w:ilvl w:val="0"/>
          <w:numId w:val="6"/>
        </w:numPr>
        <w:spacing w:after="0"/>
        <w:rPr>
          <w:lang w:val="fr-BE"/>
        </w:rPr>
      </w:pPr>
      <w:r w:rsidRPr="007355C7">
        <w:rPr>
          <w:lang w:val="fr-BE"/>
        </w:rPr>
        <w:t>les c</w:t>
      </w:r>
      <w:r w:rsidRPr="007355C7">
        <w:rPr>
          <w:lang/>
        </w:rPr>
        <w:t>ampagne</w:t>
      </w:r>
      <w:r w:rsidRPr="007355C7">
        <w:rPr>
          <w:lang w:val="fr-BE"/>
        </w:rPr>
        <w:t>s</w:t>
      </w:r>
      <w:r w:rsidRPr="007355C7">
        <w:rPr>
          <w:lang/>
        </w:rPr>
        <w:t xml:space="preserve"> de prévention et d’information sur la santé</w:t>
      </w:r>
      <w:r w:rsidRPr="007355C7">
        <w:rPr>
          <w:lang w:val="fr-BE"/>
        </w:rPr>
        <w:t xml:space="preserve"> n’atteignent que très rarement</w:t>
      </w:r>
      <w:r>
        <w:rPr>
          <w:b/>
          <w:bCs/>
          <w:lang w:val="fr-BE"/>
        </w:rPr>
        <w:t xml:space="preserve"> l</w:t>
      </w:r>
      <w:r w:rsidR="001D55C8" w:rsidRPr="007355C7">
        <w:rPr>
          <w:b/>
          <w:bCs/>
          <w:lang w:val="fr-BE"/>
        </w:rPr>
        <w:t xml:space="preserve">es personnes sourdes </w:t>
      </w:r>
      <w:r w:rsidR="001D55C8" w:rsidRPr="007355C7">
        <w:rPr>
          <w:lang w:val="fr-BE"/>
        </w:rPr>
        <w:t>(extrait de « Pour une meilleure accessibilité des hôpitaux aux</w:t>
      </w:r>
      <w:r>
        <w:rPr>
          <w:lang w:val="fr-BE"/>
        </w:rPr>
        <w:t xml:space="preserve"> </w:t>
      </w:r>
      <w:r w:rsidR="001D55C8" w:rsidRPr="007355C7">
        <w:rPr>
          <w:lang w:val="fr-BE"/>
        </w:rPr>
        <w:t xml:space="preserve">personnes malentendantes et sourdes », Rapport d’étude avec recommandations, </w:t>
      </w:r>
      <w:proofErr w:type="spellStart"/>
      <w:r w:rsidR="001D55C8" w:rsidRPr="007355C7">
        <w:rPr>
          <w:lang w:val="fr-BE"/>
        </w:rPr>
        <w:t>Unia</w:t>
      </w:r>
      <w:proofErr w:type="spellEnd"/>
      <w:r w:rsidR="001D55C8" w:rsidRPr="007355C7">
        <w:rPr>
          <w:lang w:val="fr-BE"/>
        </w:rPr>
        <w:t xml:space="preserve">  - Juin 2019)</w:t>
      </w:r>
    </w:p>
    <w:p w14:paraId="01F80387" w14:textId="2605E0A4" w:rsidR="001D55C8" w:rsidRDefault="00D93C7C" w:rsidP="007355C7">
      <w:pPr>
        <w:spacing w:after="0" w:line="276" w:lineRule="auto"/>
        <w:ind w:left="720"/>
        <w:rPr>
          <w:i/>
          <w:iCs/>
          <w:lang w:val="fr-BE"/>
        </w:rPr>
      </w:pPr>
      <w:r w:rsidRPr="007355C7">
        <w:rPr>
          <w:i/>
          <w:iCs/>
          <w:lang w:val="fr-BE"/>
        </w:rPr>
        <w:t xml:space="preserve">Les campagnes existantes sur la santé ne touchent pas beaucoup de personnes sourdes et malentendantes. En effet, les campagnes à la radio ne leur sont pas ou peu accessibles. Les campagnes télévisuelles, quant à elles, les touchent très peu car elles sont rarement sous-titrées et pratiquement jamais traduites en langue des signes. Les folders et brochures d’information sur la santé posent également problème pour les personnes sourdes qui ont des difficultés de lecture. </w:t>
      </w:r>
      <w:r w:rsidR="001D55C8" w:rsidRPr="007355C7">
        <w:rPr>
          <w:i/>
          <w:iCs/>
          <w:lang w:val="fr-BE"/>
        </w:rPr>
        <w:t>Les autorités devraient veiller à ce que les campagnes de prévention et de santé soient accessibles à tous et investir dans des versions en langage «facile à lire et à comprendre», sous-titrées et traduites en langue des signes.</w:t>
      </w:r>
    </w:p>
    <w:p w14:paraId="4A87B703" w14:textId="77777777" w:rsidR="0071533E" w:rsidRPr="0071533E" w:rsidRDefault="0071533E" w:rsidP="007355C7">
      <w:pPr>
        <w:spacing w:after="0" w:line="276" w:lineRule="auto"/>
        <w:ind w:left="720"/>
        <w:rPr>
          <w:lang w:val="fr-BE"/>
        </w:rPr>
      </w:pPr>
    </w:p>
    <w:p w14:paraId="1F3F28DF" w14:textId="0F1EF71A" w:rsidR="00D93C7C" w:rsidRDefault="00D93C7C" w:rsidP="007355C7">
      <w:pPr>
        <w:ind w:left="720"/>
        <w:rPr>
          <w:i/>
          <w:iCs/>
          <w:lang w:val="fr-BE"/>
        </w:rPr>
      </w:pPr>
      <w:r w:rsidRPr="007355C7">
        <w:rPr>
          <w:i/>
          <w:iCs/>
          <w:lang w:val="fr-BE"/>
        </w:rPr>
        <w:lastRenderedPageBreak/>
        <w:t>Les personnes sourdes et malentendantes sembleraient davantage atteignables par le biais de campagnes en ligne et des médias sociaux. Les personnes sourdes seraient également informées des campagnes de prévention par l'intermédiaire de leur médecin généraliste, des personnes de leur entourage et des associations des personnes sourdes.</w:t>
      </w:r>
    </w:p>
    <w:p w14:paraId="31FA4859" w14:textId="6BB972E7" w:rsidR="00621314" w:rsidRPr="00621314" w:rsidRDefault="00F355A5" w:rsidP="007355C7">
      <w:pPr>
        <w:ind w:left="720"/>
        <w:rPr>
          <w:lang w:val="fr-BE"/>
        </w:rPr>
      </w:pPr>
      <w:hyperlink r:id="rId10" w:history="1">
        <w:r w:rsidR="00621314" w:rsidRPr="00621314">
          <w:rPr>
            <w:color w:val="0000FF"/>
            <w:u w:val="single"/>
          </w:rPr>
          <w:t>Rapport d'étude et recommandations: pour une meilleure accessibilité des hôpitaux aux personnes malentendantes et sourdes | Unia</w:t>
        </w:r>
      </w:hyperlink>
    </w:p>
    <w:sectPr w:rsidR="00621314" w:rsidRPr="00621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3E2E"/>
    <w:multiLevelType w:val="hybridMultilevel"/>
    <w:tmpl w:val="C916EE7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13F40E0"/>
    <w:multiLevelType w:val="hybridMultilevel"/>
    <w:tmpl w:val="906CE7B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9AA433B"/>
    <w:multiLevelType w:val="hybridMultilevel"/>
    <w:tmpl w:val="F9DE6DFC"/>
    <w:lvl w:ilvl="0" w:tplc="0E58C9BA">
      <w:start w:val="1"/>
      <w:numFmt w:val="decimal"/>
      <w:lvlText w:val="%1."/>
      <w:lvlJc w:val="left"/>
      <w:pPr>
        <w:ind w:left="2124" w:hanging="360"/>
      </w:pPr>
    </w:lvl>
    <w:lvl w:ilvl="1" w:tplc="6F047E62">
      <w:start w:val="1"/>
      <w:numFmt w:val="lowerLetter"/>
      <w:lvlText w:val="%2."/>
      <w:lvlJc w:val="left"/>
      <w:pPr>
        <w:ind w:left="2844" w:hanging="360"/>
      </w:pPr>
    </w:lvl>
    <w:lvl w:ilvl="2" w:tplc="E1868884">
      <w:start w:val="1"/>
      <w:numFmt w:val="lowerRoman"/>
      <w:lvlText w:val="%3."/>
      <w:lvlJc w:val="right"/>
      <w:pPr>
        <w:ind w:left="3564" w:hanging="180"/>
      </w:pPr>
    </w:lvl>
    <w:lvl w:ilvl="3" w:tplc="B94C280A">
      <w:start w:val="1"/>
      <w:numFmt w:val="decimal"/>
      <w:lvlText w:val="%4."/>
      <w:lvlJc w:val="left"/>
      <w:pPr>
        <w:ind w:left="4284" w:hanging="360"/>
      </w:pPr>
    </w:lvl>
    <w:lvl w:ilvl="4" w:tplc="6D8CFA6C">
      <w:start w:val="1"/>
      <w:numFmt w:val="lowerLetter"/>
      <w:lvlText w:val="%5."/>
      <w:lvlJc w:val="left"/>
      <w:pPr>
        <w:ind w:left="5004" w:hanging="360"/>
      </w:pPr>
    </w:lvl>
    <w:lvl w:ilvl="5" w:tplc="B8506A18">
      <w:start w:val="1"/>
      <w:numFmt w:val="lowerRoman"/>
      <w:lvlText w:val="%6."/>
      <w:lvlJc w:val="right"/>
      <w:pPr>
        <w:ind w:left="5724" w:hanging="180"/>
      </w:pPr>
    </w:lvl>
    <w:lvl w:ilvl="6" w:tplc="9F249A28">
      <w:start w:val="1"/>
      <w:numFmt w:val="decimal"/>
      <w:lvlText w:val="%7."/>
      <w:lvlJc w:val="left"/>
      <w:pPr>
        <w:ind w:left="6444" w:hanging="360"/>
      </w:pPr>
    </w:lvl>
    <w:lvl w:ilvl="7" w:tplc="8940ECBE">
      <w:start w:val="1"/>
      <w:numFmt w:val="lowerLetter"/>
      <w:lvlText w:val="%8."/>
      <w:lvlJc w:val="left"/>
      <w:pPr>
        <w:ind w:left="7164" w:hanging="360"/>
      </w:pPr>
    </w:lvl>
    <w:lvl w:ilvl="8" w:tplc="C85E7A74">
      <w:start w:val="1"/>
      <w:numFmt w:val="lowerRoman"/>
      <w:lvlText w:val="%9."/>
      <w:lvlJc w:val="right"/>
      <w:pPr>
        <w:ind w:left="7884" w:hanging="180"/>
      </w:pPr>
    </w:lvl>
  </w:abstractNum>
  <w:abstractNum w:abstractNumId="3" w15:restartNumberingAfterBreak="0">
    <w:nsid w:val="2A7C03BF"/>
    <w:multiLevelType w:val="hybridMultilevel"/>
    <w:tmpl w:val="299A788C"/>
    <w:lvl w:ilvl="0" w:tplc="19A8A47E">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E0C1718"/>
    <w:multiLevelType w:val="hybridMultilevel"/>
    <w:tmpl w:val="74B24E32"/>
    <w:lvl w:ilvl="0" w:tplc="3290095A">
      <w:start w:val="1"/>
      <w:numFmt w:val="bullet"/>
      <w:lvlText w:val=""/>
      <w:lvlJc w:val="left"/>
      <w:pPr>
        <w:ind w:left="2844" w:hanging="360"/>
      </w:pPr>
      <w:rPr>
        <w:rFonts w:ascii="Symbol" w:hAnsi="Symbol" w:hint="default"/>
      </w:rPr>
    </w:lvl>
    <w:lvl w:ilvl="1" w:tplc="33AEF49E">
      <w:start w:val="1"/>
      <w:numFmt w:val="bullet"/>
      <w:lvlText w:val="o"/>
      <w:lvlJc w:val="left"/>
      <w:pPr>
        <w:ind w:left="3564" w:hanging="360"/>
      </w:pPr>
      <w:rPr>
        <w:rFonts w:ascii="Courier New" w:hAnsi="Courier New" w:hint="default"/>
      </w:rPr>
    </w:lvl>
    <w:lvl w:ilvl="2" w:tplc="D76E5282">
      <w:start w:val="1"/>
      <w:numFmt w:val="bullet"/>
      <w:lvlText w:val=""/>
      <w:lvlJc w:val="left"/>
      <w:pPr>
        <w:ind w:left="4284" w:hanging="360"/>
      </w:pPr>
      <w:rPr>
        <w:rFonts w:ascii="Wingdings" w:hAnsi="Wingdings" w:hint="default"/>
      </w:rPr>
    </w:lvl>
    <w:lvl w:ilvl="3" w:tplc="B144FAAA">
      <w:start w:val="1"/>
      <w:numFmt w:val="bullet"/>
      <w:lvlText w:val=""/>
      <w:lvlJc w:val="left"/>
      <w:pPr>
        <w:ind w:left="5004" w:hanging="360"/>
      </w:pPr>
      <w:rPr>
        <w:rFonts w:ascii="Symbol" w:hAnsi="Symbol" w:hint="default"/>
      </w:rPr>
    </w:lvl>
    <w:lvl w:ilvl="4" w:tplc="F4B4504A">
      <w:start w:val="1"/>
      <w:numFmt w:val="bullet"/>
      <w:lvlText w:val="o"/>
      <w:lvlJc w:val="left"/>
      <w:pPr>
        <w:ind w:left="5724" w:hanging="360"/>
      </w:pPr>
      <w:rPr>
        <w:rFonts w:ascii="Courier New" w:hAnsi="Courier New" w:hint="default"/>
      </w:rPr>
    </w:lvl>
    <w:lvl w:ilvl="5" w:tplc="B7167302">
      <w:start w:val="1"/>
      <w:numFmt w:val="bullet"/>
      <w:lvlText w:val=""/>
      <w:lvlJc w:val="left"/>
      <w:pPr>
        <w:ind w:left="6444" w:hanging="360"/>
      </w:pPr>
      <w:rPr>
        <w:rFonts w:ascii="Wingdings" w:hAnsi="Wingdings" w:hint="default"/>
      </w:rPr>
    </w:lvl>
    <w:lvl w:ilvl="6" w:tplc="7480EEAC">
      <w:start w:val="1"/>
      <w:numFmt w:val="bullet"/>
      <w:lvlText w:val=""/>
      <w:lvlJc w:val="left"/>
      <w:pPr>
        <w:ind w:left="7164" w:hanging="360"/>
      </w:pPr>
      <w:rPr>
        <w:rFonts w:ascii="Symbol" w:hAnsi="Symbol" w:hint="default"/>
      </w:rPr>
    </w:lvl>
    <w:lvl w:ilvl="7" w:tplc="CD20E028">
      <w:start w:val="1"/>
      <w:numFmt w:val="bullet"/>
      <w:lvlText w:val="o"/>
      <w:lvlJc w:val="left"/>
      <w:pPr>
        <w:ind w:left="7884" w:hanging="360"/>
      </w:pPr>
      <w:rPr>
        <w:rFonts w:ascii="Courier New" w:hAnsi="Courier New" w:hint="default"/>
      </w:rPr>
    </w:lvl>
    <w:lvl w:ilvl="8" w:tplc="1C8C801C">
      <w:start w:val="1"/>
      <w:numFmt w:val="bullet"/>
      <w:lvlText w:val=""/>
      <w:lvlJc w:val="left"/>
      <w:pPr>
        <w:ind w:left="8604" w:hanging="360"/>
      </w:pPr>
      <w:rPr>
        <w:rFonts w:ascii="Wingdings" w:hAnsi="Wingdings" w:hint="default"/>
      </w:rPr>
    </w:lvl>
  </w:abstractNum>
  <w:abstractNum w:abstractNumId="5" w15:restartNumberingAfterBreak="0">
    <w:nsid w:val="68C87EC5"/>
    <w:multiLevelType w:val="hybridMultilevel"/>
    <w:tmpl w:val="FC6C6CBA"/>
    <w:lvl w:ilvl="0" w:tplc="FEEEB694">
      <w:start w:val="1"/>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B86"/>
    <w:rsid w:val="001D3965"/>
    <w:rsid w:val="001D55C8"/>
    <w:rsid w:val="00205B86"/>
    <w:rsid w:val="00426240"/>
    <w:rsid w:val="0049558E"/>
    <w:rsid w:val="00621314"/>
    <w:rsid w:val="006E5393"/>
    <w:rsid w:val="0071533E"/>
    <w:rsid w:val="007355C7"/>
    <w:rsid w:val="007607CD"/>
    <w:rsid w:val="008C2A50"/>
    <w:rsid w:val="00BB5E01"/>
    <w:rsid w:val="00D93C7C"/>
    <w:rsid w:val="00F85D1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5DE9"/>
  <w15:chartTrackingRefBased/>
  <w15:docId w15:val="{4D1A5BD4-5203-47DA-A102-EDAA86BD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355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5B86"/>
    <w:pPr>
      <w:ind w:left="720"/>
      <w:contextualSpacing/>
    </w:pPr>
    <w:rPr>
      <w:lang w:val="nl-BE"/>
    </w:rPr>
  </w:style>
  <w:style w:type="character" w:styleId="Lienhypertexte">
    <w:name w:val="Hyperlink"/>
    <w:basedOn w:val="Policepardfaut"/>
    <w:uiPriority w:val="99"/>
    <w:unhideWhenUsed/>
    <w:rsid w:val="00205B86"/>
    <w:rPr>
      <w:color w:val="0563C1" w:themeColor="hyperlink"/>
      <w:u w:val="single"/>
    </w:rPr>
  </w:style>
  <w:style w:type="paragraph" w:styleId="Sansinterligne">
    <w:name w:val="No Spacing"/>
    <w:uiPriority w:val="1"/>
    <w:qFormat/>
    <w:rsid w:val="00205B86"/>
    <w:pPr>
      <w:spacing w:after="0" w:line="240" w:lineRule="auto"/>
    </w:pPr>
    <w:rPr>
      <w:lang w:val="fr-BE"/>
    </w:rPr>
  </w:style>
  <w:style w:type="character" w:customStyle="1" w:styleId="Titre1Car">
    <w:name w:val="Titre 1 Car"/>
    <w:basedOn w:val="Policepardfaut"/>
    <w:link w:val="Titre1"/>
    <w:uiPriority w:val="9"/>
    <w:rsid w:val="007355C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unia.be/fr/legislation-et-recommandations/recommandations-dunia/rapport-detude-accessibilite-hopitaux" TargetMode="External"/><Relationship Id="rId4" Type="http://schemas.openxmlformats.org/officeDocument/2006/relationships/numbering" Target="numbering.xml"/><Relationship Id="rId9" Type="http://schemas.openxmlformats.org/officeDocument/2006/relationships/hyperlink" Target="https://www.luttepauvrete.be/avis-vaccination-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9D33DFE71AE498F3F701594AD34AD" ma:contentTypeVersion="11" ma:contentTypeDescription="Create a new document." ma:contentTypeScope="" ma:versionID="58a4659474fb03b9b8ddcca5dbcc744c">
  <xsd:schema xmlns:xsd="http://www.w3.org/2001/XMLSchema" xmlns:xs="http://www.w3.org/2001/XMLSchema" xmlns:p="http://schemas.microsoft.com/office/2006/metadata/properties" xmlns:ns2="2040a730-da1a-40a0-a1eb-38424c14c60d" xmlns:ns3="69a26fba-1af1-4028-91bb-a61aed73c4e8" targetNamespace="http://schemas.microsoft.com/office/2006/metadata/properties" ma:root="true" ma:fieldsID="be0f8a61fcc9008b8d8d2d5973751f11" ns2:_="" ns3:_="">
    <xsd:import namespace="2040a730-da1a-40a0-a1eb-38424c14c60d"/>
    <xsd:import namespace="69a26fba-1af1-4028-91bb-a61aed73c4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0a730-da1a-40a0-a1eb-38424c14c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a26fba-1af1-4028-91bb-a61aed73c4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07E00916-35C7-429F-BD26-2049AD21AD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3A20CF-B178-4380-90B0-AA8749710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0a730-da1a-40a0-a1eb-38424c14c60d"/>
    <ds:schemaRef ds:uri="69a26fba-1af1-4028-91bb-a61aed73c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EB3340-B8E0-47C7-8872-155F31250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2789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Ghesquière</dc:creator>
  <cp:keywords/>
  <dc:description/>
  <cp:lastModifiedBy>Amato Marie-Sabine</cp:lastModifiedBy>
  <cp:revision>2</cp:revision>
  <dcterms:created xsi:type="dcterms:W3CDTF">2021-01-06T17:01:00Z</dcterms:created>
  <dcterms:modified xsi:type="dcterms:W3CDTF">2021-01-06T17:01:00Z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0x010100F6D9D33DFE71AE498F3F701594AD34AD</vt:lpwstr>
  </property>
</Properties>
</file>