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79" w:rsidRPr="00ED549B" w:rsidRDefault="003C05B2">
      <w:pPr>
        <w:spacing w:after="720"/>
        <w:ind w:left="4320"/>
        <w:rPr>
          <w:rFonts w:ascii="Gill Sans MT" w:hAnsi="Gill Sans MT"/>
          <w:lang w:val="fr-BE"/>
        </w:rPr>
      </w:pPr>
      <w:r w:rsidRPr="00ED549B">
        <w:rPr>
          <w:rFonts w:ascii="Gill Sans MT" w:hAnsi="Gill Sans MT"/>
          <w:noProof/>
          <w:sz w:val="20"/>
          <w:lang w:val="fr-BE" w:eastAsia="fr-BE"/>
        </w:rPr>
        <mc:AlternateContent>
          <mc:Choice Requires="wps">
            <w:drawing>
              <wp:anchor distT="0" distB="0" distL="114300" distR="114300" simplePos="0" relativeHeight="251658752" behindDoc="0" locked="1" layoutInCell="1" allowOverlap="1">
                <wp:simplePos x="0" y="0"/>
                <wp:positionH relativeFrom="page">
                  <wp:posOffset>796925</wp:posOffset>
                </wp:positionH>
                <wp:positionV relativeFrom="page">
                  <wp:posOffset>166370</wp:posOffset>
                </wp:positionV>
                <wp:extent cx="3140710" cy="24650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579" w:rsidRPr="00720EC2" w:rsidRDefault="003C05B2" w:rsidP="00BF4C24">
                            <w:pPr>
                              <w:pStyle w:val="Header"/>
                              <w:tabs>
                                <w:tab w:val="clear" w:pos="4536"/>
                                <w:tab w:val="clear" w:pos="9072"/>
                              </w:tabs>
                              <w:rPr>
                                <w:rFonts w:ascii="Gill Sans MT" w:hAnsi="Gill Sans MT"/>
                              </w:rPr>
                            </w:pPr>
                            <w:r w:rsidRPr="00720EC2">
                              <w:rPr>
                                <w:rFonts w:ascii="Gill Sans MT" w:hAnsi="Gill Sans MT"/>
                                <w:noProof/>
                                <w:lang w:val="fr-BE" w:eastAsia="fr-BE"/>
                              </w:rPr>
                              <w:drawing>
                                <wp:inline distT="0" distB="0" distL="0" distR="0">
                                  <wp:extent cx="2247900" cy="1238250"/>
                                  <wp:effectExtent l="0" t="0" r="0" b="0"/>
                                  <wp:docPr id="1" name="Pictur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D420CB" w:rsidRPr="00720EC2" w:rsidRDefault="00D420CB" w:rsidP="00BF4C24">
                            <w:pPr>
                              <w:pStyle w:val="Header"/>
                              <w:tabs>
                                <w:tab w:val="clear" w:pos="4536"/>
                                <w:tab w:val="clear" w:pos="9072"/>
                              </w:tabs>
                              <w:rPr>
                                <w:rFonts w:ascii="Gill Sans MT" w:hAnsi="Gill Sans MT"/>
                              </w:rPr>
                            </w:pPr>
                          </w:p>
                          <w:p w:rsidR="00D420CB" w:rsidRPr="00720EC2" w:rsidRDefault="00D420CB" w:rsidP="00BF4C24">
                            <w:pPr>
                              <w:pStyle w:val="Header"/>
                              <w:tabs>
                                <w:tab w:val="clear" w:pos="4536"/>
                                <w:tab w:val="clear" w:pos="9072"/>
                              </w:tabs>
                              <w:rPr>
                                <w:rFonts w:ascii="Gill Sans MT" w:hAnsi="Gill Sans MT"/>
                              </w:rPr>
                            </w:pPr>
                          </w:p>
                          <w:p w:rsidR="00D420CB" w:rsidRPr="00720EC2" w:rsidRDefault="00D420CB" w:rsidP="00BF4C24">
                            <w:pPr>
                              <w:pStyle w:val="Header"/>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D420CB" w:rsidRPr="00720EC2" w:rsidRDefault="00D420CB" w:rsidP="00BF4C24">
                            <w:pPr>
                              <w:pStyle w:val="Header"/>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8" w:history="1">
                              <w:r w:rsidRPr="00720EC2">
                                <w:rPr>
                                  <w:rStyle w:val="Hyperlink"/>
                                  <w:rFonts w:ascii="Gill Sans MT" w:hAnsi="Gill Sans MT"/>
                                  <w:b/>
                                  <w:i/>
                                  <w:color w:val="F9D73F"/>
                                  <w:sz w:val="16"/>
                                  <w:szCs w:val="16"/>
                                  <w:lang w:val="nl-BE"/>
                                </w:rPr>
                                <w:t>vraag@mi-is.be</w:t>
                              </w:r>
                            </w:hyperlink>
                          </w:p>
                          <w:p w:rsidR="00D420CB" w:rsidRPr="00720EC2" w:rsidRDefault="00D420CB" w:rsidP="00BF4C24">
                            <w:pPr>
                              <w:pStyle w:val="Header"/>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rsidR="00D420CB" w:rsidRPr="00720EC2" w:rsidRDefault="00D420CB" w:rsidP="00BF4C24">
                            <w:pPr>
                              <w:pStyle w:val="Header"/>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9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ms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j/lgJrMCAAC6&#10;BQAADgAAAAAAAAAAAAAAAAAuAgAAZHJzL2Uyb0RvYy54bWxQSwECLQAUAAYACAAAACEAR4VQ8+EA&#10;AAAKAQAADwAAAAAAAAAAAAAAAAANBQAAZHJzL2Rvd25yZXYueG1sUEsFBgAAAAAEAAQA8wAAABsG&#10;AAAAAA==&#10;" filled="f" stroked="f">
                <v:textbox inset="1.13pt,1.13pt,1.13pt,1.13pt">
                  <w:txbxContent>
                    <w:p w:rsidR="00FC6579" w:rsidRPr="00720EC2" w:rsidRDefault="003C05B2" w:rsidP="00BF4C24">
                      <w:pPr>
                        <w:pStyle w:val="Header"/>
                        <w:tabs>
                          <w:tab w:val="clear" w:pos="4536"/>
                          <w:tab w:val="clear" w:pos="9072"/>
                        </w:tabs>
                        <w:rPr>
                          <w:rFonts w:ascii="Gill Sans MT" w:hAnsi="Gill Sans MT"/>
                        </w:rPr>
                      </w:pPr>
                      <w:r w:rsidRPr="00720EC2">
                        <w:rPr>
                          <w:rFonts w:ascii="Gill Sans MT" w:hAnsi="Gill Sans MT"/>
                          <w:noProof/>
                          <w:lang w:val="en-US"/>
                        </w:rPr>
                        <w:drawing>
                          <wp:inline distT="0" distB="0" distL="0" distR="0">
                            <wp:extent cx="2247900" cy="1238250"/>
                            <wp:effectExtent l="0" t="0" r="0" b="0"/>
                            <wp:docPr id="1" name="Pictur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D420CB" w:rsidRPr="00720EC2" w:rsidRDefault="00D420CB" w:rsidP="00BF4C24">
                      <w:pPr>
                        <w:pStyle w:val="Header"/>
                        <w:tabs>
                          <w:tab w:val="clear" w:pos="4536"/>
                          <w:tab w:val="clear" w:pos="9072"/>
                        </w:tabs>
                        <w:rPr>
                          <w:rFonts w:ascii="Gill Sans MT" w:hAnsi="Gill Sans MT"/>
                        </w:rPr>
                      </w:pPr>
                    </w:p>
                    <w:p w:rsidR="00D420CB" w:rsidRPr="00720EC2" w:rsidRDefault="00D420CB" w:rsidP="00BF4C24">
                      <w:pPr>
                        <w:pStyle w:val="Header"/>
                        <w:tabs>
                          <w:tab w:val="clear" w:pos="4536"/>
                          <w:tab w:val="clear" w:pos="9072"/>
                        </w:tabs>
                        <w:rPr>
                          <w:rFonts w:ascii="Gill Sans MT" w:hAnsi="Gill Sans MT"/>
                        </w:rPr>
                      </w:pPr>
                    </w:p>
                    <w:p w:rsidR="00D420CB" w:rsidRPr="00720EC2" w:rsidRDefault="00D420CB" w:rsidP="00BF4C24">
                      <w:pPr>
                        <w:pStyle w:val="Header"/>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D420CB" w:rsidRPr="00720EC2" w:rsidRDefault="00D420CB" w:rsidP="00BF4C24">
                      <w:pPr>
                        <w:pStyle w:val="Header"/>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0" w:history="1">
                        <w:r w:rsidRPr="00720EC2">
                          <w:rPr>
                            <w:rStyle w:val="Hyperlink"/>
                            <w:rFonts w:ascii="Gill Sans MT" w:hAnsi="Gill Sans MT"/>
                            <w:b/>
                            <w:i/>
                            <w:color w:val="F9D73F"/>
                            <w:sz w:val="16"/>
                            <w:szCs w:val="16"/>
                            <w:lang w:val="nl-BE"/>
                          </w:rPr>
                          <w:t>vraag@mi-is.be</w:t>
                        </w:r>
                      </w:hyperlink>
                    </w:p>
                    <w:p w:rsidR="00D420CB" w:rsidRPr="00720EC2" w:rsidRDefault="00D420CB" w:rsidP="00BF4C24">
                      <w:pPr>
                        <w:pStyle w:val="Header"/>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rsidR="00D420CB" w:rsidRPr="00720EC2" w:rsidRDefault="00D420CB" w:rsidP="00BF4C24">
                      <w:pPr>
                        <w:pStyle w:val="Header"/>
                        <w:tabs>
                          <w:tab w:val="clear" w:pos="4536"/>
                          <w:tab w:val="clear" w:pos="9072"/>
                        </w:tabs>
                        <w:rPr>
                          <w:rFonts w:ascii="Gill Sans MT" w:hAnsi="Gill Sans MT"/>
                          <w:lang w:val="nl-BE"/>
                        </w:rPr>
                      </w:pPr>
                    </w:p>
                  </w:txbxContent>
                </v:textbox>
                <w10:wrap anchorx="page" anchory="page"/>
                <w10:anchorlock/>
              </v:shape>
            </w:pict>
          </mc:Fallback>
        </mc:AlternateContent>
      </w:r>
      <w:r w:rsidRPr="00ED549B">
        <w:rPr>
          <w:rFonts w:ascii="Gill Sans MT" w:hAnsi="Gill Sans MT"/>
          <w:noProof/>
          <w:sz w:val="20"/>
          <w:lang w:val="fr-BE" w:eastAsia="fr-BE"/>
        </w:rPr>
        <mc:AlternateContent>
          <mc:Choice Requires="wps">
            <w:drawing>
              <wp:anchor distT="0" distB="0" distL="114300" distR="114300" simplePos="0" relativeHeight="251657728" behindDoc="0" locked="1" layoutInCell="1" allowOverlap="1">
                <wp:simplePos x="0" y="0"/>
                <wp:positionH relativeFrom="page">
                  <wp:posOffset>89535</wp:posOffset>
                </wp:positionH>
                <wp:positionV relativeFrom="page">
                  <wp:posOffset>9977755</wp:posOffset>
                </wp:positionV>
                <wp:extent cx="7405370" cy="5816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3C3F17" w:rsidRPr="007459CE">
                              <w:trPr>
                                <w:cantSplit/>
                                <w:trHeight w:val="705"/>
                              </w:trPr>
                              <w:tc>
                                <w:tcPr>
                                  <w:tcW w:w="7938" w:type="dxa"/>
                                </w:tcPr>
                                <w:p w:rsidR="003C3F17" w:rsidRPr="007459CE" w:rsidRDefault="003C3F17"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3C3F17" w:rsidRPr="007459CE" w:rsidRDefault="00456022" w:rsidP="007459CE">
                                  <w:pPr>
                                    <w:rPr>
                                      <w:rFonts w:ascii="Gill Sans MT" w:hAnsi="Gill Sans MT"/>
                                      <w:sz w:val="16"/>
                                      <w:szCs w:val="16"/>
                                      <w:lang w:val="nl-BE"/>
                                    </w:rPr>
                                  </w:pPr>
                                  <w:r>
                                    <w:rPr>
                                      <w:rFonts w:ascii="Gill Sans MT" w:hAnsi="Gill Sans MT"/>
                                      <w:sz w:val="16"/>
                                      <w:szCs w:val="16"/>
                                      <w:lang w:val="nl-BE"/>
                                    </w:rPr>
                                    <w:t>Koning Albert II – laan 30 -</w:t>
                                  </w:r>
                                  <w:r w:rsidR="003C3F17" w:rsidRPr="007459CE">
                                    <w:rPr>
                                      <w:rFonts w:ascii="Gill Sans MT" w:hAnsi="Gill Sans MT"/>
                                      <w:sz w:val="16"/>
                                      <w:szCs w:val="16"/>
                                      <w:lang w:val="nl-BE"/>
                                    </w:rPr>
                                    <w:t xml:space="preserve"> B1000 Brussel </w:t>
                                  </w:r>
                                  <w:r w:rsidR="003C3F17" w:rsidRPr="007459CE">
                                    <w:rPr>
                                      <w:rFonts w:ascii="Gill Sans MT" w:hAnsi="Gill Sans MT"/>
                                      <w:color w:val="F9D73F"/>
                                      <w:sz w:val="16"/>
                                      <w:szCs w:val="16"/>
                                      <w:lang w:val="nl-BE"/>
                                    </w:rPr>
                                    <w:t xml:space="preserve">– </w:t>
                                  </w:r>
                                  <w:hyperlink r:id="rId11" w:history="1">
                                    <w:r w:rsidR="003C3F17" w:rsidRPr="007459CE">
                                      <w:rPr>
                                        <w:rStyle w:val="Hyperlink"/>
                                        <w:rFonts w:ascii="Gill Sans MT" w:hAnsi="Gill Sans MT"/>
                                        <w:color w:val="F9D73F"/>
                                        <w:sz w:val="16"/>
                                        <w:szCs w:val="16"/>
                                        <w:lang w:val="nl-BE"/>
                                      </w:rPr>
                                      <w:t>http://www.mi-is.be</w:t>
                                    </w:r>
                                  </w:hyperlink>
                                  <w:r>
                                    <w:rPr>
                                      <w:rFonts w:ascii="Gill Sans MT" w:hAnsi="Gill Sans MT"/>
                                      <w:color w:val="F9D73F"/>
                                      <w:sz w:val="16"/>
                                      <w:szCs w:val="16"/>
                                      <w:lang w:val="nl-BE"/>
                                    </w:rPr>
                                    <w:br/>
                                  </w:r>
                                  <w:r w:rsidR="003C3F17" w:rsidRPr="007459CE">
                                    <w:rPr>
                                      <w:rFonts w:ascii="Gill Sans MT" w:hAnsi="Gill Sans MT"/>
                                      <w:sz w:val="16"/>
                                      <w:szCs w:val="16"/>
                                      <w:lang w:val="nl-BE"/>
                                    </w:rPr>
                                    <w:t xml:space="preserve">tel +32 2 508 85 85 – fax +32 2 508 85 10 – </w:t>
                                  </w:r>
                                  <w:r w:rsidR="003C3F17" w:rsidRPr="007459CE">
                                    <w:rPr>
                                      <w:rFonts w:ascii="Gill Sans MT" w:hAnsi="Gill Sans MT"/>
                                      <w:color w:val="F9D73F"/>
                                      <w:sz w:val="16"/>
                                      <w:szCs w:val="16"/>
                                      <w:lang w:val="nl-BE"/>
                                    </w:rPr>
                                    <w:t>vraag@mi-is.be</w:t>
                                  </w:r>
                                </w:p>
                              </w:tc>
                              <w:tc>
                                <w:tcPr>
                                  <w:tcW w:w="2977" w:type="dxa"/>
                                </w:tcPr>
                                <w:p w:rsidR="003C3F17" w:rsidRPr="007459CE" w:rsidRDefault="003C05B2">
                                  <w:pPr>
                                    <w:jc w:val="right"/>
                                    <w:rPr>
                                      <w:rFonts w:ascii="Gill Sans MT" w:hAnsi="Gill Sans MT"/>
                                      <w:sz w:val="20"/>
                                      <w:lang w:val="nl-BE"/>
                                    </w:rPr>
                                  </w:pPr>
                                  <w:r w:rsidRPr="003C3F17">
                                    <w:rPr>
                                      <w:rFonts w:ascii="Gill Sans MT" w:hAnsi="Gill Sans MT"/>
                                      <w:noProof/>
                                      <w:sz w:val="20"/>
                                      <w:lang w:val="fr-BE" w:eastAsia="fr-BE"/>
                                    </w:rPr>
                                    <w:drawing>
                                      <wp:inline distT="0" distB="0" distL="0" distR="0">
                                        <wp:extent cx="1800225" cy="295275"/>
                                        <wp:effectExtent l="0" t="0" r="9525" b="9525"/>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FC6579" w:rsidRPr="007459CE" w:rsidRDefault="00FC6579">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Ga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LiawZq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3C3F17" w:rsidRPr="007459CE">
                        <w:trPr>
                          <w:cantSplit/>
                          <w:trHeight w:val="705"/>
                        </w:trPr>
                        <w:tc>
                          <w:tcPr>
                            <w:tcW w:w="7938" w:type="dxa"/>
                          </w:tcPr>
                          <w:p w:rsidR="003C3F17" w:rsidRPr="007459CE" w:rsidRDefault="003C3F17"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3C3F17" w:rsidRPr="007459CE" w:rsidRDefault="00456022" w:rsidP="007459CE">
                            <w:pPr>
                              <w:rPr>
                                <w:rFonts w:ascii="Gill Sans MT" w:hAnsi="Gill Sans MT"/>
                                <w:sz w:val="16"/>
                                <w:szCs w:val="16"/>
                                <w:lang w:val="nl-BE"/>
                              </w:rPr>
                            </w:pPr>
                            <w:r>
                              <w:rPr>
                                <w:rFonts w:ascii="Gill Sans MT" w:hAnsi="Gill Sans MT"/>
                                <w:sz w:val="16"/>
                                <w:szCs w:val="16"/>
                                <w:lang w:val="nl-BE"/>
                              </w:rPr>
                              <w:t>Koning Albert II – laan 30 -</w:t>
                            </w:r>
                            <w:r w:rsidR="003C3F17" w:rsidRPr="007459CE">
                              <w:rPr>
                                <w:rFonts w:ascii="Gill Sans MT" w:hAnsi="Gill Sans MT"/>
                                <w:sz w:val="16"/>
                                <w:szCs w:val="16"/>
                                <w:lang w:val="nl-BE"/>
                              </w:rPr>
                              <w:t xml:space="preserve"> B1000 Brussel </w:t>
                            </w:r>
                            <w:r w:rsidR="003C3F17" w:rsidRPr="007459CE">
                              <w:rPr>
                                <w:rFonts w:ascii="Gill Sans MT" w:hAnsi="Gill Sans MT"/>
                                <w:color w:val="F9D73F"/>
                                <w:sz w:val="16"/>
                                <w:szCs w:val="16"/>
                                <w:lang w:val="nl-BE"/>
                              </w:rPr>
                              <w:t xml:space="preserve">– </w:t>
                            </w:r>
                            <w:hyperlink r:id="rId13" w:history="1">
                              <w:r w:rsidR="003C3F17" w:rsidRPr="007459CE">
                                <w:rPr>
                                  <w:rStyle w:val="Hyperlink"/>
                                  <w:rFonts w:ascii="Gill Sans MT" w:hAnsi="Gill Sans MT"/>
                                  <w:color w:val="F9D73F"/>
                                  <w:sz w:val="16"/>
                                  <w:szCs w:val="16"/>
                                  <w:lang w:val="nl-BE"/>
                                </w:rPr>
                                <w:t>http://www.mi-is.be</w:t>
                              </w:r>
                            </w:hyperlink>
                            <w:r>
                              <w:rPr>
                                <w:rFonts w:ascii="Gill Sans MT" w:hAnsi="Gill Sans MT"/>
                                <w:color w:val="F9D73F"/>
                                <w:sz w:val="16"/>
                                <w:szCs w:val="16"/>
                                <w:lang w:val="nl-BE"/>
                              </w:rPr>
                              <w:br/>
                            </w:r>
                            <w:r w:rsidR="003C3F17" w:rsidRPr="007459CE">
                              <w:rPr>
                                <w:rFonts w:ascii="Gill Sans MT" w:hAnsi="Gill Sans MT"/>
                                <w:sz w:val="16"/>
                                <w:szCs w:val="16"/>
                                <w:lang w:val="nl-BE"/>
                              </w:rPr>
                              <w:t xml:space="preserve">tel +32 2 508 85 85 – fax +32 2 508 85 10 – </w:t>
                            </w:r>
                            <w:r w:rsidR="003C3F17" w:rsidRPr="007459CE">
                              <w:rPr>
                                <w:rFonts w:ascii="Gill Sans MT" w:hAnsi="Gill Sans MT"/>
                                <w:color w:val="F9D73F"/>
                                <w:sz w:val="16"/>
                                <w:szCs w:val="16"/>
                                <w:lang w:val="nl-BE"/>
                              </w:rPr>
                              <w:t>vraag@mi-is.be</w:t>
                            </w:r>
                          </w:p>
                        </w:tc>
                        <w:tc>
                          <w:tcPr>
                            <w:tcW w:w="2977" w:type="dxa"/>
                          </w:tcPr>
                          <w:p w:rsidR="003C3F17" w:rsidRPr="007459CE" w:rsidRDefault="003C05B2">
                            <w:pPr>
                              <w:jc w:val="right"/>
                              <w:rPr>
                                <w:rFonts w:ascii="Gill Sans MT" w:hAnsi="Gill Sans MT"/>
                                <w:sz w:val="20"/>
                                <w:lang w:val="nl-BE"/>
                              </w:rPr>
                            </w:pPr>
                            <w:r w:rsidRPr="003C3F17">
                              <w:rPr>
                                <w:rFonts w:ascii="Gill Sans MT" w:hAnsi="Gill Sans MT"/>
                                <w:noProof/>
                                <w:sz w:val="20"/>
                                <w:lang w:val="fr-BE" w:eastAsia="fr-BE"/>
                              </w:rPr>
                              <w:drawing>
                                <wp:inline distT="0" distB="0" distL="0" distR="0">
                                  <wp:extent cx="1800225" cy="295275"/>
                                  <wp:effectExtent l="0" t="0" r="9525" b="9525"/>
                                  <wp:docPr id="2" name="Pictur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FC6579" w:rsidRPr="007459CE" w:rsidRDefault="00FC6579">
                      <w:pPr>
                        <w:rPr>
                          <w:rFonts w:ascii="Gill Sans MT" w:hAnsi="Gill Sans MT"/>
                          <w:sz w:val="20"/>
                          <w:lang w:val="nl-BE"/>
                        </w:rPr>
                      </w:pPr>
                    </w:p>
                  </w:txbxContent>
                </v:textbox>
                <w10:wrap anchorx="page" anchory="page"/>
                <w10:anchorlock/>
              </v:shape>
            </w:pict>
          </mc:Fallback>
        </mc:AlternateContent>
      </w:r>
      <w:r w:rsidRPr="00ED549B">
        <w:rPr>
          <w:rFonts w:ascii="Gill Sans MT" w:hAnsi="Gill Sans MT"/>
          <w:noProof/>
          <w:lang w:val="fr-BE" w:eastAsia="fr-BE"/>
        </w:rPr>
        <mc:AlternateContent>
          <mc:Choice Requires="wps">
            <w:drawing>
              <wp:anchor distT="0" distB="0" distL="114300" distR="114300" simplePos="0" relativeHeight="251656704" behindDoc="0" locked="1" layoutInCell="0" allowOverlap="1">
                <wp:simplePos x="0" y="0"/>
                <wp:positionH relativeFrom="page">
                  <wp:posOffset>252095</wp:posOffset>
                </wp:positionH>
                <wp:positionV relativeFrom="page">
                  <wp:posOffset>7406005</wp:posOffset>
                </wp:positionV>
                <wp:extent cx="360045" cy="18415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579" w:rsidRDefault="00FC6579">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85pt;margin-top:583.15pt;width:28.3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jQ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" o:allowincell="f" stroked="f">
                <o:lock v:ext="edit" aspectratio="t"/>
                <v:textbox>
                  <w:txbxContent>
                    <w:p w:rsidR="00FC6579" w:rsidRDefault="00FC6579">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rPr>
          <w:cantSplit/>
          <w:trHeight w:val="1710"/>
        </w:trPr>
        <w:tc>
          <w:tcPr>
            <w:tcW w:w="4252" w:type="dxa"/>
          </w:tcPr>
          <w:p w:rsidR="007459CE" w:rsidRPr="007459CE" w:rsidRDefault="007459CE" w:rsidP="00D420CB">
            <w:pPr>
              <w:pStyle w:val="Header"/>
              <w:tabs>
                <w:tab w:val="clear" w:pos="4536"/>
                <w:tab w:val="clear" w:pos="9072"/>
              </w:tabs>
              <w:rPr>
                <w:rFonts w:ascii="Gill Sans MT" w:hAnsi="Gill Sans MT"/>
                <w:sz w:val="20"/>
                <w:lang w:val="fr-BE"/>
              </w:rPr>
            </w:pPr>
            <w:bookmarkStart w:id="0" w:name="SYS_LOGO_INFO"/>
            <w:bookmarkStart w:id="1" w:name="SYS_LOGO_MIN"/>
            <w:bookmarkEnd w:id="0"/>
            <w:bookmarkEnd w:id="1"/>
          </w:p>
        </w:tc>
      </w:tr>
    </w:tbl>
    <w:p w:rsidR="00FC6579" w:rsidRPr="007459CE" w:rsidRDefault="00FC6579">
      <w:pPr>
        <w:pStyle w:val="Letter"/>
        <w:rPr>
          <w:rFonts w:ascii="Gill Sans MT" w:hAnsi="Gill Sans MT"/>
          <w:lang w:val="fr-BE"/>
        </w:rPr>
      </w:pPr>
    </w:p>
    <w:p w:rsidR="00FC6579" w:rsidRPr="007459CE" w:rsidRDefault="00FC6579">
      <w:pPr>
        <w:pStyle w:val="Letter"/>
        <w:rPr>
          <w:rFonts w:ascii="Gill Sans MT" w:hAnsi="Gill Sans MT"/>
          <w:sz w:val="17"/>
          <w:lang w:val="fr-BE"/>
        </w:rPr>
      </w:pPr>
    </w:p>
    <w:tbl>
      <w:tblPr>
        <w:tblW w:w="10632" w:type="dxa"/>
        <w:tblInd w:w="-1168" w:type="dxa"/>
        <w:tblLayout w:type="fixed"/>
        <w:tblLook w:val="0000" w:firstRow="0" w:lastRow="0" w:firstColumn="0" w:lastColumn="0" w:noHBand="0" w:noVBand="0"/>
      </w:tblPr>
      <w:tblGrid>
        <w:gridCol w:w="2694"/>
        <w:gridCol w:w="1417"/>
        <w:gridCol w:w="1701"/>
        <w:gridCol w:w="2410"/>
        <w:gridCol w:w="1276"/>
        <w:gridCol w:w="1134"/>
      </w:tblGrid>
      <w:tr w:rsidR="00FC6579" w:rsidRPr="00ED549B">
        <w:trPr>
          <w:cantSplit/>
          <w:trHeight w:val="337"/>
        </w:trPr>
        <w:tc>
          <w:tcPr>
            <w:tcW w:w="2694" w:type="dxa"/>
          </w:tcPr>
          <w:p w:rsidR="00FC6579" w:rsidRPr="00ED549B" w:rsidRDefault="00FC6579">
            <w:pPr>
              <w:pStyle w:val="Letter"/>
              <w:rPr>
                <w:rFonts w:ascii="Gill Sans MT" w:hAnsi="Gill Sans MT"/>
                <w:sz w:val="17"/>
                <w:lang w:val="nl-BE"/>
              </w:rPr>
            </w:pPr>
            <w:r w:rsidRPr="00ED549B">
              <w:rPr>
                <w:rFonts w:ascii="Gill Sans MT" w:hAnsi="Gill Sans MT" w:cs="Arial"/>
                <w:sz w:val="17"/>
                <w:lang w:val="nl-BE"/>
              </w:rPr>
              <w:t>Dienst</w:t>
            </w:r>
          </w:p>
        </w:tc>
        <w:tc>
          <w:tcPr>
            <w:tcW w:w="1417" w:type="dxa"/>
          </w:tcPr>
          <w:p w:rsidR="00FC6579" w:rsidRPr="00ED549B" w:rsidRDefault="00FC6579">
            <w:pPr>
              <w:pStyle w:val="Letter"/>
              <w:rPr>
                <w:rFonts w:ascii="Gill Sans MT" w:hAnsi="Gill Sans MT"/>
                <w:sz w:val="17"/>
                <w:lang w:val="nl-BE"/>
              </w:rPr>
            </w:pPr>
            <w:r w:rsidRPr="00ED549B">
              <w:rPr>
                <w:rFonts w:ascii="Gill Sans MT" w:hAnsi="Gill Sans MT" w:cs="Arial"/>
                <w:sz w:val="17"/>
                <w:lang w:val="nl-BE"/>
              </w:rPr>
              <w:t>uw brief van</w:t>
            </w:r>
          </w:p>
        </w:tc>
        <w:tc>
          <w:tcPr>
            <w:tcW w:w="1701" w:type="dxa"/>
          </w:tcPr>
          <w:p w:rsidR="00FC6579" w:rsidRPr="00ED549B" w:rsidRDefault="00FC6579">
            <w:pPr>
              <w:pStyle w:val="Letter"/>
              <w:rPr>
                <w:rFonts w:ascii="Gill Sans MT" w:hAnsi="Gill Sans MT"/>
                <w:sz w:val="17"/>
                <w:lang w:val="nl-BE"/>
              </w:rPr>
            </w:pPr>
            <w:r w:rsidRPr="00ED549B">
              <w:rPr>
                <w:rFonts w:ascii="Gill Sans MT" w:hAnsi="Gill Sans MT" w:cs="Arial"/>
                <w:sz w:val="17"/>
                <w:lang w:val="nl-BE"/>
              </w:rPr>
              <w:t>uw kenmerk</w:t>
            </w:r>
          </w:p>
        </w:tc>
        <w:tc>
          <w:tcPr>
            <w:tcW w:w="2410" w:type="dxa"/>
          </w:tcPr>
          <w:p w:rsidR="00FC6579" w:rsidRPr="00ED549B" w:rsidRDefault="00FC6579">
            <w:pPr>
              <w:pStyle w:val="Letter"/>
              <w:rPr>
                <w:rFonts w:ascii="Gill Sans MT" w:hAnsi="Gill Sans MT"/>
                <w:sz w:val="17"/>
                <w:lang w:val="nl-BE"/>
              </w:rPr>
            </w:pPr>
            <w:r w:rsidRPr="00ED549B">
              <w:rPr>
                <w:rFonts w:ascii="Gill Sans MT" w:hAnsi="Gill Sans MT" w:cs="Arial"/>
                <w:sz w:val="17"/>
                <w:lang w:val="nl-BE"/>
              </w:rPr>
              <w:t>Ons kenmerk</w:t>
            </w:r>
          </w:p>
        </w:tc>
        <w:tc>
          <w:tcPr>
            <w:tcW w:w="1276" w:type="dxa"/>
          </w:tcPr>
          <w:p w:rsidR="00FC6579" w:rsidRPr="00ED549B" w:rsidRDefault="00FC6579">
            <w:pPr>
              <w:pStyle w:val="Letter"/>
              <w:rPr>
                <w:rFonts w:ascii="Gill Sans MT" w:hAnsi="Gill Sans MT"/>
                <w:sz w:val="17"/>
                <w:lang w:val="fr-BE"/>
              </w:rPr>
            </w:pPr>
            <w:proofErr w:type="spellStart"/>
            <w:r w:rsidRPr="00ED549B">
              <w:rPr>
                <w:rFonts w:ascii="Gill Sans MT" w:hAnsi="Gill Sans MT"/>
                <w:sz w:val="17"/>
                <w:lang w:val="fr-BE"/>
              </w:rPr>
              <w:t>datum</w:t>
            </w:r>
            <w:proofErr w:type="spellEnd"/>
          </w:p>
        </w:tc>
        <w:tc>
          <w:tcPr>
            <w:tcW w:w="1134" w:type="dxa"/>
          </w:tcPr>
          <w:p w:rsidR="00FC6579" w:rsidRPr="00ED549B" w:rsidRDefault="00FC6579">
            <w:pPr>
              <w:pStyle w:val="Letter"/>
              <w:rPr>
                <w:rFonts w:ascii="Gill Sans MT" w:hAnsi="Gill Sans MT"/>
                <w:sz w:val="17"/>
                <w:lang w:val="fr-BE"/>
              </w:rPr>
            </w:pPr>
            <w:proofErr w:type="spellStart"/>
            <w:r w:rsidRPr="00ED549B">
              <w:rPr>
                <w:rFonts w:ascii="Gill Sans MT" w:hAnsi="Gill Sans MT" w:cs="Arial"/>
                <w:sz w:val="17"/>
                <w:lang w:val="fr-BE"/>
              </w:rPr>
              <w:t>Bjlage</w:t>
            </w:r>
            <w:proofErr w:type="spellEnd"/>
            <w:r w:rsidRPr="00ED549B">
              <w:rPr>
                <w:rFonts w:ascii="Gill Sans MT" w:hAnsi="Gill Sans MT" w:cs="Arial"/>
                <w:sz w:val="17"/>
                <w:lang w:val="fr-BE"/>
              </w:rPr>
              <w:t>(n)</w:t>
            </w:r>
          </w:p>
        </w:tc>
      </w:tr>
      <w:tr w:rsidR="00FC6579" w:rsidRPr="00ED549B">
        <w:trPr>
          <w:cantSplit/>
          <w:trHeight w:val="187"/>
        </w:trPr>
        <w:tc>
          <w:tcPr>
            <w:tcW w:w="2694" w:type="dxa"/>
          </w:tcPr>
          <w:p w:rsidR="00FC6579" w:rsidRPr="00ED549B" w:rsidRDefault="00FC6579">
            <w:pPr>
              <w:pStyle w:val="Letter"/>
              <w:rPr>
                <w:rFonts w:ascii="Gill Sans MT" w:hAnsi="Gill Sans MT" w:cs="Arial"/>
                <w:sz w:val="17"/>
                <w:lang w:val="fr-BE"/>
              </w:rPr>
            </w:pPr>
          </w:p>
        </w:tc>
        <w:tc>
          <w:tcPr>
            <w:tcW w:w="1417" w:type="dxa"/>
          </w:tcPr>
          <w:p w:rsidR="00FC6579" w:rsidRPr="00ED549B" w:rsidRDefault="00FC6579">
            <w:pPr>
              <w:pStyle w:val="Letter"/>
              <w:rPr>
                <w:rFonts w:ascii="Gill Sans MT" w:hAnsi="Gill Sans MT"/>
                <w:sz w:val="17"/>
                <w:lang w:val="nl-BE"/>
              </w:rPr>
            </w:pPr>
          </w:p>
        </w:tc>
        <w:tc>
          <w:tcPr>
            <w:tcW w:w="1701" w:type="dxa"/>
          </w:tcPr>
          <w:p w:rsidR="00FC6579" w:rsidRPr="00ED549B" w:rsidRDefault="00FC6579">
            <w:pPr>
              <w:pStyle w:val="Letter"/>
              <w:rPr>
                <w:rFonts w:ascii="Gill Sans MT" w:hAnsi="Gill Sans MT"/>
                <w:sz w:val="17"/>
                <w:lang w:val="nl-BE"/>
              </w:rPr>
            </w:pPr>
          </w:p>
        </w:tc>
        <w:tc>
          <w:tcPr>
            <w:tcW w:w="2410" w:type="dxa"/>
          </w:tcPr>
          <w:p w:rsidR="00FC6579" w:rsidRPr="00ED549B" w:rsidRDefault="00FC6579">
            <w:pPr>
              <w:pStyle w:val="Letter"/>
              <w:rPr>
                <w:rFonts w:ascii="Gill Sans MT" w:hAnsi="Gill Sans MT"/>
                <w:sz w:val="17"/>
                <w:lang w:val="fr-BE"/>
              </w:rPr>
            </w:pPr>
          </w:p>
        </w:tc>
        <w:tc>
          <w:tcPr>
            <w:tcW w:w="1276" w:type="dxa"/>
          </w:tcPr>
          <w:p w:rsidR="00FC6579" w:rsidRPr="00ED549B" w:rsidRDefault="00FC6579">
            <w:pPr>
              <w:pStyle w:val="Letter"/>
              <w:rPr>
                <w:rFonts w:ascii="Gill Sans MT" w:hAnsi="Gill Sans MT"/>
                <w:sz w:val="17"/>
                <w:lang w:val="fr-BE"/>
              </w:rPr>
            </w:pPr>
          </w:p>
        </w:tc>
        <w:tc>
          <w:tcPr>
            <w:tcW w:w="1134" w:type="dxa"/>
          </w:tcPr>
          <w:p w:rsidR="00FC6579" w:rsidRPr="00ED549B" w:rsidRDefault="00FC6579">
            <w:pPr>
              <w:pStyle w:val="Letter"/>
              <w:rPr>
                <w:rFonts w:ascii="Gill Sans MT" w:hAnsi="Gill Sans MT" w:cs="Arial"/>
                <w:sz w:val="17"/>
                <w:lang w:val="fr-BE"/>
              </w:rPr>
            </w:pPr>
          </w:p>
        </w:tc>
      </w:tr>
    </w:tbl>
    <w:p w:rsidR="00E9356B" w:rsidRPr="00E9356B" w:rsidRDefault="00E9356B" w:rsidP="00B94FE5">
      <w:pPr>
        <w:rPr>
          <w:rFonts w:cs="Arial"/>
          <w:b/>
          <w:sz w:val="28"/>
          <w:szCs w:val="28"/>
          <w:lang w:val="nl-BE" w:eastAsia="nl-BE" w:bidi="nl-BE"/>
        </w:rPr>
      </w:pPr>
      <w:r w:rsidRPr="00E9356B">
        <w:rPr>
          <w:b/>
          <w:sz w:val="28"/>
          <w:szCs w:val="22"/>
          <w:lang w:val="nl-BE" w:eastAsia="nl-BE" w:bidi="nl-BE"/>
        </w:rPr>
        <w:t xml:space="preserve">Antwoord op de vraag van de </w:t>
      </w:r>
      <w:proofErr w:type="spellStart"/>
      <w:r w:rsidRPr="00E9356B">
        <w:rPr>
          <w:b/>
          <w:sz w:val="28"/>
          <w:szCs w:val="22"/>
          <w:lang w:val="nl-BE" w:eastAsia="nl-BE" w:bidi="nl-BE"/>
        </w:rPr>
        <w:t>OCMW's</w:t>
      </w:r>
      <w:proofErr w:type="spellEnd"/>
      <w:r w:rsidRPr="00E9356B">
        <w:rPr>
          <w:b/>
          <w:sz w:val="28"/>
          <w:szCs w:val="22"/>
          <w:lang w:val="nl-BE" w:eastAsia="nl-BE" w:bidi="nl-BE"/>
        </w:rPr>
        <w:t xml:space="preserve"> in verband met het bewaren van de gegevens in de </w:t>
      </w:r>
      <w:proofErr w:type="spellStart"/>
      <w:r w:rsidRPr="00E9356B">
        <w:rPr>
          <w:b/>
          <w:sz w:val="28"/>
          <w:szCs w:val="22"/>
          <w:lang w:val="nl-BE" w:eastAsia="nl-BE" w:bidi="nl-BE"/>
        </w:rPr>
        <w:t>cloud</w:t>
      </w:r>
      <w:proofErr w:type="spellEnd"/>
      <w:r w:rsidRPr="00E9356B">
        <w:rPr>
          <w:b/>
          <w:sz w:val="28"/>
          <w:szCs w:val="22"/>
          <w:lang w:val="nl-BE" w:eastAsia="nl-BE" w:bidi="nl-BE"/>
        </w:rPr>
        <w:t>.</w:t>
      </w:r>
    </w:p>
    <w:p w:rsidR="00E9356B" w:rsidRPr="00E9356B" w:rsidRDefault="00E9356B" w:rsidP="00E9356B">
      <w:pPr>
        <w:jc w:val="center"/>
        <w:rPr>
          <w:rFonts w:cs="Arial"/>
          <w:b/>
          <w:sz w:val="28"/>
          <w:szCs w:val="28"/>
          <w:lang w:val="nl-BE" w:eastAsia="nl-BE" w:bidi="nl-BE"/>
        </w:rPr>
      </w:pPr>
    </w:p>
    <w:p w:rsidR="00E9356B" w:rsidRPr="00E9356B" w:rsidRDefault="00E9356B" w:rsidP="00E9356B">
      <w:pPr>
        <w:jc w:val="both"/>
        <w:rPr>
          <w:rFonts w:cs="Arial"/>
          <w:sz w:val="20"/>
          <w:lang w:val="nl-BE" w:eastAsia="nl-BE" w:bidi="nl-BE"/>
        </w:rPr>
      </w:pPr>
      <w:r w:rsidRPr="00E9356B">
        <w:rPr>
          <w:sz w:val="20"/>
          <w:szCs w:val="22"/>
          <w:lang w:val="nl-BE" w:eastAsia="nl-BE" w:bidi="nl-BE"/>
        </w:rPr>
        <w:t xml:space="preserve"> </w:t>
      </w:r>
      <w:bookmarkStart w:id="2" w:name="_GoBack"/>
      <w:bookmarkEnd w:id="2"/>
    </w:p>
    <w:p w:rsidR="00E9356B" w:rsidRPr="00E9356B" w:rsidRDefault="00E9356B" w:rsidP="00E9356B">
      <w:pPr>
        <w:jc w:val="both"/>
        <w:rPr>
          <w:rFonts w:cs="Arial"/>
          <w:sz w:val="20"/>
          <w:lang w:val="nl-BE" w:eastAsia="nl-BE" w:bidi="nl-BE"/>
        </w:rPr>
      </w:pPr>
      <w:r w:rsidRPr="00E9356B">
        <w:rPr>
          <w:sz w:val="20"/>
          <w:szCs w:val="22"/>
          <w:lang w:val="nl-BE" w:eastAsia="nl-BE" w:bidi="nl-BE"/>
        </w:rPr>
        <w:t>Wat de wettelijke bepalingen betreft die van kracht zijn in verband met persoonsgegevens voorziet artikel 16 §4 van de wet van 8 december 1992 tot bescherming van de persoonlijke levenssfeer ten opzichte va, de verwerking van persoonsgegevens (eveneens "wet op het privéleven" genoemd) erin dat de verantwoordelijke van de behandeling en de onderaannemer de vereiste technische en organisatorische maatregelen moeten nemen om de persoonsgegevens te beschermen</w:t>
      </w:r>
      <w:r w:rsidRPr="00E9356B">
        <w:rPr>
          <w:sz w:val="20"/>
          <w:szCs w:val="22"/>
          <w:vertAlign w:val="superscript"/>
          <w:lang w:val="nl-BE" w:eastAsia="nl-BE" w:bidi="nl-BE"/>
        </w:rPr>
        <w:footnoteReference w:id="1"/>
      </w:r>
      <w:r w:rsidRPr="00E9356B">
        <w:rPr>
          <w:sz w:val="20"/>
          <w:szCs w:val="22"/>
          <w:lang w:val="nl-BE" w:eastAsia="nl-BE" w:bidi="nl-BE"/>
        </w:rPr>
        <w:t>. Zie eveneens artikel 17 van de Europese richtlijn 95/46/CE over het privéleven</w:t>
      </w:r>
      <w:r w:rsidRPr="00E9356B">
        <w:rPr>
          <w:sz w:val="20"/>
          <w:szCs w:val="22"/>
          <w:vertAlign w:val="superscript"/>
          <w:lang w:val="nl-BE" w:eastAsia="nl-BE" w:bidi="nl-BE"/>
        </w:rPr>
        <w:footnoteReference w:id="2"/>
      </w:r>
      <w:r w:rsidRPr="00E9356B">
        <w:rPr>
          <w:sz w:val="20"/>
          <w:szCs w:val="22"/>
          <w:lang w:val="nl-BE" w:eastAsia="nl-BE" w:bidi="nl-BE"/>
        </w:rPr>
        <w:t>.</w:t>
      </w:r>
    </w:p>
    <w:p w:rsidR="00E9356B" w:rsidRPr="00E9356B" w:rsidRDefault="00E9356B" w:rsidP="00E9356B">
      <w:pPr>
        <w:jc w:val="both"/>
        <w:rPr>
          <w:rFonts w:cs="Arial"/>
          <w:sz w:val="20"/>
          <w:lang w:val="nl-BE" w:eastAsia="nl-BE" w:bidi="nl-BE"/>
        </w:rPr>
      </w:pPr>
      <w:r w:rsidRPr="00E9356B">
        <w:rPr>
          <w:sz w:val="20"/>
          <w:szCs w:val="22"/>
          <w:lang w:val="nl-BE" w:eastAsia="nl-BE" w:bidi="nl-BE"/>
        </w:rPr>
        <w:t> </w:t>
      </w:r>
    </w:p>
    <w:p w:rsidR="00E9356B" w:rsidRPr="00E9356B" w:rsidRDefault="00E9356B" w:rsidP="00E9356B">
      <w:pPr>
        <w:jc w:val="both"/>
        <w:rPr>
          <w:rFonts w:cs="Arial"/>
          <w:sz w:val="20"/>
          <w:lang w:val="nl-BE" w:eastAsia="nl-BE" w:bidi="nl-BE"/>
        </w:rPr>
      </w:pPr>
      <w:r w:rsidRPr="00E9356B">
        <w:rPr>
          <w:sz w:val="20"/>
          <w:szCs w:val="22"/>
          <w:lang w:val="nl-BE" w:eastAsia="nl-BE" w:bidi="nl-BE"/>
        </w:rPr>
        <w:t xml:space="preserve">Om veiligheidsrichtlijnen te bezorgen in verband met de </w:t>
      </w:r>
      <w:proofErr w:type="spellStart"/>
      <w:r w:rsidRPr="00E9356B">
        <w:rPr>
          <w:sz w:val="20"/>
          <w:szCs w:val="22"/>
          <w:lang w:val="nl-BE" w:eastAsia="nl-BE" w:bidi="nl-BE"/>
        </w:rPr>
        <w:t>cloud</w:t>
      </w:r>
      <w:proofErr w:type="spellEnd"/>
      <w:r w:rsidRPr="00E9356B">
        <w:rPr>
          <w:sz w:val="20"/>
          <w:szCs w:val="22"/>
          <w:lang w:val="nl-BE" w:eastAsia="nl-BE" w:bidi="nl-BE"/>
        </w:rPr>
        <w:t xml:space="preserve"> services aan de </w:t>
      </w:r>
      <w:proofErr w:type="spellStart"/>
      <w:r w:rsidRPr="00E9356B">
        <w:rPr>
          <w:sz w:val="20"/>
          <w:szCs w:val="22"/>
          <w:lang w:val="nl-BE" w:eastAsia="nl-BE" w:bidi="nl-BE"/>
        </w:rPr>
        <w:t>socialezekerheidsinstellingen</w:t>
      </w:r>
      <w:proofErr w:type="spellEnd"/>
      <w:r w:rsidRPr="00E9356B">
        <w:rPr>
          <w:sz w:val="20"/>
          <w:szCs w:val="22"/>
          <w:lang w:val="nl-BE" w:eastAsia="nl-BE" w:bidi="nl-BE"/>
        </w:rPr>
        <w:t xml:space="preserve"> die vertrouwelijke gegevens behandelen, heeft de FOD Sociale Zekerheid, in overleg met de "werkgroep Informatieveiligheid" die georganiseerd wordt binnen de KSZ en met FEDICT een "Veiligheidsbeleid in verband met de diensten voor Cloud Computing" opgesteld</w:t>
      </w:r>
      <w:r w:rsidRPr="00E9356B">
        <w:rPr>
          <w:sz w:val="20"/>
          <w:szCs w:val="22"/>
          <w:vertAlign w:val="superscript"/>
          <w:lang w:val="nl-BE" w:eastAsia="nl-BE" w:bidi="nl-BE"/>
        </w:rPr>
        <w:footnoteReference w:id="3"/>
      </w:r>
      <w:r w:rsidRPr="00E9356B">
        <w:rPr>
          <w:sz w:val="20"/>
          <w:szCs w:val="22"/>
          <w:lang w:val="nl-BE" w:eastAsia="nl-BE" w:bidi="nl-BE"/>
        </w:rPr>
        <w:t>.</w:t>
      </w:r>
    </w:p>
    <w:p w:rsidR="00E9356B" w:rsidRPr="00E9356B" w:rsidRDefault="00E9356B" w:rsidP="00E9356B">
      <w:pPr>
        <w:jc w:val="both"/>
        <w:rPr>
          <w:rFonts w:cs="Arial"/>
          <w:sz w:val="20"/>
          <w:lang w:val="nl-BE" w:eastAsia="nl-BE" w:bidi="nl-BE"/>
        </w:rPr>
      </w:pPr>
    </w:p>
    <w:p w:rsidR="00E9356B" w:rsidRPr="00E9356B" w:rsidRDefault="00E9356B" w:rsidP="00E9356B">
      <w:pPr>
        <w:jc w:val="both"/>
        <w:rPr>
          <w:rFonts w:cs="Arial"/>
          <w:sz w:val="20"/>
          <w:lang w:val="nl-BE" w:eastAsia="nl-BE" w:bidi="nl-BE"/>
        </w:rPr>
      </w:pPr>
      <w:r w:rsidRPr="00E9356B">
        <w:rPr>
          <w:sz w:val="20"/>
          <w:szCs w:val="22"/>
          <w:lang w:val="nl-BE" w:eastAsia="nl-BE" w:bidi="nl-BE"/>
        </w:rPr>
        <w:t>De leveranciers van "</w:t>
      </w:r>
      <w:proofErr w:type="spellStart"/>
      <w:r w:rsidRPr="00E9356B">
        <w:rPr>
          <w:sz w:val="20"/>
          <w:szCs w:val="22"/>
          <w:lang w:val="nl-BE" w:eastAsia="nl-BE" w:bidi="nl-BE"/>
        </w:rPr>
        <w:t>cloud</w:t>
      </w:r>
      <w:proofErr w:type="spellEnd"/>
      <w:r w:rsidRPr="00E9356B">
        <w:rPr>
          <w:sz w:val="20"/>
          <w:szCs w:val="22"/>
          <w:lang w:val="nl-BE" w:eastAsia="nl-BE" w:bidi="nl-BE"/>
        </w:rPr>
        <w:t xml:space="preserve"> services" doen inspanningen op het vlak van beveiliging van de  verbindingen en van de versleuteling van de gegevens (niet steeds standaard of zonder extra kosten) voor de vertrouwelijke gegevens. Het is echter niet zeker dat de voorgestelde oplossingen een aangepaste bescherming bieden. Wie heeft de sleutel? Wat zijn de waarborgen om te kunnen versleutelen na een lange periode? Is het eenvoudig en makkelijk in gebruik (anders zal het in geen geval worden toegepast)? ...</w:t>
      </w:r>
    </w:p>
    <w:p w:rsidR="00E9356B" w:rsidRPr="00E9356B" w:rsidRDefault="00E9356B" w:rsidP="00E9356B">
      <w:pPr>
        <w:jc w:val="both"/>
        <w:rPr>
          <w:rFonts w:cs="Arial"/>
          <w:sz w:val="20"/>
          <w:lang w:val="nl-BE" w:eastAsia="nl-BE" w:bidi="nl-BE"/>
        </w:rPr>
      </w:pPr>
    </w:p>
    <w:p w:rsidR="00E9356B" w:rsidRPr="00E9356B" w:rsidRDefault="00E9356B" w:rsidP="00E9356B">
      <w:pPr>
        <w:jc w:val="both"/>
        <w:rPr>
          <w:rFonts w:cs="Arial"/>
          <w:sz w:val="20"/>
          <w:lang w:val="nl-BE" w:eastAsia="nl-BE" w:bidi="nl-BE"/>
        </w:rPr>
      </w:pPr>
      <w:r w:rsidRPr="00E9356B">
        <w:rPr>
          <w:sz w:val="20"/>
          <w:szCs w:val="22"/>
          <w:lang w:val="nl-BE" w:eastAsia="nl-BE" w:bidi="nl-BE"/>
        </w:rPr>
        <w:t xml:space="preserve">Het is positief dat de leveranciers van de </w:t>
      </w:r>
      <w:proofErr w:type="spellStart"/>
      <w:r w:rsidRPr="00E9356B">
        <w:rPr>
          <w:sz w:val="20"/>
          <w:szCs w:val="22"/>
          <w:lang w:val="nl-BE" w:eastAsia="nl-BE" w:bidi="nl-BE"/>
        </w:rPr>
        <w:t>cloud</w:t>
      </w:r>
      <w:proofErr w:type="spellEnd"/>
      <w:r w:rsidRPr="00E9356B">
        <w:rPr>
          <w:sz w:val="20"/>
          <w:szCs w:val="22"/>
          <w:lang w:val="nl-BE" w:eastAsia="nl-BE" w:bidi="nl-BE"/>
        </w:rPr>
        <w:t xml:space="preserve"> services de informatieveiligheid beginnen te gebruiken als een verkoopargument. Momenteel gebruiken verschillende grote leveranciers van </w:t>
      </w:r>
      <w:proofErr w:type="spellStart"/>
      <w:r w:rsidRPr="00E9356B">
        <w:rPr>
          <w:sz w:val="20"/>
          <w:szCs w:val="22"/>
          <w:lang w:val="nl-BE" w:eastAsia="nl-BE" w:bidi="nl-BE"/>
        </w:rPr>
        <w:t>cloud</w:t>
      </w:r>
      <w:proofErr w:type="spellEnd"/>
      <w:r w:rsidRPr="00E9356B">
        <w:rPr>
          <w:sz w:val="20"/>
          <w:szCs w:val="22"/>
          <w:lang w:val="nl-BE" w:eastAsia="nl-BE" w:bidi="nl-BE"/>
        </w:rPr>
        <w:t xml:space="preserve"> services het argument van de veiligheid, maar het is moeilijk te zeggen welk argument bevredigende waarborgen biedt.</w:t>
      </w:r>
    </w:p>
    <w:p w:rsidR="00E9356B" w:rsidRPr="00E9356B" w:rsidRDefault="00E9356B" w:rsidP="00E9356B">
      <w:pPr>
        <w:rPr>
          <w:rFonts w:cs="Arial"/>
          <w:sz w:val="20"/>
          <w:lang w:val="nl-BE" w:eastAsia="nl-BE" w:bidi="nl-BE"/>
        </w:rPr>
      </w:pPr>
      <w:r w:rsidRPr="00E9356B">
        <w:rPr>
          <w:sz w:val="20"/>
          <w:szCs w:val="22"/>
          <w:lang w:val="nl-BE" w:eastAsia="nl-BE" w:bidi="nl-BE"/>
        </w:rPr>
        <w:t> </w:t>
      </w:r>
    </w:p>
    <w:p w:rsidR="00E9356B" w:rsidRPr="00E9356B" w:rsidRDefault="00E9356B" w:rsidP="00E9356B">
      <w:pPr>
        <w:jc w:val="both"/>
        <w:rPr>
          <w:rFonts w:cs="Arial"/>
          <w:sz w:val="20"/>
          <w:lang w:val="nl-BE" w:eastAsia="nl-BE" w:bidi="nl-BE"/>
        </w:rPr>
      </w:pPr>
      <w:r w:rsidRPr="00E9356B">
        <w:rPr>
          <w:sz w:val="20"/>
          <w:szCs w:val="22"/>
          <w:lang w:val="nl-BE" w:eastAsia="nl-BE" w:bidi="nl-BE"/>
        </w:rPr>
        <w:lastRenderedPageBreak/>
        <w:t xml:space="preserve">De commerciële ondernemingen denken er eveneens aan om diensten of producten voor te stellen die de aanmaak tot doel hebben van een privé (of hybride) </w:t>
      </w:r>
      <w:proofErr w:type="spellStart"/>
      <w:r w:rsidRPr="00E9356B">
        <w:rPr>
          <w:sz w:val="20"/>
          <w:szCs w:val="22"/>
          <w:lang w:val="nl-BE" w:eastAsia="nl-BE" w:bidi="nl-BE"/>
        </w:rPr>
        <w:t>cloud</w:t>
      </w:r>
      <w:proofErr w:type="spellEnd"/>
      <w:r w:rsidRPr="00E9356B">
        <w:rPr>
          <w:sz w:val="20"/>
          <w:szCs w:val="22"/>
          <w:lang w:val="nl-BE" w:eastAsia="nl-BE" w:bidi="nl-BE"/>
        </w:rPr>
        <w:t>, waardoor de verantwoordelijke van de behandeling eigenaar blijft van de infrastructuur en dus ook van de gegevens.</w:t>
      </w:r>
    </w:p>
    <w:p w:rsidR="00E9356B" w:rsidRPr="00E9356B" w:rsidRDefault="00E9356B" w:rsidP="00E9356B">
      <w:pPr>
        <w:rPr>
          <w:rFonts w:cs="Arial"/>
          <w:sz w:val="20"/>
          <w:lang w:val="nl-BE" w:eastAsia="nl-BE" w:bidi="nl-BE"/>
        </w:rPr>
      </w:pPr>
      <w:r w:rsidRPr="00E9356B">
        <w:rPr>
          <w:sz w:val="20"/>
          <w:szCs w:val="22"/>
          <w:lang w:val="nl-BE" w:eastAsia="nl-BE" w:bidi="nl-BE"/>
        </w:rPr>
        <w:t> </w:t>
      </w:r>
    </w:p>
    <w:p w:rsidR="00E9356B" w:rsidRPr="00E9356B" w:rsidRDefault="00E9356B" w:rsidP="00E9356B">
      <w:pPr>
        <w:jc w:val="both"/>
        <w:rPr>
          <w:rFonts w:cs="Arial"/>
          <w:sz w:val="20"/>
          <w:lang w:val="nl-BE" w:eastAsia="nl-BE" w:bidi="nl-BE"/>
        </w:rPr>
      </w:pPr>
      <w:r w:rsidRPr="00E9356B">
        <w:rPr>
          <w:sz w:val="20"/>
          <w:szCs w:val="22"/>
          <w:lang w:val="nl-BE" w:eastAsia="nl-BE" w:bidi="nl-BE"/>
        </w:rPr>
        <w:t>Er beweegt dus wat bij de commerciële leveranciers, maar ook bij de overheden. Enkele Belgische overheden</w:t>
      </w:r>
      <w:r w:rsidRPr="00E9356B">
        <w:rPr>
          <w:sz w:val="20"/>
          <w:szCs w:val="22"/>
          <w:vertAlign w:val="superscript"/>
          <w:lang w:val="nl-BE" w:eastAsia="nl-BE" w:bidi="nl-BE"/>
        </w:rPr>
        <w:footnoteReference w:id="4"/>
      </w:r>
      <w:r w:rsidRPr="00E9356B">
        <w:rPr>
          <w:sz w:val="20"/>
          <w:szCs w:val="22"/>
          <w:lang w:val="nl-BE" w:eastAsia="nl-BE" w:bidi="nl-BE"/>
        </w:rPr>
        <w:t xml:space="preserve"> bereiden de invoering van de </w:t>
      </w:r>
      <w:proofErr w:type="spellStart"/>
      <w:r w:rsidRPr="00E9356B">
        <w:rPr>
          <w:sz w:val="20"/>
          <w:szCs w:val="22"/>
          <w:lang w:val="nl-BE" w:eastAsia="nl-BE" w:bidi="nl-BE"/>
        </w:rPr>
        <w:t>cloud</w:t>
      </w:r>
      <w:proofErr w:type="spellEnd"/>
      <w:r w:rsidRPr="00E9356B">
        <w:rPr>
          <w:sz w:val="20"/>
          <w:szCs w:val="22"/>
          <w:lang w:val="nl-BE" w:eastAsia="nl-BE" w:bidi="nl-BE"/>
        </w:rPr>
        <w:t xml:space="preserve"> voor (FEDICT, LNE) of zijn dit van plan  (FOD Financiën).</w:t>
      </w:r>
    </w:p>
    <w:p w:rsidR="00E9356B" w:rsidRPr="00E9356B" w:rsidRDefault="00E9356B" w:rsidP="00E9356B">
      <w:pPr>
        <w:jc w:val="both"/>
        <w:rPr>
          <w:rFonts w:cs="Arial"/>
          <w:sz w:val="20"/>
          <w:lang w:val="nl-BE" w:eastAsia="nl-BE" w:bidi="nl-BE"/>
        </w:rPr>
      </w:pPr>
      <w:r w:rsidRPr="00E9356B">
        <w:rPr>
          <w:sz w:val="20"/>
          <w:szCs w:val="22"/>
          <w:lang w:val="nl-BE" w:eastAsia="nl-BE" w:bidi="nl-BE"/>
        </w:rPr>
        <w:t> </w:t>
      </w:r>
    </w:p>
    <w:p w:rsidR="00E9356B" w:rsidRPr="00E9356B" w:rsidRDefault="00E9356B" w:rsidP="00E9356B">
      <w:pPr>
        <w:jc w:val="both"/>
        <w:rPr>
          <w:rFonts w:cs="Arial"/>
          <w:sz w:val="20"/>
          <w:lang w:val="nl-BE" w:eastAsia="nl-BE" w:bidi="nl-BE"/>
        </w:rPr>
      </w:pPr>
      <w:r w:rsidRPr="00E9356B">
        <w:rPr>
          <w:sz w:val="20"/>
          <w:szCs w:val="22"/>
          <w:lang w:val="nl-BE" w:eastAsia="nl-BE" w:bidi="nl-BE"/>
        </w:rPr>
        <w:t>In verband hiermee halen we de "</w:t>
      </w:r>
      <w:proofErr w:type="spellStart"/>
      <w:r w:rsidRPr="00E9356B">
        <w:rPr>
          <w:sz w:val="20"/>
          <w:szCs w:val="22"/>
          <w:lang w:val="nl-BE" w:eastAsia="nl-BE" w:bidi="nl-BE"/>
        </w:rPr>
        <w:t>Good</w:t>
      </w:r>
      <w:proofErr w:type="spellEnd"/>
      <w:r w:rsidRPr="00E9356B">
        <w:rPr>
          <w:sz w:val="20"/>
          <w:szCs w:val="22"/>
          <w:lang w:val="nl-BE" w:eastAsia="nl-BE" w:bidi="nl-BE"/>
        </w:rPr>
        <w:t xml:space="preserve"> </w:t>
      </w:r>
      <w:proofErr w:type="spellStart"/>
      <w:r w:rsidRPr="00E9356B">
        <w:rPr>
          <w:sz w:val="20"/>
          <w:szCs w:val="22"/>
          <w:lang w:val="nl-BE" w:eastAsia="nl-BE" w:bidi="nl-BE"/>
        </w:rPr>
        <w:t>Practice</w:t>
      </w:r>
      <w:proofErr w:type="spellEnd"/>
      <w:r w:rsidRPr="00E9356B">
        <w:rPr>
          <w:sz w:val="20"/>
          <w:szCs w:val="22"/>
          <w:lang w:val="nl-BE" w:eastAsia="nl-BE" w:bidi="nl-BE"/>
        </w:rPr>
        <w:t xml:space="preserve"> guide </w:t>
      </w:r>
      <w:proofErr w:type="spellStart"/>
      <w:r w:rsidRPr="00E9356B">
        <w:rPr>
          <w:sz w:val="20"/>
          <w:szCs w:val="22"/>
          <w:lang w:val="nl-BE" w:eastAsia="nl-BE" w:bidi="nl-BE"/>
        </w:rPr>
        <w:t>for</w:t>
      </w:r>
      <w:proofErr w:type="spellEnd"/>
      <w:r w:rsidRPr="00E9356B">
        <w:rPr>
          <w:sz w:val="20"/>
          <w:szCs w:val="22"/>
          <w:lang w:val="nl-BE" w:eastAsia="nl-BE" w:bidi="nl-BE"/>
        </w:rPr>
        <w:t xml:space="preserve"> </w:t>
      </w:r>
      <w:proofErr w:type="spellStart"/>
      <w:r w:rsidRPr="00E9356B">
        <w:rPr>
          <w:sz w:val="20"/>
          <w:szCs w:val="22"/>
          <w:lang w:val="nl-BE" w:eastAsia="nl-BE" w:bidi="nl-BE"/>
        </w:rPr>
        <w:t>securely</w:t>
      </w:r>
      <w:proofErr w:type="spellEnd"/>
      <w:r w:rsidRPr="00E9356B">
        <w:rPr>
          <w:sz w:val="20"/>
          <w:szCs w:val="22"/>
          <w:lang w:val="nl-BE" w:eastAsia="nl-BE" w:bidi="nl-BE"/>
        </w:rPr>
        <w:t xml:space="preserve"> </w:t>
      </w:r>
      <w:proofErr w:type="spellStart"/>
      <w:r w:rsidRPr="00E9356B">
        <w:rPr>
          <w:sz w:val="20"/>
          <w:szCs w:val="22"/>
          <w:lang w:val="nl-BE" w:eastAsia="nl-BE" w:bidi="nl-BE"/>
        </w:rPr>
        <w:t>deploying</w:t>
      </w:r>
      <w:proofErr w:type="spellEnd"/>
      <w:r w:rsidRPr="00E9356B">
        <w:rPr>
          <w:sz w:val="20"/>
          <w:szCs w:val="22"/>
          <w:lang w:val="nl-BE" w:eastAsia="nl-BE" w:bidi="nl-BE"/>
        </w:rPr>
        <w:t xml:space="preserve"> </w:t>
      </w:r>
      <w:proofErr w:type="spellStart"/>
      <w:r w:rsidRPr="00E9356B">
        <w:rPr>
          <w:sz w:val="20"/>
          <w:szCs w:val="22"/>
          <w:lang w:val="nl-BE" w:eastAsia="nl-BE" w:bidi="nl-BE"/>
        </w:rPr>
        <w:t>Governmental</w:t>
      </w:r>
      <w:proofErr w:type="spellEnd"/>
      <w:r w:rsidRPr="00E9356B">
        <w:rPr>
          <w:sz w:val="20"/>
          <w:szCs w:val="22"/>
          <w:lang w:val="nl-BE" w:eastAsia="nl-BE" w:bidi="nl-BE"/>
        </w:rPr>
        <w:t xml:space="preserve"> </w:t>
      </w:r>
      <w:proofErr w:type="spellStart"/>
      <w:r w:rsidRPr="00E9356B">
        <w:rPr>
          <w:sz w:val="20"/>
          <w:szCs w:val="22"/>
          <w:lang w:val="nl-BE" w:eastAsia="nl-BE" w:bidi="nl-BE"/>
        </w:rPr>
        <w:t>Clouds</w:t>
      </w:r>
      <w:proofErr w:type="spellEnd"/>
      <w:r w:rsidRPr="00E9356B">
        <w:rPr>
          <w:sz w:val="20"/>
          <w:szCs w:val="22"/>
          <w:lang w:val="nl-BE" w:eastAsia="nl-BE" w:bidi="nl-BE"/>
        </w:rPr>
        <w:t>"</w:t>
      </w:r>
      <w:r w:rsidRPr="00E9356B">
        <w:rPr>
          <w:sz w:val="20"/>
          <w:szCs w:val="22"/>
          <w:vertAlign w:val="superscript"/>
          <w:lang w:val="nl-BE" w:eastAsia="nl-BE" w:bidi="nl-BE"/>
        </w:rPr>
        <w:footnoteReference w:id="5"/>
      </w:r>
      <w:r w:rsidRPr="00E9356B">
        <w:rPr>
          <w:sz w:val="20"/>
          <w:szCs w:val="22"/>
          <w:lang w:val="nl-BE" w:eastAsia="nl-BE" w:bidi="nl-BE"/>
        </w:rPr>
        <w:t xml:space="preserve"> aan van het Europees Agentschap voor Netwerk en Informatieveiligheid (ENISA), dat aanbevelingen doet inzake bescherming van het privéleven en van de informatieveiligheid.</w:t>
      </w:r>
    </w:p>
    <w:p w:rsidR="00E9356B" w:rsidRPr="00E9356B" w:rsidRDefault="00E9356B" w:rsidP="00E9356B">
      <w:pPr>
        <w:jc w:val="both"/>
        <w:rPr>
          <w:rFonts w:cs="Arial"/>
          <w:sz w:val="20"/>
          <w:lang w:val="nl-BE" w:eastAsia="nl-BE" w:bidi="nl-BE"/>
        </w:rPr>
      </w:pPr>
    </w:p>
    <w:p w:rsidR="00E9356B" w:rsidRPr="00E9356B" w:rsidRDefault="00E9356B" w:rsidP="00E9356B">
      <w:pPr>
        <w:spacing w:after="200" w:line="276" w:lineRule="auto"/>
        <w:rPr>
          <w:rFonts w:cs="Arial"/>
          <w:sz w:val="20"/>
          <w:lang w:val="nl-BE" w:eastAsia="nl-BE" w:bidi="nl-BE"/>
        </w:rPr>
      </w:pPr>
    </w:p>
    <w:p w:rsidR="00E9356B" w:rsidRPr="00E9356B" w:rsidRDefault="00E9356B" w:rsidP="00E9356B">
      <w:pPr>
        <w:spacing w:after="200" w:line="276" w:lineRule="auto"/>
        <w:rPr>
          <w:rFonts w:ascii="Calibri" w:hAnsi="Calibri"/>
          <w:color w:val="1F497D"/>
          <w:szCs w:val="22"/>
          <w:lang w:val="nl-BE" w:eastAsia="nl-BE" w:bidi="nl-BE"/>
        </w:rPr>
      </w:pPr>
      <w:r w:rsidRPr="00E9356B">
        <w:rPr>
          <w:sz w:val="20"/>
          <w:szCs w:val="22"/>
          <w:lang w:val="nl-BE" w:eastAsia="nl-BE" w:bidi="nl-BE"/>
        </w:rPr>
        <w:t xml:space="preserve">Besluit: </w:t>
      </w:r>
      <w:r w:rsidRPr="00E9356B">
        <w:rPr>
          <w:color w:val="000000"/>
          <w:sz w:val="20"/>
          <w:szCs w:val="22"/>
          <w:lang w:val="nl-BE" w:eastAsia="nl-BE" w:bidi="nl-BE"/>
        </w:rPr>
        <w:t xml:space="preserve">hoewel de bescherming en de vertrouwelijkheid erop vooruitgaan, maar overwegende dat Microsoft en de andere Amerikaans ondernemingen zich momenteel niet kunnen verzetten tegen de aanvragen van hun regering om toegang te hebben tot de gegevens die in hun </w:t>
      </w:r>
      <w:proofErr w:type="spellStart"/>
      <w:r w:rsidRPr="00E9356B">
        <w:rPr>
          <w:color w:val="000000"/>
          <w:sz w:val="20"/>
          <w:szCs w:val="22"/>
          <w:lang w:val="nl-BE" w:eastAsia="nl-BE" w:bidi="nl-BE"/>
        </w:rPr>
        <w:t>clouds</w:t>
      </w:r>
      <w:proofErr w:type="spellEnd"/>
      <w:r w:rsidRPr="00E9356B">
        <w:rPr>
          <w:color w:val="000000"/>
          <w:sz w:val="20"/>
          <w:szCs w:val="22"/>
          <w:lang w:val="nl-BE" w:eastAsia="nl-BE" w:bidi="nl-BE"/>
        </w:rPr>
        <w:t xml:space="preserve"> zijn opgeslagen, is het sterk af te raden om in de huidige toestand een beroep te doen op hun </w:t>
      </w:r>
      <w:proofErr w:type="spellStart"/>
      <w:r w:rsidRPr="00E9356B">
        <w:rPr>
          <w:color w:val="000000"/>
          <w:sz w:val="20"/>
          <w:szCs w:val="22"/>
          <w:lang w:val="nl-BE" w:eastAsia="nl-BE" w:bidi="nl-BE"/>
        </w:rPr>
        <w:t>cloud</w:t>
      </w:r>
      <w:proofErr w:type="spellEnd"/>
      <w:r w:rsidRPr="00E9356B">
        <w:rPr>
          <w:color w:val="000000"/>
          <w:sz w:val="20"/>
          <w:szCs w:val="22"/>
          <w:lang w:val="nl-BE" w:eastAsia="nl-BE" w:bidi="nl-BE"/>
        </w:rPr>
        <w:t xml:space="preserve"> services. "</w:t>
      </w:r>
    </w:p>
    <w:p w:rsidR="00E9356B" w:rsidRPr="00E9356B" w:rsidRDefault="00E9356B" w:rsidP="00E9356B">
      <w:pPr>
        <w:jc w:val="both"/>
        <w:rPr>
          <w:rFonts w:cs="Arial"/>
          <w:sz w:val="20"/>
          <w:lang w:val="nl-BE" w:eastAsia="nl-BE" w:bidi="nl-BE"/>
        </w:rPr>
      </w:pPr>
      <w:r w:rsidRPr="00E9356B">
        <w:rPr>
          <w:sz w:val="20"/>
          <w:szCs w:val="22"/>
          <w:lang w:val="nl-BE" w:eastAsia="nl-BE" w:bidi="nl-BE"/>
        </w:rPr>
        <w:t xml:space="preserve">Ter informatie: de belangrijkste problemen in verband met de openbare </w:t>
      </w:r>
      <w:proofErr w:type="spellStart"/>
      <w:r w:rsidRPr="00E9356B">
        <w:rPr>
          <w:sz w:val="20"/>
          <w:szCs w:val="22"/>
          <w:lang w:val="nl-BE" w:eastAsia="nl-BE" w:bidi="nl-BE"/>
        </w:rPr>
        <w:t>cloud</w:t>
      </w:r>
      <w:proofErr w:type="spellEnd"/>
      <w:r w:rsidRPr="00E9356B">
        <w:rPr>
          <w:sz w:val="20"/>
          <w:szCs w:val="22"/>
          <w:lang w:val="nl-BE" w:eastAsia="nl-BE" w:bidi="nl-BE"/>
        </w:rPr>
        <w:t xml:space="preserve"> zijn:</w:t>
      </w:r>
    </w:p>
    <w:p w:rsidR="00E9356B" w:rsidRPr="00E9356B" w:rsidRDefault="00E9356B" w:rsidP="00E9356B">
      <w:pPr>
        <w:jc w:val="both"/>
        <w:rPr>
          <w:rFonts w:cs="Arial"/>
          <w:sz w:val="20"/>
          <w:lang w:val="nl-BE" w:eastAsia="nl-BE" w:bidi="nl-BE"/>
        </w:rPr>
      </w:pPr>
    </w:p>
    <w:p w:rsidR="00E9356B" w:rsidRPr="00E9356B" w:rsidRDefault="00E9356B" w:rsidP="00E9356B">
      <w:pPr>
        <w:ind w:left="284" w:hanging="284"/>
        <w:jc w:val="both"/>
        <w:rPr>
          <w:rFonts w:cs="Arial"/>
          <w:sz w:val="20"/>
          <w:lang w:val="nl-BE" w:eastAsia="nl-BE" w:bidi="nl-BE"/>
        </w:rPr>
      </w:pPr>
      <w:r w:rsidRPr="00E9356B">
        <w:rPr>
          <w:sz w:val="20"/>
          <w:szCs w:val="22"/>
          <w:lang w:val="nl-BE" w:eastAsia="nl-BE" w:bidi="nl-BE"/>
        </w:rPr>
        <w:t>•</w:t>
      </w:r>
      <w:r w:rsidRPr="00E9356B">
        <w:rPr>
          <w:rFonts w:ascii="Calibri" w:hAnsi="Calibri"/>
          <w:szCs w:val="22"/>
          <w:lang w:val="nl-BE" w:eastAsia="nl-BE" w:bidi="nl-BE"/>
        </w:rPr>
        <w:tab/>
      </w:r>
      <w:r w:rsidRPr="00E9356B">
        <w:rPr>
          <w:sz w:val="20"/>
          <w:szCs w:val="22"/>
          <w:lang w:val="nl-BE" w:eastAsia="nl-BE" w:bidi="nl-BE"/>
        </w:rPr>
        <w:t>het gebruik van de gegevens om gebruikersprofielen aan te maken die vervolgens gebruikt worden voor eigen marketingdoeleinden (cf. recente gebeurtenis met een Nederlandse bank en een "Belg"</w:t>
      </w:r>
      <w:r w:rsidRPr="00E9356B">
        <w:rPr>
          <w:sz w:val="20"/>
          <w:szCs w:val="22"/>
          <w:vertAlign w:val="superscript"/>
          <w:lang w:val="nl-BE" w:eastAsia="nl-BE" w:bidi="nl-BE"/>
        </w:rPr>
        <w:footnoteReference w:id="6"/>
      </w:r>
      <w:r w:rsidRPr="00E9356B">
        <w:rPr>
          <w:sz w:val="20"/>
          <w:szCs w:val="22"/>
          <w:lang w:val="nl-BE" w:eastAsia="nl-BE" w:bidi="nl-BE"/>
        </w:rPr>
        <w:t>) die aan "verbonden ondernemingen" bezorgd worden of worden verkocht</w:t>
      </w:r>
      <w:r w:rsidRPr="00E9356B">
        <w:rPr>
          <w:sz w:val="20"/>
          <w:szCs w:val="22"/>
          <w:vertAlign w:val="superscript"/>
          <w:lang w:val="nl-BE" w:eastAsia="nl-BE" w:bidi="nl-BE"/>
        </w:rPr>
        <w:footnoteReference w:id="7"/>
      </w:r>
      <w:r w:rsidRPr="00E9356B">
        <w:rPr>
          <w:sz w:val="20"/>
          <w:szCs w:val="22"/>
          <w:lang w:val="nl-BE" w:eastAsia="nl-BE" w:bidi="nl-BE"/>
        </w:rPr>
        <w:t>;</w:t>
      </w:r>
    </w:p>
    <w:p w:rsidR="00E9356B" w:rsidRPr="00E9356B" w:rsidRDefault="00E9356B" w:rsidP="00E9356B">
      <w:pPr>
        <w:ind w:left="284" w:hanging="284"/>
        <w:jc w:val="both"/>
        <w:rPr>
          <w:rFonts w:cs="Arial"/>
          <w:sz w:val="20"/>
          <w:lang w:val="nl-BE" w:eastAsia="nl-BE" w:bidi="nl-BE"/>
        </w:rPr>
      </w:pPr>
      <w:r w:rsidRPr="00E9356B">
        <w:rPr>
          <w:sz w:val="20"/>
          <w:szCs w:val="22"/>
          <w:lang w:val="nl-BE" w:eastAsia="nl-BE" w:bidi="nl-BE"/>
        </w:rPr>
        <w:t>•</w:t>
      </w:r>
      <w:r w:rsidRPr="00E9356B">
        <w:rPr>
          <w:rFonts w:ascii="Calibri" w:hAnsi="Calibri"/>
          <w:szCs w:val="22"/>
          <w:lang w:val="nl-BE" w:eastAsia="nl-BE" w:bidi="nl-BE"/>
        </w:rPr>
        <w:tab/>
      </w:r>
      <w:r w:rsidRPr="00E9356B">
        <w:rPr>
          <w:sz w:val="20"/>
          <w:szCs w:val="22"/>
          <w:lang w:val="nl-BE" w:eastAsia="nl-BE" w:bidi="nl-BE"/>
        </w:rPr>
        <w:t xml:space="preserve">piraterij en het gebruik van verborgen toegangspoorten (back </w:t>
      </w:r>
      <w:proofErr w:type="spellStart"/>
      <w:r w:rsidRPr="00E9356B">
        <w:rPr>
          <w:sz w:val="20"/>
          <w:szCs w:val="22"/>
          <w:lang w:val="nl-BE" w:eastAsia="nl-BE" w:bidi="nl-BE"/>
        </w:rPr>
        <w:t>doors</w:t>
      </w:r>
      <w:proofErr w:type="spellEnd"/>
      <w:r w:rsidRPr="00E9356B">
        <w:rPr>
          <w:sz w:val="20"/>
          <w:szCs w:val="22"/>
          <w:lang w:val="nl-BE" w:eastAsia="nl-BE" w:bidi="nl-BE"/>
        </w:rPr>
        <w:t>);</w:t>
      </w:r>
    </w:p>
    <w:p w:rsidR="00E9356B" w:rsidRPr="00E9356B" w:rsidRDefault="00E9356B" w:rsidP="00E9356B">
      <w:pPr>
        <w:ind w:left="284" w:hanging="284"/>
        <w:jc w:val="both"/>
        <w:rPr>
          <w:rFonts w:cs="Arial"/>
          <w:sz w:val="20"/>
          <w:lang w:val="nl-BE" w:eastAsia="nl-BE" w:bidi="nl-BE"/>
        </w:rPr>
      </w:pPr>
      <w:r w:rsidRPr="00E9356B">
        <w:rPr>
          <w:sz w:val="20"/>
          <w:szCs w:val="22"/>
          <w:lang w:val="nl-BE" w:eastAsia="nl-BE" w:bidi="nl-BE"/>
        </w:rPr>
        <w:t>•</w:t>
      </w:r>
      <w:r w:rsidRPr="00E9356B">
        <w:rPr>
          <w:rFonts w:ascii="Calibri" w:hAnsi="Calibri"/>
          <w:szCs w:val="22"/>
          <w:lang w:val="nl-BE" w:eastAsia="nl-BE" w:bidi="nl-BE"/>
        </w:rPr>
        <w:tab/>
      </w:r>
      <w:r w:rsidRPr="00E9356B">
        <w:rPr>
          <w:sz w:val="20"/>
          <w:szCs w:val="22"/>
          <w:lang w:val="nl-BE" w:eastAsia="nl-BE" w:bidi="nl-BE"/>
        </w:rPr>
        <w:t>met de meeste oplossingen, totaalverlies van de gegevensmatrix door de verantwoordelijke van de behandeling (toegangsbeheer, bescherming tegen de verliezen van beheerde gegevens, migraties van gegevens naar een vaak niet voorzien systeem, overname van gegevens wanneer de leverancier zijn activiteit stopzet) en gebrek aan zichtbaarheid over de wettelijke verantwoordelijkheden die de opslag en de bescherming van deze gegevens omkaderen;</w:t>
      </w:r>
    </w:p>
    <w:p w:rsidR="00E9356B" w:rsidRPr="00E9356B" w:rsidRDefault="00E9356B" w:rsidP="00E9356B">
      <w:pPr>
        <w:ind w:left="284" w:hanging="284"/>
        <w:jc w:val="both"/>
        <w:rPr>
          <w:rFonts w:cs="Arial"/>
          <w:sz w:val="20"/>
          <w:lang w:val="nl-BE" w:eastAsia="nl-BE" w:bidi="nl-BE"/>
        </w:rPr>
      </w:pPr>
      <w:r w:rsidRPr="00E9356B">
        <w:rPr>
          <w:sz w:val="20"/>
          <w:szCs w:val="22"/>
          <w:lang w:val="nl-BE" w:eastAsia="nl-BE" w:bidi="nl-BE"/>
        </w:rPr>
        <w:t>•</w:t>
      </w:r>
      <w:r w:rsidRPr="00E9356B">
        <w:rPr>
          <w:rFonts w:ascii="Calibri" w:hAnsi="Calibri"/>
          <w:szCs w:val="22"/>
          <w:lang w:val="nl-BE" w:eastAsia="nl-BE" w:bidi="nl-BE"/>
        </w:rPr>
        <w:tab/>
      </w:r>
      <w:r w:rsidRPr="00E9356B">
        <w:rPr>
          <w:sz w:val="20"/>
          <w:szCs w:val="22"/>
          <w:lang w:val="nl-BE" w:eastAsia="nl-BE" w:bidi="nl-BE"/>
        </w:rPr>
        <w:t>een complexe uitvoering van de contracten en garanties, hoewel de SLA beschikbaar zijn, aangezien de schade moeilijk te becijferen is;</w:t>
      </w:r>
    </w:p>
    <w:p w:rsidR="00E9356B" w:rsidRPr="00E9356B" w:rsidRDefault="00E9356B" w:rsidP="00E9356B">
      <w:pPr>
        <w:numPr>
          <w:ilvl w:val="0"/>
          <w:numId w:val="3"/>
        </w:numPr>
        <w:spacing w:after="200" w:line="276" w:lineRule="auto"/>
        <w:ind w:left="284" w:hanging="284"/>
        <w:contextualSpacing/>
        <w:rPr>
          <w:rFonts w:cs="Arial"/>
          <w:sz w:val="20"/>
          <w:lang w:val="nl-BE" w:eastAsia="nl-BE" w:bidi="nl-BE"/>
        </w:rPr>
      </w:pPr>
      <w:r w:rsidRPr="00E9356B">
        <w:rPr>
          <w:sz w:val="20"/>
          <w:szCs w:val="22"/>
          <w:lang w:val="nl-BE" w:eastAsia="nl-BE" w:bidi="nl-BE"/>
        </w:rPr>
        <w:t xml:space="preserve">de overdracht van de kosten van de investeringsrekeningen naar de exploitatierekeningen hetgeen een financiering per lening moeilijk, zelfs onmogelijk maakt; de spionageactiviteiten van NSA (al dan niet krachtens de hieronder vermelde Amerikaanse wetgeving) via firma's die </w:t>
      </w:r>
      <w:proofErr w:type="spellStart"/>
      <w:r w:rsidRPr="00E9356B">
        <w:rPr>
          <w:sz w:val="20"/>
          <w:szCs w:val="22"/>
          <w:lang w:val="nl-BE" w:eastAsia="nl-BE" w:bidi="nl-BE"/>
        </w:rPr>
        <w:t>cloud</w:t>
      </w:r>
      <w:proofErr w:type="spellEnd"/>
      <w:r w:rsidRPr="00E9356B">
        <w:rPr>
          <w:sz w:val="20"/>
          <w:szCs w:val="22"/>
          <w:lang w:val="nl-BE" w:eastAsia="nl-BE" w:bidi="nl-BE"/>
        </w:rPr>
        <w:t xml:space="preserve"> services aanbieden;</w:t>
      </w:r>
    </w:p>
    <w:p w:rsidR="00E9356B" w:rsidRPr="00E9356B" w:rsidRDefault="00E9356B" w:rsidP="00E9356B">
      <w:pPr>
        <w:ind w:left="284" w:hanging="284"/>
        <w:rPr>
          <w:rFonts w:cs="Arial"/>
          <w:sz w:val="20"/>
          <w:lang w:val="nl-BE" w:eastAsia="nl-BE" w:bidi="nl-BE"/>
        </w:rPr>
      </w:pPr>
      <w:r w:rsidRPr="00E9356B">
        <w:rPr>
          <w:sz w:val="20"/>
          <w:szCs w:val="22"/>
          <w:lang w:val="nl-BE" w:eastAsia="nl-BE" w:bidi="nl-BE"/>
        </w:rPr>
        <w:t>•</w:t>
      </w:r>
      <w:r w:rsidRPr="00E9356B">
        <w:rPr>
          <w:rFonts w:ascii="Calibri" w:hAnsi="Calibri"/>
          <w:szCs w:val="22"/>
          <w:lang w:val="nl-BE" w:eastAsia="nl-BE" w:bidi="nl-BE"/>
        </w:rPr>
        <w:tab/>
      </w:r>
      <w:r w:rsidRPr="00E9356B">
        <w:rPr>
          <w:sz w:val="20"/>
          <w:szCs w:val="22"/>
          <w:lang w:val="nl-BE" w:eastAsia="nl-BE" w:bidi="nl-BE"/>
        </w:rPr>
        <w:t>de aandachtspunten in de "</w:t>
      </w:r>
      <w:proofErr w:type="spellStart"/>
      <w:r w:rsidRPr="00E9356B">
        <w:rPr>
          <w:sz w:val="20"/>
          <w:szCs w:val="22"/>
          <w:lang w:val="nl-BE" w:eastAsia="nl-BE" w:bidi="nl-BE"/>
        </w:rPr>
        <w:t>cloudcontracten</w:t>
      </w:r>
      <w:proofErr w:type="spellEnd"/>
      <w:r w:rsidRPr="00E9356B">
        <w:rPr>
          <w:sz w:val="20"/>
          <w:szCs w:val="22"/>
          <w:lang w:val="nl-BE" w:eastAsia="nl-BE" w:bidi="nl-BE"/>
        </w:rPr>
        <w:t>" en, over het algemeen in de contracten voor outsourcing, zie meer bepaald de publicatie van ENISA</w:t>
      </w:r>
      <w:r w:rsidRPr="00E9356B">
        <w:rPr>
          <w:sz w:val="20"/>
          <w:szCs w:val="22"/>
          <w:vertAlign w:val="superscript"/>
          <w:lang w:val="nl-BE" w:eastAsia="nl-BE" w:bidi="nl-BE"/>
        </w:rPr>
        <w:footnoteReference w:id="8"/>
      </w:r>
      <w:r w:rsidRPr="00E9356B">
        <w:rPr>
          <w:sz w:val="20"/>
          <w:szCs w:val="22"/>
          <w:lang w:val="nl-BE" w:eastAsia="nl-BE" w:bidi="nl-BE"/>
        </w:rPr>
        <w:t xml:space="preserve"> en de richtlijnen die reeds talrijk werden gepubliceerd door advocaten en consultants;</w:t>
      </w:r>
    </w:p>
    <w:p w:rsidR="00E9356B" w:rsidRPr="00E9356B" w:rsidRDefault="00E9356B" w:rsidP="00E9356B">
      <w:pPr>
        <w:ind w:left="284" w:hanging="284"/>
        <w:jc w:val="both"/>
        <w:rPr>
          <w:rFonts w:cs="Arial"/>
          <w:sz w:val="20"/>
          <w:lang w:val="nl-BE" w:eastAsia="nl-BE" w:bidi="nl-BE"/>
        </w:rPr>
      </w:pPr>
      <w:r w:rsidRPr="00E9356B">
        <w:rPr>
          <w:sz w:val="20"/>
          <w:szCs w:val="22"/>
          <w:lang w:val="nl-BE" w:eastAsia="nl-BE" w:bidi="nl-BE"/>
        </w:rPr>
        <w:t>•</w:t>
      </w:r>
      <w:r w:rsidRPr="00E9356B">
        <w:rPr>
          <w:rFonts w:ascii="Calibri" w:hAnsi="Calibri"/>
          <w:szCs w:val="22"/>
          <w:lang w:val="nl-BE" w:eastAsia="nl-BE" w:bidi="nl-BE"/>
        </w:rPr>
        <w:tab/>
      </w:r>
      <w:r w:rsidRPr="00E9356B">
        <w:rPr>
          <w:sz w:val="20"/>
          <w:szCs w:val="22"/>
          <w:lang w:val="nl-BE" w:eastAsia="nl-BE" w:bidi="nl-BE"/>
        </w:rPr>
        <w:t xml:space="preserve">een rechter - zelfs een Europese - kan gegevens vragen aan de leverancier van </w:t>
      </w:r>
      <w:proofErr w:type="spellStart"/>
      <w:r w:rsidRPr="00E9356B">
        <w:rPr>
          <w:sz w:val="20"/>
          <w:szCs w:val="22"/>
          <w:lang w:val="nl-BE" w:eastAsia="nl-BE" w:bidi="nl-BE"/>
        </w:rPr>
        <w:t>cloud</w:t>
      </w:r>
      <w:proofErr w:type="spellEnd"/>
      <w:r w:rsidRPr="00E9356B">
        <w:rPr>
          <w:sz w:val="20"/>
          <w:szCs w:val="22"/>
          <w:lang w:val="nl-BE" w:eastAsia="nl-BE" w:bidi="nl-BE"/>
        </w:rPr>
        <w:t xml:space="preserve"> services zonder dat de eigenaar van de gegevens hierover wordt ingelicht (ondanks de contractuele bepalingen of een eventueel uitdrukkelijk voorbehoud)</w:t>
      </w:r>
      <w:r w:rsidRPr="00E9356B">
        <w:rPr>
          <w:sz w:val="20"/>
          <w:szCs w:val="22"/>
          <w:vertAlign w:val="superscript"/>
          <w:lang w:val="nl-BE" w:eastAsia="nl-BE" w:bidi="nl-BE"/>
        </w:rPr>
        <w:footnoteReference w:id="9"/>
      </w:r>
    </w:p>
    <w:p w:rsidR="00E9356B" w:rsidRPr="00E9356B" w:rsidRDefault="00E9356B" w:rsidP="00E9356B">
      <w:pPr>
        <w:ind w:left="284" w:hanging="284"/>
        <w:jc w:val="both"/>
        <w:rPr>
          <w:rFonts w:cs="Arial"/>
          <w:sz w:val="20"/>
          <w:lang w:val="nl-BE" w:eastAsia="nl-BE" w:bidi="nl-BE"/>
        </w:rPr>
      </w:pPr>
      <w:r w:rsidRPr="00E9356B">
        <w:rPr>
          <w:sz w:val="20"/>
          <w:szCs w:val="22"/>
          <w:lang w:val="nl-BE" w:eastAsia="nl-BE" w:bidi="nl-BE"/>
        </w:rPr>
        <w:lastRenderedPageBreak/>
        <w:t>•</w:t>
      </w:r>
      <w:r w:rsidRPr="00E9356B">
        <w:rPr>
          <w:rFonts w:ascii="Calibri" w:hAnsi="Calibri"/>
          <w:szCs w:val="22"/>
          <w:lang w:val="nl-BE" w:eastAsia="nl-BE" w:bidi="nl-BE"/>
        </w:rPr>
        <w:tab/>
      </w:r>
      <w:r w:rsidRPr="00E9356B">
        <w:rPr>
          <w:sz w:val="20"/>
          <w:szCs w:val="22"/>
          <w:lang w:val="nl-BE" w:eastAsia="nl-BE" w:bidi="nl-BE"/>
        </w:rPr>
        <w:t xml:space="preserve">de Amerikaanse leveranciers van </w:t>
      </w:r>
      <w:proofErr w:type="spellStart"/>
      <w:r w:rsidRPr="00E9356B">
        <w:rPr>
          <w:sz w:val="20"/>
          <w:szCs w:val="22"/>
          <w:lang w:val="nl-BE" w:eastAsia="nl-BE" w:bidi="nl-BE"/>
        </w:rPr>
        <w:t>cloud</w:t>
      </w:r>
      <w:proofErr w:type="spellEnd"/>
      <w:r w:rsidRPr="00E9356B">
        <w:rPr>
          <w:sz w:val="20"/>
          <w:szCs w:val="22"/>
          <w:lang w:val="nl-BE" w:eastAsia="nl-BE" w:bidi="nl-BE"/>
        </w:rPr>
        <w:t xml:space="preserve"> services: grootschalige analyse van de </w:t>
      </w:r>
      <w:proofErr w:type="spellStart"/>
      <w:r w:rsidRPr="00E9356B">
        <w:rPr>
          <w:sz w:val="20"/>
          <w:szCs w:val="22"/>
          <w:lang w:val="nl-BE" w:eastAsia="nl-BE" w:bidi="nl-BE"/>
        </w:rPr>
        <w:t>clouds</w:t>
      </w:r>
      <w:proofErr w:type="spellEnd"/>
      <w:r w:rsidRPr="00E9356B">
        <w:rPr>
          <w:sz w:val="20"/>
          <w:szCs w:val="22"/>
          <w:lang w:val="nl-BE" w:eastAsia="nl-BE" w:bidi="nl-BE"/>
        </w:rPr>
        <w:t xml:space="preserve"> die gegevens bevatten van Europese burgers die worden bewaard door Amerikaanse ondernemingen of die verband houden met Amerika. De opslagplaats is niet bepalend! De Amerikaanse wetgeving, meer bepaald de "Patriot Act" en de "FISA </w:t>
      </w:r>
      <w:proofErr w:type="spellStart"/>
      <w:r w:rsidRPr="00E9356B">
        <w:rPr>
          <w:sz w:val="20"/>
          <w:szCs w:val="22"/>
          <w:lang w:val="nl-BE" w:eastAsia="nl-BE" w:bidi="nl-BE"/>
        </w:rPr>
        <w:t>Amendments</w:t>
      </w:r>
      <w:proofErr w:type="spellEnd"/>
      <w:r w:rsidRPr="00E9356B">
        <w:rPr>
          <w:sz w:val="20"/>
          <w:szCs w:val="22"/>
          <w:lang w:val="nl-BE" w:eastAsia="nl-BE" w:bidi="nl-BE"/>
        </w:rPr>
        <w:t xml:space="preserve"> Act", staan dit toe, er moet zelfs geen sprake zijn van terrorisme of grote criminaliteit</w:t>
      </w:r>
      <w:r w:rsidRPr="00E9356B">
        <w:rPr>
          <w:sz w:val="20"/>
          <w:szCs w:val="22"/>
          <w:vertAlign w:val="superscript"/>
          <w:lang w:val="nl-BE" w:eastAsia="nl-BE" w:bidi="nl-BE"/>
        </w:rPr>
        <w:footnoteReference w:id="10"/>
      </w:r>
      <w:r w:rsidRPr="00E9356B">
        <w:rPr>
          <w:sz w:val="20"/>
          <w:szCs w:val="22"/>
          <w:lang w:val="nl-BE" w:eastAsia="nl-BE" w:bidi="nl-BE"/>
        </w:rPr>
        <w:t>.</w:t>
      </w:r>
    </w:p>
    <w:sectPr w:rsidR="00E9356B" w:rsidRPr="00E9356B">
      <w:headerReference w:type="default" r:id="rId14"/>
      <w:type w:val="continuous"/>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86" w:rsidRDefault="00827F86">
      <w:r>
        <w:separator/>
      </w:r>
    </w:p>
  </w:endnote>
  <w:endnote w:type="continuationSeparator" w:id="0">
    <w:p w:rsidR="00827F86" w:rsidRDefault="0082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86" w:rsidRDefault="00827F86">
      <w:r>
        <w:separator/>
      </w:r>
    </w:p>
  </w:footnote>
  <w:footnote w:type="continuationSeparator" w:id="0">
    <w:p w:rsidR="00827F86" w:rsidRDefault="00827F86">
      <w:r>
        <w:continuationSeparator/>
      </w:r>
    </w:p>
  </w:footnote>
  <w:footnote w:id="1">
    <w:p w:rsidR="00E9356B" w:rsidRPr="00E9356B" w:rsidRDefault="00E9356B" w:rsidP="00E9356B">
      <w:pPr>
        <w:autoSpaceDE w:val="0"/>
        <w:autoSpaceDN w:val="0"/>
        <w:adjustRightInd w:val="0"/>
        <w:ind w:left="284" w:hanging="284"/>
        <w:rPr>
          <w:rFonts w:ascii="Tahoma" w:hAnsi="Tahoma" w:cs="Tahoma"/>
          <w:sz w:val="16"/>
          <w:szCs w:val="16"/>
          <w:lang w:val="nl-NL"/>
        </w:rPr>
      </w:pPr>
      <w:r>
        <w:rPr>
          <w:rStyle w:val="FootnoteReference"/>
          <w:rFonts w:ascii="Tahoma" w:hAnsi="Tahoma"/>
        </w:rPr>
        <w:footnoteRef/>
      </w:r>
      <w:r w:rsidRPr="00E9356B">
        <w:rPr>
          <w:rFonts w:ascii="Tahoma" w:hAnsi="Tahoma"/>
          <w:sz w:val="16"/>
          <w:lang w:val="nl-NL"/>
        </w:rPr>
        <w:t xml:space="preserve"> </w:t>
      </w:r>
      <w:r w:rsidRPr="00E9356B">
        <w:rPr>
          <w:lang w:val="nl-NL"/>
        </w:rPr>
        <w:tab/>
      </w:r>
      <w:r w:rsidRPr="00E9356B">
        <w:rPr>
          <w:rFonts w:ascii="Tahoma" w:hAnsi="Tahoma"/>
          <w:sz w:val="16"/>
          <w:lang w:val="nl-NL"/>
        </w:rPr>
        <w:t>Art. 16, 4. Om de veiligheid te bepalen van de persoonsgegevens moeten de verantwoordelijke van de behandeling en, in dit geval, de vertegenwoordiger ervan in België de passende technische en organisatorische maatregelen ten uitvoer leggen om persoonsgegevens te beveiligen tegen vernietiging, hetzij per ongeluk, hetzij onrechtmatig, tegen verlies, vervalsing, niet-toegelaten verspreiding of toegang, met name wanneer de verwerking doorzending van gegevens in een netwerk omvat, dan wel tegen enige andere vorm van onwettige verwerking.</w:t>
      </w:r>
    </w:p>
    <w:p w:rsidR="00E9356B" w:rsidRPr="004D043D" w:rsidRDefault="00827F86" w:rsidP="00E9356B">
      <w:pPr>
        <w:pStyle w:val="FootnoteText"/>
        <w:ind w:left="284"/>
        <w:rPr>
          <w:rFonts w:ascii="Tahoma" w:hAnsi="Tahoma" w:cs="Tahoma"/>
          <w:sz w:val="16"/>
          <w:szCs w:val="16"/>
        </w:rPr>
      </w:pPr>
      <w:hyperlink r:id="rId1">
        <w:r w:rsidR="00E9356B">
          <w:rPr>
            <w:rStyle w:val="Hyperlink"/>
            <w:rFonts w:ascii="Tahoma" w:hAnsi="Tahoma"/>
            <w:sz w:val="16"/>
          </w:rPr>
          <w:t>http://www.privacycommission.be/fr/node/3790</w:t>
        </w:r>
      </w:hyperlink>
    </w:p>
  </w:footnote>
  <w:footnote w:id="2">
    <w:p w:rsidR="00E9356B" w:rsidRPr="004D043D" w:rsidRDefault="00E9356B" w:rsidP="00E9356B">
      <w:pPr>
        <w:pStyle w:val="FootnoteText"/>
        <w:ind w:left="284" w:hanging="284"/>
        <w:rPr>
          <w:rFonts w:ascii="Tahoma" w:hAnsi="Tahoma" w:cs="Tahoma"/>
          <w:sz w:val="16"/>
          <w:szCs w:val="16"/>
        </w:rPr>
      </w:pPr>
      <w:r>
        <w:rPr>
          <w:rStyle w:val="FootnoteReference"/>
          <w:rFonts w:ascii="Tahoma" w:hAnsi="Tahoma"/>
        </w:rPr>
        <w:footnoteRef/>
      </w:r>
      <w:r>
        <w:rPr>
          <w:rFonts w:ascii="Tahoma" w:hAnsi="Tahoma"/>
          <w:sz w:val="16"/>
        </w:rPr>
        <w:t xml:space="preserve"> </w:t>
      </w:r>
      <w:r>
        <w:tab/>
      </w:r>
      <w:r>
        <w:rPr>
          <w:rFonts w:ascii="Tahoma" w:hAnsi="Tahoma"/>
          <w:sz w:val="16"/>
        </w:rPr>
        <w:t>Art. 17, 2. De Lidstaten bepalen dat de voor de verwerking verantwoordelijke, in geval van verwerking te zijnen behoeve, een verwerker moet kiezen die voldoende waarborgen biedt ten aanzien van de technische en organisatorische beveiligingsmaatregelen met betrekking tot de te verrichten verwerking en moet toezien op de naleving van die maatregelen.</w:t>
      </w:r>
    </w:p>
    <w:p w:rsidR="00E9356B" w:rsidRPr="004D043D" w:rsidRDefault="00E9356B" w:rsidP="00E9356B">
      <w:pPr>
        <w:pStyle w:val="FootnoteText"/>
        <w:ind w:left="284"/>
        <w:rPr>
          <w:rFonts w:ascii="Tahoma" w:hAnsi="Tahoma" w:cs="Tahoma"/>
          <w:sz w:val="16"/>
          <w:szCs w:val="16"/>
        </w:rPr>
      </w:pPr>
      <w:r>
        <w:rPr>
          <w:rFonts w:ascii="Tahoma" w:hAnsi="Tahoma"/>
          <w:sz w:val="16"/>
        </w:rPr>
        <w:t>http://eur-lex.europa.eu/legal-content/FR/TXT/?uri=CELEX:31995L0046</w:t>
      </w:r>
    </w:p>
  </w:footnote>
  <w:footnote w:id="3">
    <w:p w:rsidR="00E9356B" w:rsidRPr="00455A09" w:rsidRDefault="00E9356B" w:rsidP="00E9356B">
      <w:pPr>
        <w:pStyle w:val="FootnoteText"/>
        <w:ind w:left="284" w:hanging="284"/>
        <w:rPr>
          <w:rFonts w:ascii="Tahoma" w:hAnsi="Tahoma" w:cs="Tahoma"/>
          <w:sz w:val="16"/>
          <w:szCs w:val="16"/>
        </w:rPr>
      </w:pPr>
      <w:r>
        <w:rPr>
          <w:rStyle w:val="FootnoteReference"/>
          <w:rFonts w:ascii="Tahoma" w:hAnsi="Tahoma"/>
        </w:rPr>
        <w:footnoteRef/>
      </w:r>
      <w:r>
        <w:rPr>
          <w:rFonts w:ascii="Tahoma" w:hAnsi="Tahoma"/>
          <w:sz w:val="16"/>
        </w:rPr>
        <w:t xml:space="preserve"> </w:t>
      </w:r>
      <w:r>
        <w:tab/>
      </w:r>
      <w:hyperlink r:id="rId2">
        <w:r>
          <w:rPr>
            <w:rStyle w:val="Hyperlink"/>
            <w:rFonts w:ascii="Tahoma" w:hAnsi="Tahoma"/>
            <w:sz w:val="16"/>
          </w:rPr>
          <w:t>*https://www.bcss.fgov.be/binaries/documentation/fr/securite/policies/isms_050_cloud_computing_policy_fr.pdf</w:t>
        </w:r>
      </w:hyperlink>
    </w:p>
  </w:footnote>
  <w:footnote w:id="4">
    <w:p w:rsidR="00E9356B" w:rsidRPr="00C244FA" w:rsidRDefault="00E9356B" w:rsidP="00E9356B">
      <w:pPr>
        <w:pStyle w:val="FootnoteText"/>
        <w:ind w:left="284" w:hanging="284"/>
        <w:rPr>
          <w:rFonts w:ascii="Tahoma" w:hAnsi="Tahoma" w:cs="Tahoma"/>
          <w:sz w:val="16"/>
          <w:szCs w:val="16"/>
        </w:rPr>
      </w:pPr>
      <w:r>
        <w:rPr>
          <w:rStyle w:val="FootnoteReference"/>
        </w:rPr>
        <w:footnoteRef/>
      </w:r>
      <w:r>
        <w:t xml:space="preserve"> </w:t>
      </w:r>
      <w:r>
        <w:tab/>
      </w:r>
      <w:r>
        <w:rPr>
          <w:rFonts w:ascii="Tahoma" w:hAnsi="Tahoma"/>
          <w:sz w:val="16"/>
        </w:rPr>
        <w:t xml:space="preserve">Zie het activiteitenverslag 2013 van Smals: p. 19 over de Community Cloud en p. 52 over de Cloud Infrastructuur: </w:t>
      </w:r>
      <w:hyperlink r:id="rId3">
        <w:r>
          <w:rPr>
            <w:rStyle w:val="Hyperlink"/>
            <w:rFonts w:ascii="Tahoma" w:hAnsi="Tahoma"/>
            <w:sz w:val="16"/>
          </w:rPr>
          <w:t>https://www.smals.be/sites/default/files/assets/rapportsmalsfrweb11-06-2014.pdf</w:t>
        </w:r>
      </w:hyperlink>
      <w:r>
        <w:rPr>
          <w:rFonts w:ascii="Tahoma" w:hAnsi="Tahoma"/>
          <w:sz w:val="16"/>
        </w:rPr>
        <w:t xml:space="preserve">. </w:t>
      </w:r>
    </w:p>
    <w:p w:rsidR="00E9356B" w:rsidRPr="00C244FA" w:rsidRDefault="00E9356B" w:rsidP="00E9356B">
      <w:pPr>
        <w:pStyle w:val="FootnoteText"/>
        <w:ind w:left="284" w:hanging="284"/>
        <w:rPr>
          <w:rFonts w:ascii="Tahoma" w:hAnsi="Tahoma" w:cs="Tahoma"/>
          <w:sz w:val="16"/>
          <w:szCs w:val="16"/>
        </w:rPr>
      </w:pPr>
      <w:r>
        <w:tab/>
      </w:r>
      <w:r>
        <w:rPr>
          <w:rFonts w:ascii="Tahoma" w:hAnsi="Tahoma"/>
          <w:sz w:val="16"/>
        </w:rPr>
        <w:t xml:space="preserve"> Kijk op de site van </w:t>
      </w:r>
      <w:proofErr w:type="spellStart"/>
      <w:r>
        <w:rPr>
          <w:rFonts w:ascii="Tahoma" w:hAnsi="Tahoma"/>
          <w:sz w:val="16"/>
        </w:rPr>
        <w:t>Datanews</w:t>
      </w:r>
      <w:proofErr w:type="spellEnd"/>
      <w:r>
        <w:rPr>
          <w:rFonts w:ascii="Tahoma" w:hAnsi="Tahoma"/>
          <w:sz w:val="16"/>
        </w:rPr>
        <w:t>, de actualiteit van 03/04/2014 in verband met het project "</w:t>
      </w:r>
      <w:proofErr w:type="spellStart"/>
      <w:r>
        <w:rPr>
          <w:rFonts w:ascii="Tahoma" w:hAnsi="Tahoma"/>
          <w:sz w:val="16"/>
        </w:rPr>
        <w:t>Government</w:t>
      </w:r>
      <w:proofErr w:type="spellEnd"/>
      <w:r>
        <w:rPr>
          <w:rFonts w:ascii="Tahoma" w:hAnsi="Tahoma"/>
          <w:sz w:val="16"/>
        </w:rPr>
        <w:t xml:space="preserve"> Cloud" of "G-Cloud" van </w:t>
      </w:r>
      <w:proofErr w:type="spellStart"/>
      <w:r>
        <w:rPr>
          <w:rFonts w:ascii="Tahoma" w:hAnsi="Tahoma"/>
          <w:sz w:val="16"/>
        </w:rPr>
        <w:t>Fedict</w:t>
      </w:r>
      <w:proofErr w:type="spellEnd"/>
      <w:r>
        <w:rPr>
          <w:rFonts w:ascii="Tahoma" w:hAnsi="Tahoma"/>
          <w:sz w:val="16"/>
        </w:rPr>
        <w:t xml:space="preserve">: </w:t>
      </w:r>
      <w:hyperlink r:id="rId4">
        <w:r>
          <w:rPr>
            <w:rStyle w:val="Hyperlink"/>
            <w:rFonts w:ascii="Tahoma" w:hAnsi="Tahoma"/>
            <w:sz w:val="16"/>
          </w:rPr>
          <w:t>http://datanews.levif.be/ict/actualite/le-nuage-public-sera-en-fin-de-compte-developpe-en-interne/article-4000580731852.htm</w:t>
        </w:r>
      </w:hyperlink>
      <w:r>
        <w:rPr>
          <w:rFonts w:ascii="Tahoma" w:hAnsi="Tahoma"/>
          <w:sz w:val="16"/>
        </w:rPr>
        <w:t>.</w:t>
      </w:r>
    </w:p>
  </w:footnote>
  <w:footnote w:id="5">
    <w:p w:rsidR="00E9356B" w:rsidRPr="00455A09" w:rsidRDefault="00E9356B" w:rsidP="00E9356B">
      <w:pPr>
        <w:pStyle w:val="FootnoteText"/>
        <w:ind w:left="284" w:hanging="284"/>
        <w:rPr>
          <w:rFonts w:ascii="Tahoma" w:hAnsi="Tahoma" w:cs="Tahoma"/>
          <w:sz w:val="16"/>
          <w:szCs w:val="16"/>
        </w:rPr>
      </w:pPr>
      <w:r>
        <w:rPr>
          <w:rStyle w:val="FootnoteReference"/>
          <w:rFonts w:ascii="Tahoma" w:hAnsi="Tahoma"/>
        </w:rPr>
        <w:footnoteRef/>
      </w:r>
      <w:r>
        <w:rPr>
          <w:rFonts w:ascii="Tahoma" w:hAnsi="Tahoma"/>
          <w:sz w:val="16"/>
        </w:rPr>
        <w:t xml:space="preserve"> </w:t>
      </w:r>
      <w:r>
        <w:tab/>
      </w:r>
      <w:hyperlink r:id="rId5">
        <w:r>
          <w:rPr>
            <w:rStyle w:val="Hyperlink"/>
            <w:rFonts w:ascii="Tahoma" w:hAnsi="Tahoma"/>
            <w:sz w:val="16"/>
          </w:rPr>
          <w:t>http://www.enisa.europa.eu/activities/risk-management/emerging-and-future-risk/deliverables/security-and-resilience-in-governmental-clouds</w:t>
        </w:r>
      </w:hyperlink>
    </w:p>
  </w:footnote>
  <w:footnote w:id="6">
    <w:p w:rsidR="00E9356B" w:rsidRPr="00455A09" w:rsidRDefault="00E9356B" w:rsidP="00E9356B">
      <w:pPr>
        <w:pStyle w:val="FootnoteText"/>
        <w:ind w:left="284" w:hanging="284"/>
        <w:rPr>
          <w:rFonts w:ascii="Tahoma" w:hAnsi="Tahoma" w:cs="Tahoma"/>
          <w:sz w:val="16"/>
          <w:szCs w:val="16"/>
        </w:rPr>
      </w:pPr>
      <w:r>
        <w:rPr>
          <w:rStyle w:val="FootnoteReference"/>
          <w:rFonts w:ascii="Tahoma" w:hAnsi="Tahoma"/>
        </w:rPr>
        <w:footnoteRef/>
      </w:r>
      <w:r>
        <w:rPr>
          <w:rFonts w:ascii="Tahoma" w:hAnsi="Tahoma"/>
          <w:sz w:val="16"/>
        </w:rPr>
        <w:t xml:space="preserve"> </w:t>
      </w:r>
      <w:r>
        <w:tab/>
      </w:r>
      <w:hyperlink r:id="rId6">
        <w:r>
          <w:rPr>
            <w:rStyle w:val="Hyperlink"/>
            <w:rFonts w:ascii="Tahoma" w:hAnsi="Tahoma"/>
            <w:sz w:val="16"/>
          </w:rPr>
          <w:t>http://www.lecho.be/actualite/entreprises_finance/Qui_achete_quoi_ING_va_devoiler_les_donnees_clients.9476021-3028.art?ckc=1</w:t>
        </w:r>
      </w:hyperlink>
    </w:p>
  </w:footnote>
  <w:footnote w:id="7">
    <w:p w:rsidR="00E9356B" w:rsidRDefault="00E9356B" w:rsidP="00E9356B">
      <w:pPr>
        <w:pStyle w:val="FootnoteText"/>
        <w:ind w:left="284" w:hanging="284"/>
      </w:pPr>
      <w:r>
        <w:rPr>
          <w:rStyle w:val="FootnoteReference"/>
        </w:rPr>
        <w:footnoteRef/>
      </w:r>
      <w:r>
        <w:t xml:space="preserve"> </w:t>
      </w:r>
      <w:r>
        <w:tab/>
      </w:r>
      <w:hyperlink r:id="rId7">
        <w:r>
          <w:rPr>
            <w:rStyle w:val="Hyperlink"/>
            <w:rFonts w:ascii="Tahoma" w:hAnsi="Tahoma"/>
            <w:sz w:val="16"/>
          </w:rPr>
          <w:t>http://www.lemonde.fr/technologies/article/2014/03/19/google-critique-pour-avoir-scanne-les-mails-de-millions-d-etudiants_4385358_651865.html</w:t>
        </w:r>
      </w:hyperlink>
    </w:p>
  </w:footnote>
  <w:footnote w:id="8">
    <w:p w:rsidR="00E9356B" w:rsidRPr="00C244FA" w:rsidRDefault="00E9356B" w:rsidP="00E9356B">
      <w:pPr>
        <w:pStyle w:val="FootnoteText"/>
        <w:ind w:left="284" w:hanging="284"/>
        <w:rPr>
          <w:rFonts w:ascii="Tahoma" w:hAnsi="Tahoma" w:cs="Tahoma"/>
          <w:sz w:val="16"/>
          <w:szCs w:val="16"/>
        </w:rPr>
      </w:pPr>
      <w:r>
        <w:rPr>
          <w:rStyle w:val="FootnoteReference"/>
          <w:rFonts w:ascii="Tahoma" w:hAnsi="Tahoma"/>
        </w:rPr>
        <w:footnoteRef/>
      </w:r>
      <w:r>
        <w:rPr>
          <w:rFonts w:ascii="Tahoma" w:hAnsi="Tahoma"/>
          <w:sz w:val="16"/>
        </w:rPr>
        <w:t xml:space="preserve"> </w:t>
      </w:r>
      <w:r>
        <w:tab/>
      </w:r>
      <w:hyperlink r:id="rId8">
        <w:r>
          <w:rPr>
            <w:rStyle w:val="Hyperlink"/>
            <w:sz w:val="16"/>
          </w:rPr>
          <w:t>http://www.enisa.europa.eu/activities/risk-management/files/deliverables/cloud-computing-risk-assessment</w:t>
        </w:r>
      </w:hyperlink>
    </w:p>
  </w:footnote>
  <w:footnote w:id="9">
    <w:p w:rsidR="00E9356B" w:rsidRPr="00C244FA" w:rsidRDefault="00E9356B" w:rsidP="00E9356B">
      <w:pPr>
        <w:pStyle w:val="FootnoteText"/>
        <w:ind w:left="284" w:hanging="284"/>
        <w:rPr>
          <w:rFonts w:ascii="Tahoma" w:hAnsi="Tahoma" w:cs="Tahoma"/>
          <w:sz w:val="16"/>
          <w:szCs w:val="16"/>
        </w:rPr>
      </w:pPr>
      <w:r>
        <w:rPr>
          <w:rStyle w:val="FootnoteReference"/>
          <w:rFonts w:ascii="Tahoma" w:hAnsi="Tahoma"/>
        </w:rPr>
        <w:footnoteRef/>
      </w:r>
      <w:r>
        <w:rPr>
          <w:rFonts w:ascii="Tahoma" w:hAnsi="Tahoma"/>
          <w:sz w:val="16"/>
        </w:rPr>
        <w:t xml:space="preserve"> </w:t>
      </w:r>
      <w:r>
        <w:tab/>
      </w:r>
      <w:r>
        <w:rPr>
          <w:rFonts w:ascii="Tahoma" w:hAnsi="Tahoma"/>
          <w:sz w:val="16"/>
        </w:rPr>
        <w:t xml:space="preserve">Voor het geval van een Amerikaanse rechter: </w:t>
      </w:r>
      <w:hyperlink r:id="rId9">
        <w:r>
          <w:rPr>
            <w:rStyle w:val="Hyperlink"/>
            <w:rFonts w:ascii="Tahoma" w:hAnsi="Tahoma"/>
            <w:sz w:val="16"/>
          </w:rPr>
          <w:t>http://www.reuters.com/article/2014/04/25/us-usa-tech-warrants-idUSBREA3O24P20140425</w:t>
        </w:r>
      </w:hyperlink>
    </w:p>
  </w:footnote>
  <w:footnote w:id="10">
    <w:p w:rsidR="00E9356B" w:rsidRPr="00C244FA" w:rsidRDefault="00E9356B" w:rsidP="00E9356B">
      <w:pPr>
        <w:pStyle w:val="FootnoteText"/>
        <w:ind w:left="284" w:hanging="284"/>
        <w:rPr>
          <w:rFonts w:ascii="Tahoma" w:hAnsi="Tahoma" w:cs="Tahoma"/>
          <w:sz w:val="16"/>
          <w:szCs w:val="16"/>
        </w:rPr>
      </w:pPr>
      <w:r>
        <w:rPr>
          <w:rStyle w:val="FootnoteReference"/>
          <w:rFonts w:ascii="Tahoma" w:hAnsi="Tahoma"/>
        </w:rPr>
        <w:footnoteRef/>
      </w:r>
      <w:r>
        <w:rPr>
          <w:rFonts w:ascii="Tahoma" w:hAnsi="Tahoma"/>
          <w:sz w:val="16"/>
        </w:rPr>
        <w:t xml:space="preserve"> </w:t>
      </w:r>
      <w:r>
        <w:tab/>
      </w:r>
      <w:hyperlink r:id="rId10">
        <w:r>
          <w:rPr>
            <w:rStyle w:val="Hyperlink"/>
            <w:rFonts w:ascii="Tahoma" w:hAnsi="Tahoma"/>
            <w:sz w:val="16"/>
          </w:rPr>
          <w:t>http://business.lesechos.fr/directions-numeriques/0203680050698-le-cloud-europeen-de-microsoft-reste-sous-loi-americaine-102117.php</w:t>
        </w:r>
      </w:hyperlink>
    </w:p>
    <w:p w:rsidR="00E9356B" w:rsidRPr="00C244FA" w:rsidRDefault="00827F86" w:rsidP="00E9356B">
      <w:pPr>
        <w:pStyle w:val="FootnoteText"/>
        <w:ind w:left="284"/>
        <w:rPr>
          <w:rFonts w:ascii="Tahoma" w:hAnsi="Tahoma" w:cs="Tahoma"/>
          <w:sz w:val="18"/>
          <w:szCs w:val="18"/>
        </w:rPr>
      </w:pPr>
      <w:hyperlink r:id="rId11">
        <w:r w:rsidR="00E9356B">
          <w:rPr>
            <w:rStyle w:val="Hyperlink"/>
            <w:rFonts w:ascii="Tahoma" w:hAnsi="Tahoma"/>
            <w:sz w:val="16"/>
          </w:rPr>
          <w:t>http://www.01net.com/editorial/584637/comment-les-etats-unis-legitiment-la-cybersurveillance-mondiale/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79" w:rsidRDefault="00FC6579">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2832F1">
      <w:rPr>
        <w:noProof/>
        <w:sz w:val="14"/>
      </w:rPr>
      <w:t>3</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296" w:hanging="708"/>
      </w:pPr>
    </w:lvl>
    <w:lvl w:ilvl="2">
      <w:start w:val="1"/>
      <w:numFmt w:val="decimal"/>
      <w:pStyle w:val="Heading3"/>
      <w:lvlText w:val="%1.%2.%3."/>
      <w:legacy w:legacy="1" w:legacySpace="0" w:legacyIndent="708"/>
      <w:lvlJc w:val="left"/>
      <w:pPr>
        <w:ind w:left="1872" w:hanging="708"/>
      </w:pPr>
    </w:lvl>
    <w:lvl w:ilvl="3">
      <w:start w:val="1"/>
      <w:numFmt w:val="decimal"/>
      <w:pStyle w:val="Heading4"/>
      <w:lvlText w:val="%1.%2.%3.%4."/>
      <w:legacy w:legacy="1" w:legacySpace="0" w:legacyIndent="708"/>
      <w:lvlJc w:val="left"/>
      <w:pPr>
        <w:ind w:left="2448" w:hanging="708"/>
      </w:pPr>
    </w:lvl>
    <w:lvl w:ilvl="4">
      <w:start w:val="1"/>
      <w:numFmt w:val="decimal"/>
      <w:pStyle w:val="Heading5"/>
      <w:lvlText w:val="%1.%2.%3.%4.%5."/>
      <w:legacy w:legacy="1" w:legacySpace="0" w:legacyIndent="708"/>
      <w:lvlJc w:val="left"/>
      <w:pPr>
        <w:ind w:left="3024" w:hanging="708"/>
      </w:pPr>
    </w:lvl>
    <w:lvl w:ilvl="5">
      <w:start w:val="1"/>
      <w:numFmt w:val="decimal"/>
      <w:pStyle w:val="Heading6"/>
      <w:lvlText w:val="%1.%2.%3.%4.%5.%6."/>
      <w:legacy w:legacy="1" w:legacySpace="0" w:legacyIndent="708"/>
      <w:lvlJc w:val="left"/>
      <w:pPr>
        <w:ind w:left="3600" w:hanging="708"/>
      </w:pPr>
    </w:lvl>
    <w:lvl w:ilvl="6">
      <w:start w:val="1"/>
      <w:numFmt w:val="decimal"/>
      <w:pStyle w:val="Heading7"/>
      <w:lvlText w:val="%1.%2.%3.%4.%5.%6.%7."/>
      <w:legacy w:legacy="1" w:legacySpace="0" w:legacyIndent="708"/>
      <w:lvlJc w:val="left"/>
      <w:pPr>
        <w:ind w:left="4176" w:hanging="708"/>
      </w:pPr>
    </w:lvl>
    <w:lvl w:ilvl="7">
      <w:start w:val="1"/>
      <w:numFmt w:val="decimal"/>
      <w:pStyle w:val="Heading8"/>
      <w:lvlText w:val="%1.%2.%3.%4.%5.%6.%7.%8."/>
      <w:legacy w:legacy="1" w:legacySpace="0" w:legacyIndent="708"/>
      <w:lvlJc w:val="left"/>
      <w:pPr>
        <w:ind w:left="4752" w:hanging="708"/>
      </w:pPr>
    </w:lvl>
    <w:lvl w:ilvl="8">
      <w:start w:val="1"/>
      <w:numFmt w:val="decimal"/>
      <w:pStyle w:val="Heading9"/>
      <w:lvlText w:val="%1.%2.%3.%4.%5.%6.%7.%8.%9."/>
      <w:legacy w:legacy="1" w:legacySpace="0" w:legacyIndent="708"/>
      <w:lvlJc w:val="left"/>
      <w:pPr>
        <w:ind w:left="5328" w:hanging="708"/>
      </w:pPr>
    </w:lvl>
  </w:abstractNum>
  <w:abstractNum w:abstractNumId="1" w15:restartNumberingAfterBreak="0">
    <w:nsid w:val="4EF14ABB"/>
    <w:multiLevelType w:val="hybridMultilevel"/>
    <w:tmpl w:val="C3449A58"/>
    <w:lvl w:ilvl="0" w:tplc="B9C68E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22"/>
    <w:rsid w:val="00245581"/>
    <w:rsid w:val="002832F1"/>
    <w:rsid w:val="00340F41"/>
    <w:rsid w:val="00363504"/>
    <w:rsid w:val="003C05B2"/>
    <w:rsid w:val="003C3F17"/>
    <w:rsid w:val="00456022"/>
    <w:rsid w:val="0071065B"/>
    <w:rsid w:val="00720EC2"/>
    <w:rsid w:val="00731C2F"/>
    <w:rsid w:val="007459CE"/>
    <w:rsid w:val="00827F86"/>
    <w:rsid w:val="008C19CC"/>
    <w:rsid w:val="00924DBE"/>
    <w:rsid w:val="00963DEA"/>
    <w:rsid w:val="009B3737"/>
    <w:rsid w:val="00B94FE5"/>
    <w:rsid w:val="00BF4C24"/>
    <w:rsid w:val="00D05A2F"/>
    <w:rsid w:val="00D420CB"/>
    <w:rsid w:val="00D82361"/>
    <w:rsid w:val="00E634AC"/>
    <w:rsid w:val="00E9356B"/>
    <w:rsid w:val="00ED0053"/>
    <w:rsid w:val="00ED549B"/>
    <w:rsid w:val="00F76933"/>
    <w:rsid w:val="00FB3891"/>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269857-9A8E-463F-91F5-ED0BC27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fr-FR"/>
    </w:rPr>
  </w:style>
  <w:style w:type="paragraph" w:styleId="Heading1">
    <w:name w:val="heading 1"/>
    <w:basedOn w:val="Normal"/>
    <w:next w:val="Normal"/>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Heading2">
    <w:name w:val="heading 2"/>
    <w:basedOn w:val="Normal"/>
    <w:next w:val="Normal"/>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Heading3">
    <w:name w:val="heading 3"/>
    <w:basedOn w:val="Normal"/>
    <w:next w:val="Normal"/>
    <w:qFormat/>
    <w:pPr>
      <w:keepNext/>
      <w:numPr>
        <w:ilvl w:val="2"/>
        <w:numId w:val="1"/>
      </w:numPr>
      <w:spacing w:before="360" w:after="240"/>
      <w:ind w:hanging="720"/>
      <w:outlineLvl w:val="2"/>
    </w:pPr>
    <w:rPr>
      <w:b/>
      <w:sz w:val="24"/>
      <w:u w:val="double"/>
    </w:rPr>
  </w:style>
  <w:style w:type="paragraph" w:styleId="Heading4">
    <w:name w:val="heading 4"/>
    <w:basedOn w:val="Normal"/>
    <w:next w:val="Normal"/>
    <w:qFormat/>
    <w:pPr>
      <w:keepNext/>
      <w:numPr>
        <w:ilvl w:val="3"/>
        <w:numId w:val="1"/>
      </w:numPr>
      <w:spacing w:before="240"/>
      <w:ind w:hanging="720"/>
      <w:outlineLvl w:val="3"/>
    </w:pPr>
    <w:rPr>
      <w:b/>
      <w:i/>
      <w:u w:val="single"/>
    </w:rPr>
  </w:style>
  <w:style w:type="paragraph" w:styleId="Heading5">
    <w:name w:val="heading 5"/>
    <w:basedOn w:val="Normal"/>
    <w:next w:val="Normal"/>
    <w:qFormat/>
    <w:pPr>
      <w:numPr>
        <w:ilvl w:val="4"/>
        <w:numId w:val="1"/>
      </w:numPr>
      <w:spacing w:before="240"/>
      <w:ind w:hanging="720"/>
      <w:outlineLvl w:val="4"/>
    </w:pPr>
    <w:rPr>
      <w:u w:val="single"/>
    </w:rPr>
  </w:style>
  <w:style w:type="paragraph" w:styleId="Heading6">
    <w:name w:val="heading 6"/>
    <w:basedOn w:val="Normal"/>
    <w:next w:val="Normal"/>
    <w:qFormat/>
    <w:pPr>
      <w:numPr>
        <w:ilvl w:val="5"/>
        <w:numId w:val="1"/>
      </w:numPr>
      <w:spacing w:before="240"/>
      <w:ind w:hanging="720"/>
      <w:outlineLvl w:val="5"/>
    </w:pPr>
    <w:rPr>
      <w:u w:val="dotted"/>
    </w:rPr>
  </w:style>
  <w:style w:type="paragraph" w:styleId="Heading7">
    <w:name w:val="heading 7"/>
    <w:basedOn w:val="Normal"/>
    <w:next w:val="Normal"/>
    <w:qFormat/>
    <w:pPr>
      <w:numPr>
        <w:ilvl w:val="6"/>
        <w:numId w:val="1"/>
      </w:numPr>
      <w:spacing w:before="240"/>
      <w:ind w:hanging="720"/>
      <w:outlineLvl w:val="6"/>
    </w:pPr>
  </w:style>
  <w:style w:type="paragraph" w:styleId="Heading8">
    <w:name w:val="heading 8"/>
    <w:basedOn w:val="Normal"/>
    <w:next w:val="Normal"/>
    <w:qFormat/>
    <w:pPr>
      <w:numPr>
        <w:ilvl w:val="7"/>
        <w:numId w:val="1"/>
      </w:numPr>
      <w:spacing w:before="240" w:after="60"/>
      <w:ind w:hanging="720"/>
      <w:outlineLvl w:val="7"/>
    </w:pPr>
    <w:rPr>
      <w:i/>
    </w:rPr>
  </w:style>
  <w:style w:type="paragraph" w:styleId="Heading9">
    <w:name w:val="heading 9"/>
    <w:basedOn w:val="Normal"/>
    <w:next w:val="Normal"/>
    <w:qFormat/>
    <w:pPr>
      <w:numPr>
        <w:ilvl w:val="8"/>
        <w:numId w:val="1"/>
      </w:numPr>
      <w:spacing w:before="240" w:after="60"/>
      <w:ind w:hanging="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Footer">
    <w:name w:val="footer"/>
    <w:basedOn w:val="Normal"/>
    <w:pPr>
      <w:tabs>
        <w:tab w:val="center" w:pos="4536"/>
        <w:tab w:val="right" w:pos="9072"/>
      </w:tabs>
    </w:pPr>
    <w:rPr>
      <w:rFonts w:ascii="Times New Roman" w:hAnsi="Times New Roman"/>
      <w:sz w:val="10"/>
    </w:rPr>
  </w:style>
  <w:style w:type="paragraph" w:styleId="Header">
    <w:name w:val="header"/>
    <w:basedOn w:val="Normal"/>
    <w:pPr>
      <w:tabs>
        <w:tab w:val="center" w:pos="4536"/>
        <w:tab w:val="right" w:pos="9072"/>
      </w:tabs>
    </w:pPr>
  </w:style>
  <w:style w:type="paragraph" w:customStyle="1" w:styleId="Letter">
    <w:name w:val="Letter"/>
    <w:basedOn w:val="Normal"/>
  </w:style>
  <w:style w:type="character" w:styleId="Hyperlink">
    <w:name w:val="Hyperlink"/>
    <w:rPr>
      <w:color w:val="0000FF"/>
      <w:u w:val="single"/>
    </w:rPr>
  </w:style>
  <w:style w:type="paragraph" w:styleId="BalloonText">
    <w:name w:val="Balloon Text"/>
    <w:basedOn w:val="Normal"/>
    <w:semiHidden/>
    <w:rsid w:val="008C19CC"/>
    <w:rPr>
      <w:rFonts w:ascii="Tahoma" w:hAnsi="Tahoma" w:cs="Tahoma"/>
      <w:sz w:val="16"/>
      <w:szCs w:val="16"/>
    </w:rPr>
  </w:style>
  <w:style w:type="paragraph" w:styleId="FootnoteText">
    <w:name w:val="footnote text"/>
    <w:basedOn w:val="Normal"/>
    <w:link w:val="FootnoteTextChar"/>
    <w:uiPriority w:val="99"/>
    <w:unhideWhenUsed/>
    <w:rsid w:val="00E9356B"/>
    <w:rPr>
      <w:rFonts w:ascii="Calibri" w:hAnsi="Calibri"/>
      <w:sz w:val="20"/>
      <w:lang w:val="nl-BE" w:eastAsia="nl-BE" w:bidi="nl-BE"/>
    </w:rPr>
  </w:style>
  <w:style w:type="character" w:customStyle="1" w:styleId="FootnoteTextChar">
    <w:name w:val="Footnote Text Char"/>
    <w:link w:val="FootnoteText"/>
    <w:uiPriority w:val="99"/>
    <w:rsid w:val="00E9356B"/>
    <w:rPr>
      <w:rFonts w:ascii="Calibri" w:hAnsi="Calibri"/>
      <w:lang w:val="nl-BE" w:eastAsia="nl-BE" w:bidi="nl-BE"/>
    </w:rPr>
  </w:style>
  <w:style w:type="character" w:styleId="FootnoteReference">
    <w:name w:val="footnote reference"/>
    <w:uiPriority w:val="99"/>
    <w:unhideWhenUsed/>
    <w:rsid w:val="00E935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aag@mi-is.be" TargetMode="External"/><Relationship Id="rId13" Type="http://schemas.openxmlformats.org/officeDocument/2006/relationships/hyperlink" Target="http://www.mi-is.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i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raag@mi-is.be"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nisa.europa.eu/activities/risk-management/files/deliverables/cloud-computing-risk-assessment" TargetMode="External"/><Relationship Id="rId3" Type="http://schemas.openxmlformats.org/officeDocument/2006/relationships/hyperlink" Target="https://www.smals.be/sites/default/files/assets/rapportsmalsfrweb11-06-2014.pdf" TargetMode="External"/><Relationship Id="rId7" Type="http://schemas.openxmlformats.org/officeDocument/2006/relationships/hyperlink" Target="http://www.lemonde.fr/technologies/article/2014/03/19/google-critique-pour-avoir-scanne-les-mails-de-millions-d-etudiants_4385358_651865.html" TargetMode="External"/><Relationship Id="rId2" Type="http://schemas.openxmlformats.org/officeDocument/2006/relationships/hyperlink" Target="file:///C:\Users\kempgens_gilles\AppData\Local\Microsoft\Windows\Temporary%20Internet%20Files\Content.Outlook\GSSC63UH\*https:\www.bcss.fgov.be\binaries\documentation\fr\securite\policies\isms_050_cloud_computing_policy_fr.pdf" TargetMode="External"/><Relationship Id="rId1" Type="http://schemas.openxmlformats.org/officeDocument/2006/relationships/hyperlink" Target="http://www.privacycommission.be/fr/node/3790" TargetMode="External"/><Relationship Id="rId6" Type="http://schemas.openxmlformats.org/officeDocument/2006/relationships/hyperlink" Target="http://www.lecho.be/actualite/entreprises_finance/Qui_achete_quoi_ING_va_devoiler_les_donnees_clients.9476021-3028.art?ckc=1" TargetMode="External"/><Relationship Id="rId11" Type="http://schemas.openxmlformats.org/officeDocument/2006/relationships/hyperlink" Target="http://www.01net.com/editorial/584637/comment-les-etats-unis-legitiment-la-cybersurveillance-mondiale/" TargetMode="External"/><Relationship Id="rId5" Type="http://schemas.openxmlformats.org/officeDocument/2006/relationships/hyperlink" Target="http://www.enisa.europa.eu/activities/risk-management/emerging-and-future-risk/deliverables/security-and-resilience-in-governmental-clouds" TargetMode="External"/><Relationship Id="rId10" Type="http://schemas.openxmlformats.org/officeDocument/2006/relationships/hyperlink" Target="http://business.lesechos.fr/directions-numeriques/0203680050698-le-cloud-europeen-de-microsoft-reste-sous-loi-americaine-102117.php" TargetMode="External"/><Relationship Id="rId4" Type="http://schemas.openxmlformats.org/officeDocument/2006/relationships/hyperlink" Target="http://datanews.levif.be/ict/actualite/le-nuage-public-sera-en-fin-de-compte-developpe-en-interne/article-4000580731852.htm" TargetMode="External"/><Relationship Id="rId9" Type="http://schemas.openxmlformats.org/officeDocument/2006/relationships/hyperlink" Target="http://www.reuters.com/article/2014/04/25/us-usa-tech-warrants-idUSBREA3O24P2014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MASSPE</Company>
  <LinksUpToDate>false</LinksUpToDate>
  <CharactersWithSpaces>5201</CharactersWithSpaces>
  <SharedDoc>false</SharedDoc>
  <HLinks>
    <vt:vector size="78" baseType="variant">
      <vt:variant>
        <vt:i4>2752568</vt:i4>
      </vt:variant>
      <vt:variant>
        <vt:i4>30</vt:i4>
      </vt:variant>
      <vt:variant>
        <vt:i4>0</vt:i4>
      </vt:variant>
      <vt:variant>
        <vt:i4>5</vt:i4>
      </vt:variant>
      <vt:variant>
        <vt:lpwstr>http://www.01net.com/editorial/584637/comment-les-etats-unis-legitiment-la-cybersurveillance-mondiale/</vt:lpwstr>
      </vt:variant>
      <vt:variant>
        <vt:lpwstr/>
      </vt:variant>
      <vt:variant>
        <vt:i4>7078003</vt:i4>
      </vt:variant>
      <vt:variant>
        <vt:i4>27</vt:i4>
      </vt:variant>
      <vt:variant>
        <vt:i4>0</vt:i4>
      </vt:variant>
      <vt:variant>
        <vt:i4>5</vt:i4>
      </vt:variant>
      <vt:variant>
        <vt:lpwstr>http://business.lesechos.fr/directions-numeriques/0203680050698-le-cloud-europeen-de-microsoft-reste-sous-loi-americaine-102117.php</vt:lpwstr>
      </vt:variant>
      <vt:variant>
        <vt:lpwstr/>
      </vt:variant>
      <vt:variant>
        <vt:i4>1966147</vt:i4>
      </vt:variant>
      <vt:variant>
        <vt:i4>24</vt:i4>
      </vt:variant>
      <vt:variant>
        <vt:i4>0</vt:i4>
      </vt:variant>
      <vt:variant>
        <vt:i4>5</vt:i4>
      </vt:variant>
      <vt:variant>
        <vt:lpwstr>http://www.reuters.com/article/2014/04/25/us-usa-tech-warrants-idUSBREA3O24P20140425</vt:lpwstr>
      </vt:variant>
      <vt:variant>
        <vt:lpwstr/>
      </vt:variant>
      <vt:variant>
        <vt:i4>1835090</vt:i4>
      </vt:variant>
      <vt:variant>
        <vt:i4>21</vt:i4>
      </vt:variant>
      <vt:variant>
        <vt:i4>0</vt:i4>
      </vt:variant>
      <vt:variant>
        <vt:i4>5</vt:i4>
      </vt:variant>
      <vt:variant>
        <vt:lpwstr>http://www.enisa.europa.eu/activities/risk-management/files/deliverables/cloud-computing-risk-assessment</vt:lpwstr>
      </vt:variant>
      <vt:variant>
        <vt:lpwstr/>
      </vt:variant>
      <vt:variant>
        <vt:i4>720989</vt:i4>
      </vt:variant>
      <vt:variant>
        <vt:i4>18</vt:i4>
      </vt:variant>
      <vt:variant>
        <vt:i4>0</vt:i4>
      </vt:variant>
      <vt:variant>
        <vt:i4>5</vt:i4>
      </vt:variant>
      <vt:variant>
        <vt:lpwstr>http://www.lemonde.fr/technologies/article/2014/03/19/google-critique-pour-avoir-scanne-les-mails-de-millions-d-etudiants_4385358_651865.html</vt:lpwstr>
      </vt:variant>
      <vt:variant>
        <vt:lpwstr/>
      </vt:variant>
      <vt:variant>
        <vt:i4>2490449</vt:i4>
      </vt:variant>
      <vt:variant>
        <vt:i4>15</vt:i4>
      </vt:variant>
      <vt:variant>
        <vt:i4>0</vt:i4>
      </vt:variant>
      <vt:variant>
        <vt:i4>5</vt:i4>
      </vt:variant>
      <vt:variant>
        <vt:lpwstr>http://www.lecho.be/actualite/entreprises_finance/Qui_achete_quoi_ING_va_devoiler_les_donnees_clients.9476021-3028.art?ckc=1</vt:lpwstr>
      </vt:variant>
      <vt:variant>
        <vt:lpwstr/>
      </vt:variant>
      <vt:variant>
        <vt:i4>7929963</vt:i4>
      </vt:variant>
      <vt:variant>
        <vt:i4>12</vt:i4>
      </vt:variant>
      <vt:variant>
        <vt:i4>0</vt:i4>
      </vt:variant>
      <vt:variant>
        <vt:i4>5</vt:i4>
      </vt:variant>
      <vt:variant>
        <vt:lpwstr>http://www.enisa.europa.eu/activities/risk-management/emerging-and-future-risk/deliverables/security-and-resilience-in-governmental-clouds</vt:lpwstr>
      </vt:variant>
      <vt:variant>
        <vt:lpwstr/>
      </vt:variant>
      <vt:variant>
        <vt:i4>3211317</vt:i4>
      </vt:variant>
      <vt:variant>
        <vt:i4>9</vt:i4>
      </vt:variant>
      <vt:variant>
        <vt:i4>0</vt:i4>
      </vt:variant>
      <vt:variant>
        <vt:i4>5</vt:i4>
      </vt:variant>
      <vt:variant>
        <vt:lpwstr>http://datanews.levif.be/ict/actualite/le-nuage-public-sera-en-fin-de-compte-developpe-en-interne/article-4000580731852.htm</vt:lpwstr>
      </vt:variant>
      <vt:variant>
        <vt:lpwstr/>
      </vt:variant>
      <vt:variant>
        <vt:i4>3342461</vt:i4>
      </vt:variant>
      <vt:variant>
        <vt:i4>6</vt:i4>
      </vt:variant>
      <vt:variant>
        <vt:i4>0</vt:i4>
      </vt:variant>
      <vt:variant>
        <vt:i4>5</vt:i4>
      </vt:variant>
      <vt:variant>
        <vt:lpwstr>https://www.smals.be/sites/default/files/assets/rapportsmalsfrweb11-06-2014.pdf</vt:lpwstr>
      </vt:variant>
      <vt:variant>
        <vt:lpwstr/>
      </vt:variant>
      <vt:variant>
        <vt:i4>1114229</vt:i4>
      </vt:variant>
      <vt:variant>
        <vt:i4>3</vt:i4>
      </vt:variant>
      <vt:variant>
        <vt:i4>0</vt:i4>
      </vt:variant>
      <vt:variant>
        <vt:i4>5</vt:i4>
      </vt:variant>
      <vt:variant>
        <vt:lpwstr>C:\Users\kempgens_gilles\AppData\Local\Microsoft\Windows\Temporary Internet Files\Content.Outlook\GSSC63UH\*https:\www.bcss.fgov.be\binaries\documentation\fr\securite\policies\isms_050_cloud_computing_policy_fr.pdf</vt:lpwstr>
      </vt:variant>
      <vt:variant>
        <vt:lpwstr/>
      </vt:variant>
      <vt:variant>
        <vt:i4>4259918</vt:i4>
      </vt:variant>
      <vt:variant>
        <vt:i4>0</vt:i4>
      </vt:variant>
      <vt:variant>
        <vt:i4>0</vt:i4>
      </vt:variant>
      <vt:variant>
        <vt:i4>5</vt:i4>
      </vt:variant>
      <vt:variant>
        <vt:lpwstr>http://www.privacycommission.be/fr/node/3790</vt:lpwstr>
      </vt:variant>
      <vt:variant>
        <vt:lpwstr/>
      </vt:variant>
      <vt:variant>
        <vt:i4>5570587</vt:i4>
      </vt:variant>
      <vt:variant>
        <vt:i4>3</vt:i4>
      </vt:variant>
      <vt:variant>
        <vt:i4>0</vt:i4>
      </vt:variant>
      <vt:variant>
        <vt:i4>5</vt:i4>
      </vt:variant>
      <vt:variant>
        <vt:lpwstr>http://www.mi-is.be/</vt:lpwstr>
      </vt:variant>
      <vt:variant>
        <vt:lpwstr/>
      </vt:variant>
      <vt:variant>
        <vt:i4>4390967</vt:i4>
      </vt:variant>
      <vt:variant>
        <vt:i4>0</vt:i4>
      </vt:variant>
      <vt:variant>
        <vt:i4>0</vt:i4>
      </vt:variant>
      <vt:variant>
        <vt:i4>5</vt:i4>
      </vt:variant>
      <vt:variant>
        <vt:lpwstr>mailto:vraag@mi-is.be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Coninck Jan</dc:creator>
  <cp:keywords/>
  <cp:lastModifiedBy>Ameye Mattijs</cp:lastModifiedBy>
  <cp:revision>2</cp:revision>
  <cp:lastPrinted>2008-07-29T12:51:00Z</cp:lastPrinted>
  <dcterms:created xsi:type="dcterms:W3CDTF">2017-08-25T08:41:00Z</dcterms:created>
  <dcterms:modified xsi:type="dcterms:W3CDTF">2017-08-25T08:41:00Z</dcterms:modified>
</cp:coreProperties>
</file>