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A1" w:rsidRPr="0042304E" w:rsidRDefault="009936A1" w:rsidP="009936A1">
      <w:pPr>
        <w:spacing w:after="720"/>
        <w:ind w:left="4320"/>
        <w:rPr>
          <w:rFonts w:ascii="Gill Sans MT" w:hAnsi="Gill Sans MT"/>
        </w:rPr>
      </w:pPr>
      <w:r w:rsidRPr="0042304E">
        <w:rPr>
          <w:rFonts w:ascii="Gill Sans MT" w:hAnsi="Gill Sans MT"/>
          <w:noProof/>
          <w:sz w:val="20"/>
          <w:lang w:val="fr-BE" w:eastAsia="fr-BE"/>
        </w:rPr>
        <mc:AlternateContent>
          <mc:Choice Requires="wps">
            <w:drawing>
              <wp:anchor distT="0" distB="0" distL="114300" distR="114300" simplePos="0" relativeHeight="251662336" behindDoc="0" locked="1" layoutInCell="1" allowOverlap="1" wp14:anchorId="2354664E" wp14:editId="77E59314">
                <wp:simplePos x="0" y="0"/>
                <wp:positionH relativeFrom="page">
                  <wp:posOffset>4020820</wp:posOffset>
                </wp:positionH>
                <wp:positionV relativeFrom="page">
                  <wp:posOffset>459740</wp:posOffset>
                </wp:positionV>
                <wp:extent cx="283337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A1" w:rsidRPr="007D47E3" w:rsidRDefault="009936A1" w:rsidP="009936A1">
                            <w:pPr>
                              <w:rPr>
                                <w:rFonts w:cs="Arial"/>
                                <w:color w:val="808080"/>
                                <w:sz w:val="15"/>
                                <w:lang w:val="en-GB"/>
                              </w:rPr>
                            </w:pPr>
                          </w:p>
                          <w:p w:rsidR="009936A1" w:rsidRPr="007D47E3" w:rsidRDefault="009936A1" w:rsidP="009936A1">
                            <w:pPr>
                              <w:rPr>
                                <w:rFonts w:cs="Arial"/>
                                <w:color w:val="808080"/>
                                <w:sz w:val="15"/>
                                <w:lang w:val="en-GB"/>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6.6pt;margin-top:36.2pt;width:223.1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sQ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" filled="f" stroked="f">
                <v:textbox inset="1.13pt,1.13pt,1.13pt,1.13pt">
                  <w:txbxContent>
                    <w:p w:rsidR="009936A1" w:rsidRPr="007D47E3" w:rsidRDefault="009936A1" w:rsidP="009936A1">
                      <w:pPr>
                        <w:rPr>
                          <w:rFonts w:cs="Arial"/>
                          <w:color w:val="808080"/>
                          <w:sz w:val="15"/>
                          <w:lang w:val="en-GB"/>
                        </w:rPr>
                      </w:pPr>
                    </w:p>
                    <w:p w:rsidR="009936A1" w:rsidRPr="007D47E3" w:rsidRDefault="009936A1" w:rsidP="009936A1">
                      <w:pPr>
                        <w:rPr>
                          <w:rFonts w:cs="Arial"/>
                          <w:color w:val="808080"/>
                          <w:sz w:val="15"/>
                          <w:lang w:val="en-GB"/>
                        </w:rPr>
                      </w:pPr>
                    </w:p>
                  </w:txbxContent>
                </v:textbox>
                <w10:wrap anchorx="page" anchory="page"/>
                <w10:anchorlock/>
              </v:shape>
            </w:pict>
          </mc:Fallback>
        </mc:AlternateContent>
      </w:r>
      <w:r w:rsidRPr="0042304E">
        <w:rPr>
          <w:rFonts w:ascii="Gill Sans MT" w:hAnsi="Gill Sans MT"/>
          <w:noProof/>
          <w:sz w:val="20"/>
          <w:lang w:val="fr-BE" w:eastAsia="fr-BE"/>
        </w:rPr>
        <mc:AlternateContent>
          <mc:Choice Requires="wps">
            <w:drawing>
              <wp:anchor distT="0" distB="0" distL="114300" distR="114300" simplePos="0" relativeHeight="251661312" behindDoc="0" locked="1" layoutInCell="1" allowOverlap="1" wp14:anchorId="3D4850D0" wp14:editId="1A5120CB">
                <wp:simplePos x="0" y="0"/>
                <wp:positionH relativeFrom="page">
                  <wp:posOffset>796925</wp:posOffset>
                </wp:positionH>
                <wp:positionV relativeFrom="page">
                  <wp:posOffset>166370</wp:posOffset>
                </wp:positionV>
                <wp:extent cx="3140710" cy="24650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A1" w:rsidRPr="00720EC2" w:rsidRDefault="009936A1" w:rsidP="009936A1">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0C3C48E3" wp14:editId="7FC4D91E">
                                  <wp:extent cx="2249805" cy="1234440"/>
                                  <wp:effectExtent l="0" t="0" r="0" b="381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1234440"/>
                                          </a:xfrm>
                                          <a:prstGeom prst="rect">
                                            <a:avLst/>
                                          </a:prstGeom>
                                          <a:noFill/>
                                          <a:ln>
                                            <a:noFill/>
                                          </a:ln>
                                        </pic:spPr>
                                      </pic:pic>
                                    </a:graphicData>
                                  </a:graphic>
                                </wp:inline>
                              </w:drawing>
                            </w:r>
                          </w:p>
                          <w:p w:rsidR="009936A1" w:rsidRPr="00720EC2" w:rsidRDefault="009936A1" w:rsidP="009936A1">
                            <w:pPr>
                              <w:pStyle w:val="Koptekst"/>
                              <w:tabs>
                                <w:tab w:val="clear" w:pos="4536"/>
                                <w:tab w:val="clear" w:pos="9072"/>
                              </w:tabs>
                              <w:rPr>
                                <w:rFonts w:ascii="Gill Sans MT" w:hAnsi="Gill Sans MT"/>
                              </w:rPr>
                            </w:pPr>
                          </w:p>
                          <w:p w:rsidR="009936A1" w:rsidRPr="00720EC2" w:rsidRDefault="009936A1" w:rsidP="009936A1">
                            <w:pPr>
                              <w:pStyle w:val="Koptekst"/>
                              <w:tabs>
                                <w:tab w:val="clear" w:pos="4536"/>
                                <w:tab w:val="clear" w:pos="9072"/>
                              </w:tabs>
                              <w:rPr>
                                <w:rFonts w:ascii="Gill Sans MT" w:hAnsi="Gill Sans MT"/>
                              </w:rPr>
                            </w:pPr>
                          </w:p>
                          <w:p w:rsidR="009936A1" w:rsidRPr="00B609CC" w:rsidRDefault="009936A1" w:rsidP="009936A1">
                            <w:pPr>
                              <w:pStyle w:val="Koptekst"/>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9936A1" w:rsidRPr="00B609CC" w:rsidRDefault="009936A1" w:rsidP="009936A1">
                            <w:pPr>
                              <w:pStyle w:val="Koptekst"/>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0"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9936A1" w:rsidRPr="00B609CC" w:rsidRDefault="009936A1" w:rsidP="009936A1">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9936A1" w:rsidRPr="00075548" w:rsidRDefault="009936A1" w:rsidP="009936A1">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2.75pt;margin-top:13.1pt;width:247.3pt;height:19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wvtg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" filled="f" stroked="f">
                <v:textbox inset="1.13pt,1.13pt,1.13pt,1.13pt">
                  <w:txbxContent>
                    <w:p w:rsidR="009936A1" w:rsidRPr="00720EC2" w:rsidRDefault="009936A1" w:rsidP="009936A1">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14:anchorId="0C3C48E3" wp14:editId="7FC4D91E">
                            <wp:extent cx="2249805" cy="1234440"/>
                            <wp:effectExtent l="0" t="0" r="0" b="381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1234440"/>
                                    </a:xfrm>
                                    <a:prstGeom prst="rect">
                                      <a:avLst/>
                                    </a:prstGeom>
                                    <a:noFill/>
                                    <a:ln>
                                      <a:noFill/>
                                    </a:ln>
                                  </pic:spPr>
                                </pic:pic>
                              </a:graphicData>
                            </a:graphic>
                          </wp:inline>
                        </w:drawing>
                      </w:r>
                    </w:p>
                    <w:p w:rsidR="009936A1" w:rsidRPr="00720EC2" w:rsidRDefault="009936A1" w:rsidP="009936A1">
                      <w:pPr>
                        <w:pStyle w:val="En-tte"/>
                        <w:tabs>
                          <w:tab w:val="clear" w:pos="4536"/>
                          <w:tab w:val="clear" w:pos="9072"/>
                        </w:tabs>
                        <w:rPr>
                          <w:rFonts w:ascii="Gill Sans MT" w:hAnsi="Gill Sans MT"/>
                        </w:rPr>
                      </w:pPr>
                    </w:p>
                    <w:p w:rsidR="009936A1" w:rsidRPr="00720EC2" w:rsidRDefault="009936A1" w:rsidP="009936A1">
                      <w:pPr>
                        <w:pStyle w:val="En-tte"/>
                        <w:tabs>
                          <w:tab w:val="clear" w:pos="4536"/>
                          <w:tab w:val="clear" w:pos="9072"/>
                        </w:tabs>
                        <w:rPr>
                          <w:rFonts w:ascii="Gill Sans MT" w:hAnsi="Gill Sans MT"/>
                        </w:rPr>
                      </w:pPr>
                    </w:p>
                    <w:p w:rsidR="009936A1" w:rsidRPr="00B609CC" w:rsidRDefault="009936A1" w:rsidP="009936A1">
                      <w:pPr>
                        <w:pStyle w:val="En-tte"/>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9936A1" w:rsidRPr="00B609CC" w:rsidRDefault="009936A1" w:rsidP="009936A1">
                      <w:pPr>
                        <w:pStyle w:val="En-tte"/>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2"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9936A1" w:rsidRPr="00B609CC" w:rsidRDefault="009936A1" w:rsidP="009936A1">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9936A1" w:rsidRPr="00075548" w:rsidRDefault="009936A1" w:rsidP="009936A1">
                      <w:pPr>
                        <w:pStyle w:val="En-tte"/>
                        <w:tabs>
                          <w:tab w:val="clear" w:pos="4536"/>
                          <w:tab w:val="clear" w:pos="9072"/>
                        </w:tabs>
                        <w:rPr>
                          <w:rFonts w:ascii="Gill Sans MT" w:hAnsi="Gill Sans MT"/>
                        </w:rPr>
                      </w:pPr>
                    </w:p>
                  </w:txbxContent>
                </v:textbox>
                <w10:wrap anchorx="page" anchory="page"/>
                <w10:anchorlock/>
              </v:shape>
            </w:pict>
          </mc:Fallback>
        </mc:AlternateContent>
      </w:r>
      <w:r w:rsidRPr="0042304E">
        <w:rPr>
          <w:rFonts w:ascii="Gill Sans MT" w:hAnsi="Gill Sans MT"/>
          <w:noProof/>
          <w:sz w:val="20"/>
          <w:lang w:val="fr-BE" w:eastAsia="fr-BE"/>
        </w:rPr>
        <mc:AlternateContent>
          <mc:Choice Requires="wps">
            <w:drawing>
              <wp:anchor distT="0" distB="0" distL="114300" distR="114300" simplePos="0" relativeHeight="251660288" behindDoc="0" locked="1" layoutInCell="1" allowOverlap="1" wp14:anchorId="3563CE6F" wp14:editId="50F34520">
                <wp:simplePos x="0" y="0"/>
                <wp:positionH relativeFrom="page">
                  <wp:posOffset>89535</wp:posOffset>
                </wp:positionH>
                <wp:positionV relativeFrom="page">
                  <wp:posOffset>9977755</wp:posOffset>
                </wp:positionV>
                <wp:extent cx="7405370" cy="5816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9936A1" w:rsidRPr="007459CE" w:rsidTr="00E634AC">
                              <w:trPr>
                                <w:cantSplit/>
                                <w:trHeight w:val="705"/>
                              </w:trPr>
                              <w:tc>
                                <w:tcPr>
                                  <w:tcW w:w="7938" w:type="dxa"/>
                                </w:tcPr>
                                <w:p w:rsidR="009936A1" w:rsidRPr="00D567F6" w:rsidRDefault="009936A1" w:rsidP="007459CE">
                                  <w:pPr>
                                    <w:rPr>
                                      <w:rFonts w:ascii="Gill Sans MT" w:hAnsi="Gill Sans MT"/>
                                      <w:sz w:val="16"/>
                                      <w:szCs w:val="16"/>
                                    </w:rPr>
                                  </w:pPr>
                                  <w:r>
                                    <w:rPr>
                                      <w:rFonts w:ascii="Gill Sans MT" w:hAnsi="Gill Sans MT"/>
                                      <w:sz w:val="16"/>
                                      <w:szCs w:val="16"/>
                                    </w:rPr>
                                    <w:t>SPP Intégration s</w:t>
                                  </w:r>
                                  <w:r w:rsidRPr="00D567F6">
                                    <w:rPr>
                                      <w:rFonts w:ascii="Gill Sans MT" w:hAnsi="Gill Sans MT"/>
                                      <w:sz w:val="16"/>
                                      <w:szCs w:val="16"/>
                                    </w:rPr>
                                    <w:t>ociale, Lutt</w:t>
                                  </w:r>
                                  <w:r>
                                    <w:rPr>
                                      <w:rFonts w:ascii="Gill Sans MT" w:hAnsi="Gill Sans MT"/>
                                      <w:sz w:val="16"/>
                                      <w:szCs w:val="16"/>
                                    </w:rPr>
                                    <w:t>e contre la Pauvreté, Economie s</w:t>
                                  </w:r>
                                  <w:r w:rsidRPr="00D567F6">
                                    <w:rPr>
                                      <w:rFonts w:ascii="Gill Sans MT" w:hAnsi="Gill Sans MT"/>
                                      <w:sz w:val="16"/>
                                      <w:szCs w:val="16"/>
                                    </w:rPr>
                                    <w:t>ociale et Politique des Grandes Villes</w:t>
                                  </w:r>
                                </w:p>
                                <w:p w:rsidR="009936A1" w:rsidRPr="005A4DB2" w:rsidRDefault="009936A1" w:rsidP="007459CE">
                                  <w:pPr>
                                    <w:rPr>
                                      <w:rFonts w:ascii="Gill Sans MT" w:hAnsi="Gill Sans MT"/>
                                      <w:sz w:val="16"/>
                                      <w:szCs w:val="16"/>
                                    </w:rPr>
                                  </w:pPr>
                                  <w:proofErr w:type="spellStart"/>
                                  <w:r w:rsidRPr="005A4DB2">
                                    <w:rPr>
                                      <w:rFonts w:ascii="Gill Sans MT" w:hAnsi="Gill Sans MT"/>
                                      <w:sz w:val="16"/>
                                      <w:szCs w:val="16"/>
                                    </w:rPr>
                                    <w:t>Bld</w:t>
                                  </w:r>
                                  <w:proofErr w:type="spellEnd"/>
                                  <w:r w:rsidRPr="005A4DB2">
                                    <w:rPr>
                                      <w:rFonts w:ascii="Gill Sans MT" w:hAnsi="Gill Sans MT"/>
                                      <w:sz w:val="16"/>
                                      <w:szCs w:val="16"/>
                                    </w:rPr>
                                    <w:t xml:space="preserve"> Roi Albert II – 30 – 1000 Bruxelles </w:t>
                                  </w:r>
                                  <w:r w:rsidRPr="005A4DB2">
                                    <w:rPr>
                                      <w:rFonts w:ascii="Gill Sans MT" w:hAnsi="Gill Sans MT"/>
                                      <w:color w:val="F9D73F"/>
                                      <w:sz w:val="16"/>
                                      <w:szCs w:val="16"/>
                                    </w:rPr>
                                    <w:t xml:space="preserve">– </w:t>
                                  </w:r>
                                  <w:hyperlink r:id="rId13" w:history="1">
                                    <w:r w:rsidRPr="005A4DB2">
                                      <w:rPr>
                                        <w:rStyle w:val="Hyperlink"/>
                                        <w:rFonts w:ascii="Gill Sans MT" w:hAnsi="Gill Sans MT"/>
                                        <w:color w:val="F9D73F"/>
                                        <w:sz w:val="16"/>
                                        <w:szCs w:val="16"/>
                                      </w:rPr>
                                      <w:t>http://www.mi-is.be</w:t>
                                    </w:r>
                                  </w:hyperlink>
                                  <w:r w:rsidRPr="005A4DB2">
                                    <w:rPr>
                                      <w:rFonts w:ascii="Gill Sans MT" w:hAnsi="Gill Sans MT"/>
                                      <w:sz w:val="16"/>
                                      <w:szCs w:val="16"/>
                                    </w:rPr>
                                    <w:br/>
                                  </w:r>
                                  <w:r>
                                    <w:rPr>
                                      <w:rFonts w:ascii="Gill Sans MT" w:hAnsi="Gill Sans MT"/>
                                      <w:sz w:val="16"/>
                                      <w:szCs w:val="16"/>
                                    </w:rPr>
                                    <w:t>té</w:t>
                                  </w:r>
                                  <w:r w:rsidRPr="005A4DB2">
                                    <w:rPr>
                                      <w:rFonts w:ascii="Gill Sans MT" w:hAnsi="Gill Sans MT"/>
                                      <w:sz w:val="16"/>
                                      <w:szCs w:val="16"/>
                                    </w:rPr>
                                    <w:t>l</w:t>
                                  </w:r>
                                  <w:r>
                                    <w:rPr>
                                      <w:rFonts w:ascii="Gill Sans MT" w:hAnsi="Gill Sans MT"/>
                                      <w:sz w:val="16"/>
                                      <w:szCs w:val="16"/>
                                    </w:rPr>
                                    <w:t>.</w:t>
                                  </w:r>
                                  <w:r w:rsidRPr="005A4DB2">
                                    <w:rPr>
                                      <w:rFonts w:ascii="Gill Sans MT" w:hAnsi="Gill Sans MT"/>
                                      <w:sz w:val="16"/>
                                      <w:szCs w:val="16"/>
                                    </w:rPr>
                                    <w:t xml:space="preserve"> +32 2 508 85 86– fax +32 2 508 85 10–</w:t>
                                  </w:r>
                                  <w:r w:rsidRPr="005A4DB2">
                                    <w:rPr>
                                      <w:rFonts w:ascii="Gill Sans MT" w:hAnsi="Gill Sans MT"/>
                                      <w:color w:val="F9D73F"/>
                                      <w:sz w:val="16"/>
                                      <w:szCs w:val="16"/>
                                    </w:rPr>
                                    <w:t xml:space="preserve"> </w:t>
                                  </w:r>
                                  <w:hyperlink r:id="rId14"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9936A1" w:rsidRPr="007459CE" w:rsidRDefault="009936A1">
                                  <w:pPr>
                                    <w:jc w:val="right"/>
                                    <w:rPr>
                                      <w:rFonts w:ascii="Gill Sans MT" w:hAnsi="Gill Sans MT"/>
                                      <w:sz w:val="20"/>
                                      <w:lang w:val="nl-BE"/>
                                    </w:rPr>
                                  </w:pPr>
                                  <w:r>
                                    <w:rPr>
                                      <w:rFonts w:ascii="Gill Sans MT" w:hAnsi="Gill Sans MT"/>
                                      <w:noProof/>
                                      <w:sz w:val="20"/>
                                      <w:lang w:val="fr-BE" w:eastAsia="fr-BE"/>
                                    </w:rPr>
                                    <w:drawing>
                                      <wp:inline distT="0" distB="0" distL="0" distR="0" wp14:anchorId="56C10BB5" wp14:editId="46EB08B4">
                                        <wp:extent cx="1800860" cy="291465"/>
                                        <wp:effectExtent l="0" t="0" r="889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60" cy="291465"/>
                                                </a:xfrm>
                                                <a:prstGeom prst="rect">
                                                  <a:avLst/>
                                                </a:prstGeom>
                                                <a:noFill/>
                                                <a:ln>
                                                  <a:noFill/>
                                                </a:ln>
                                              </pic:spPr>
                                            </pic:pic>
                                          </a:graphicData>
                                        </a:graphic>
                                      </wp:inline>
                                    </w:drawing>
                                  </w:r>
                                </w:p>
                              </w:tc>
                            </w:tr>
                          </w:tbl>
                          <w:p w:rsidR="009936A1" w:rsidRPr="007459CE" w:rsidRDefault="009936A1" w:rsidP="009936A1">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7.05pt;margin-top:785.65pt;width:583.1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YGtw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9936A1" w:rsidRPr="007459CE" w:rsidTr="00E634AC">
                        <w:trPr>
                          <w:cantSplit/>
                          <w:trHeight w:val="705"/>
                        </w:trPr>
                        <w:tc>
                          <w:tcPr>
                            <w:tcW w:w="7938" w:type="dxa"/>
                          </w:tcPr>
                          <w:p w:rsidR="009936A1" w:rsidRPr="00D567F6" w:rsidRDefault="009936A1" w:rsidP="007459CE">
                            <w:pPr>
                              <w:rPr>
                                <w:rFonts w:ascii="Gill Sans MT" w:hAnsi="Gill Sans MT"/>
                                <w:sz w:val="16"/>
                                <w:szCs w:val="16"/>
                              </w:rPr>
                            </w:pPr>
                            <w:r>
                              <w:rPr>
                                <w:rFonts w:ascii="Gill Sans MT" w:hAnsi="Gill Sans MT"/>
                                <w:sz w:val="16"/>
                                <w:szCs w:val="16"/>
                              </w:rPr>
                              <w:t>SPP Intégration s</w:t>
                            </w:r>
                            <w:r w:rsidRPr="00D567F6">
                              <w:rPr>
                                <w:rFonts w:ascii="Gill Sans MT" w:hAnsi="Gill Sans MT"/>
                                <w:sz w:val="16"/>
                                <w:szCs w:val="16"/>
                              </w:rPr>
                              <w:t>ociale, Lutt</w:t>
                            </w:r>
                            <w:r>
                              <w:rPr>
                                <w:rFonts w:ascii="Gill Sans MT" w:hAnsi="Gill Sans MT"/>
                                <w:sz w:val="16"/>
                                <w:szCs w:val="16"/>
                              </w:rPr>
                              <w:t>e contre la Pauvreté, Economie s</w:t>
                            </w:r>
                            <w:r w:rsidRPr="00D567F6">
                              <w:rPr>
                                <w:rFonts w:ascii="Gill Sans MT" w:hAnsi="Gill Sans MT"/>
                                <w:sz w:val="16"/>
                                <w:szCs w:val="16"/>
                              </w:rPr>
                              <w:t>ociale et Politique des Grandes Villes</w:t>
                            </w:r>
                          </w:p>
                          <w:p w:rsidR="009936A1" w:rsidRPr="005A4DB2" w:rsidRDefault="009936A1" w:rsidP="007459CE">
                            <w:pPr>
                              <w:rPr>
                                <w:rFonts w:ascii="Gill Sans MT" w:hAnsi="Gill Sans MT"/>
                                <w:sz w:val="16"/>
                                <w:szCs w:val="16"/>
                              </w:rPr>
                            </w:pPr>
                            <w:proofErr w:type="spellStart"/>
                            <w:r w:rsidRPr="005A4DB2">
                              <w:rPr>
                                <w:rFonts w:ascii="Gill Sans MT" w:hAnsi="Gill Sans MT"/>
                                <w:sz w:val="16"/>
                                <w:szCs w:val="16"/>
                              </w:rPr>
                              <w:t>Bld</w:t>
                            </w:r>
                            <w:proofErr w:type="spellEnd"/>
                            <w:r w:rsidRPr="005A4DB2">
                              <w:rPr>
                                <w:rFonts w:ascii="Gill Sans MT" w:hAnsi="Gill Sans MT"/>
                                <w:sz w:val="16"/>
                                <w:szCs w:val="16"/>
                              </w:rPr>
                              <w:t xml:space="preserve"> Roi Albert II – 30 – 1000 Bruxelles </w:t>
                            </w:r>
                            <w:r w:rsidRPr="005A4DB2">
                              <w:rPr>
                                <w:rFonts w:ascii="Gill Sans MT" w:hAnsi="Gill Sans MT"/>
                                <w:color w:val="F9D73F"/>
                                <w:sz w:val="16"/>
                                <w:szCs w:val="16"/>
                              </w:rPr>
                              <w:t xml:space="preserve">– </w:t>
                            </w:r>
                            <w:hyperlink r:id="rId16" w:history="1">
                              <w:r w:rsidRPr="005A4DB2">
                                <w:rPr>
                                  <w:rStyle w:val="Hyperlink"/>
                                  <w:rFonts w:ascii="Gill Sans MT" w:hAnsi="Gill Sans MT"/>
                                  <w:color w:val="F9D73F"/>
                                  <w:sz w:val="16"/>
                                  <w:szCs w:val="16"/>
                                </w:rPr>
                                <w:t>http://www.mi-is.be</w:t>
                              </w:r>
                            </w:hyperlink>
                            <w:r w:rsidRPr="005A4DB2">
                              <w:rPr>
                                <w:rFonts w:ascii="Gill Sans MT" w:hAnsi="Gill Sans MT"/>
                                <w:sz w:val="16"/>
                                <w:szCs w:val="16"/>
                              </w:rPr>
                              <w:br/>
                            </w:r>
                            <w:r>
                              <w:rPr>
                                <w:rFonts w:ascii="Gill Sans MT" w:hAnsi="Gill Sans MT"/>
                                <w:sz w:val="16"/>
                                <w:szCs w:val="16"/>
                              </w:rPr>
                              <w:t>té</w:t>
                            </w:r>
                            <w:r w:rsidRPr="005A4DB2">
                              <w:rPr>
                                <w:rFonts w:ascii="Gill Sans MT" w:hAnsi="Gill Sans MT"/>
                                <w:sz w:val="16"/>
                                <w:szCs w:val="16"/>
                              </w:rPr>
                              <w:t>l</w:t>
                            </w:r>
                            <w:r>
                              <w:rPr>
                                <w:rFonts w:ascii="Gill Sans MT" w:hAnsi="Gill Sans MT"/>
                                <w:sz w:val="16"/>
                                <w:szCs w:val="16"/>
                              </w:rPr>
                              <w:t>.</w:t>
                            </w:r>
                            <w:r w:rsidRPr="005A4DB2">
                              <w:rPr>
                                <w:rFonts w:ascii="Gill Sans MT" w:hAnsi="Gill Sans MT"/>
                                <w:sz w:val="16"/>
                                <w:szCs w:val="16"/>
                              </w:rPr>
                              <w:t xml:space="preserve"> +32 2 508 85 86– fax +32 2 508 85 10–</w:t>
                            </w:r>
                            <w:r w:rsidRPr="005A4DB2">
                              <w:rPr>
                                <w:rFonts w:ascii="Gill Sans MT" w:hAnsi="Gill Sans MT"/>
                                <w:color w:val="F9D73F"/>
                                <w:sz w:val="16"/>
                                <w:szCs w:val="16"/>
                              </w:rPr>
                              <w:t xml:space="preserve"> </w:t>
                            </w:r>
                            <w:hyperlink r:id="rId17"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9936A1" w:rsidRPr="007459CE" w:rsidRDefault="009936A1">
                            <w:pPr>
                              <w:jc w:val="right"/>
                              <w:rPr>
                                <w:rFonts w:ascii="Gill Sans MT" w:hAnsi="Gill Sans MT"/>
                                <w:sz w:val="20"/>
                                <w:lang w:val="nl-BE"/>
                              </w:rPr>
                            </w:pPr>
                            <w:r>
                              <w:rPr>
                                <w:rFonts w:ascii="Gill Sans MT" w:hAnsi="Gill Sans MT"/>
                                <w:noProof/>
                                <w:sz w:val="20"/>
                                <w:lang w:val="fr-BE" w:eastAsia="fr-BE"/>
                              </w:rPr>
                              <w:drawing>
                                <wp:inline distT="0" distB="0" distL="0" distR="0" wp14:anchorId="56C10BB5" wp14:editId="46EB08B4">
                                  <wp:extent cx="1800860" cy="291465"/>
                                  <wp:effectExtent l="0" t="0" r="889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60" cy="291465"/>
                                          </a:xfrm>
                                          <a:prstGeom prst="rect">
                                            <a:avLst/>
                                          </a:prstGeom>
                                          <a:noFill/>
                                          <a:ln>
                                            <a:noFill/>
                                          </a:ln>
                                        </pic:spPr>
                                      </pic:pic>
                                    </a:graphicData>
                                  </a:graphic>
                                </wp:inline>
                              </w:drawing>
                            </w:r>
                          </w:p>
                        </w:tc>
                      </w:tr>
                    </w:tbl>
                    <w:p w:rsidR="009936A1" w:rsidRPr="007459CE" w:rsidRDefault="009936A1" w:rsidP="009936A1">
                      <w:pPr>
                        <w:rPr>
                          <w:rFonts w:ascii="Gill Sans MT" w:hAnsi="Gill Sans MT"/>
                          <w:sz w:val="20"/>
                          <w:lang w:val="nl-BE"/>
                        </w:rPr>
                      </w:pPr>
                    </w:p>
                  </w:txbxContent>
                </v:textbox>
                <w10:wrap anchorx="page" anchory="page"/>
                <w10:anchorlock/>
              </v:shape>
            </w:pict>
          </mc:Fallback>
        </mc:AlternateContent>
      </w:r>
      <w:r w:rsidRPr="0042304E">
        <w:rPr>
          <w:rFonts w:ascii="Gill Sans MT" w:hAnsi="Gill Sans MT"/>
          <w:noProof/>
          <w:lang w:val="fr-BE" w:eastAsia="fr-BE"/>
        </w:rPr>
        <mc:AlternateContent>
          <mc:Choice Requires="wps">
            <w:drawing>
              <wp:anchor distT="0" distB="0" distL="114300" distR="114300" simplePos="0" relativeHeight="251659264" behindDoc="0" locked="1" layoutInCell="0" allowOverlap="1" wp14:anchorId="1FAFBD6F" wp14:editId="340318E0">
                <wp:simplePos x="0" y="0"/>
                <wp:positionH relativeFrom="page">
                  <wp:posOffset>252095</wp:posOffset>
                </wp:positionH>
                <wp:positionV relativeFrom="page">
                  <wp:posOffset>7406005</wp:posOffset>
                </wp:positionV>
                <wp:extent cx="360045" cy="184150"/>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A1" w:rsidRDefault="009936A1" w:rsidP="009936A1">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" o:allowincell="f" stroked="f">
                <o:lock v:ext="edit" aspectratio="t"/>
                <v:textbox>
                  <w:txbxContent>
                    <w:p w:rsidR="009936A1" w:rsidRDefault="009936A1" w:rsidP="009936A1">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936A1" w:rsidRPr="0042304E" w:rsidTr="006D07DD">
        <w:trPr>
          <w:cantSplit/>
          <w:trHeight w:val="1710"/>
        </w:trPr>
        <w:tc>
          <w:tcPr>
            <w:tcW w:w="4252" w:type="dxa"/>
          </w:tcPr>
          <w:p w:rsidR="009936A1" w:rsidRPr="0042304E" w:rsidRDefault="009936A1" w:rsidP="006D07DD">
            <w:bookmarkStart w:id="0" w:name="SYS_LOGO_INFO"/>
            <w:bookmarkStart w:id="1" w:name="SYS_LOGO_MIN"/>
            <w:bookmarkEnd w:id="0"/>
            <w:bookmarkEnd w:id="1"/>
            <w:r>
              <w:t xml:space="preserve">À Mesdames les Présidentes et Messieurs les Présidents des centres publics d'action sociale </w:t>
            </w:r>
          </w:p>
          <w:p w:rsidR="009936A1" w:rsidRPr="0042304E" w:rsidRDefault="009936A1" w:rsidP="006D07DD">
            <w:pPr>
              <w:pStyle w:val="Koptekst"/>
              <w:tabs>
                <w:tab w:val="clear" w:pos="4536"/>
                <w:tab w:val="clear" w:pos="9072"/>
              </w:tabs>
              <w:rPr>
                <w:rFonts w:ascii="Gill Sans MT" w:hAnsi="Gill Sans MT"/>
                <w:sz w:val="20"/>
              </w:rPr>
            </w:pPr>
          </w:p>
        </w:tc>
      </w:tr>
    </w:tbl>
    <w:p w:rsidR="009936A1" w:rsidRPr="0042304E" w:rsidRDefault="009936A1" w:rsidP="009936A1">
      <w:pPr>
        <w:pStyle w:val="Letter"/>
        <w:rPr>
          <w:rFonts w:ascii="Gill Sans MT" w:hAnsi="Gill Sans MT"/>
        </w:rPr>
      </w:pPr>
    </w:p>
    <w:p w:rsidR="009936A1" w:rsidRPr="0042304E" w:rsidRDefault="009936A1" w:rsidP="009936A1">
      <w:pPr>
        <w:pStyle w:val="Letter"/>
        <w:rPr>
          <w:rFonts w:ascii="Gill Sans MT" w:hAnsi="Gill Sans MT"/>
          <w:sz w:val="17"/>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9936A1" w:rsidRPr="0042304E" w:rsidTr="006D07DD">
        <w:trPr>
          <w:cantSplit/>
          <w:trHeight w:val="337"/>
        </w:trPr>
        <w:tc>
          <w:tcPr>
            <w:tcW w:w="2694" w:type="dxa"/>
          </w:tcPr>
          <w:p w:rsidR="009936A1" w:rsidRPr="0042304E" w:rsidRDefault="009936A1" w:rsidP="006D07DD">
            <w:pPr>
              <w:pStyle w:val="Letter"/>
              <w:rPr>
                <w:rFonts w:ascii="Gill Sans MT" w:hAnsi="Gill Sans MT"/>
                <w:sz w:val="17"/>
              </w:rPr>
            </w:pPr>
            <w:r w:rsidRPr="0042304E">
              <w:rPr>
                <w:rFonts w:ascii="Gill Sans MT" w:hAnsi="Gill Sans MT" w:cs="Arial"/>
                <w:sz w:val="17"/>
              </w:rPr>
              <w:t>Service</w:t>
            </w:r>
          </w:p>
        </w:tc>
        <w:tc>
          <w:tcPr>
            <w:tcW w:w="1417" w:type="dxa"/>
          </w:tcPr>
          <w:p w:rsidR="009936A1" w:rsidRPr="0042304E" w:rsidRDefault="009936A1" w:rsidP="006D07DD">
            <w:pPr>
              <w:pStyle w:val="Letter"/>
              <w:rPr>
                <w:rFonts w:ascii="Gill Sans MT" w:hAnsi="Gill Sans MT"/>
                <w:sz w:val="17"/>
              </w:rPr>
            </w:pPr>
            <w:r w:rsidRPr="0042304E">
              <w:rPr>
                <w:rFonts w:ascii="Gill Sans MT" w:hAnsi="Gill Sans MT" w:cs="Arial"/>
                <w:sz w:val="17"/>
              </w:rPr>
              <w:t>Votre lettre du</w:t>
            </w:r>
          </w:p>
        </w:tc>
        <w:tc>
          <w:tcPr>
            <w:tcW w:w="1701" w:type="dxa"/>
          </w:tcPr>
          <w:p w:rsidR="009936A1" w:rsidRPr="0042304E" w:rsidRDefault="009936A1" w:rsidP="006D07DD">
            <w:pPr>
              <w:pStyle w:val="Letter"/>
              <w:rPr>
                <w:rFonts w:ascii="Gill Sans MT" w:hAnsi="Gill Sans MT"/>
                <w:sz w:val="17"/>
              </w:rPr>
            </w:pPr>
            <w:r w:rsidRPr="0042304E">
              <w:rPr>
                <w:rFonts w:ascii="Gill Sans MT" w:hAnsi="Gill Sans MT" w:cs="Arial"/>
                <w:sz w:val="17"/>
              </w:rPr>
              <w:t>Vos références</w:t>
            </w:r>
          </w:p>
        </w:tc>
        <w:tc>
          <w:tcPr>
            <w:tcW w:w="2410" w:type="dxa"/>
          </w:tcPr>
          <w:p w:rsidR="009936A1" w:rsidRPr="0042304E" w:rsidRDefault="009936A1" w:rsidP="006D07DD">
            <w:pPr>
              <w:pStyle w:val="Letter"/>
              <w:rPr>
                <w:rFonts w:ascii="Gill Sans MT" w:hAnsi="Gill Sans MT"/>
                <w:sz w:val="17"/>
              </w:rPr>
            </w:pPr>
            <w:r w:rsidRPr="0042304E">
              <w:rPr>
                <w:rFonts w:ascii="Gill Sans MT" w:hAnsi="Gill Sans MT" w:cs="Arial"/>
                <w:sz w:val="17"/>
              </w:rPr>
              <w:t>Nos références</w:t>
            </w:r>
          </w:p>
        </w:tc>
        <w:tc>
          <w:tcPr>
            <w:tcW w:w="1276" w:type="dxa"/>
          </w:tcPr>
          <w:p w:rsidR="009936A1" w:rsidRPr="0042304E" w:rsidRDefault="009936A1" w:rsidP="006D07DD">
            <w:pPr>
              <w:pStyle w:val="Letter"/>
              <w:rPr>
                <w:rFonts w:ascii="Gill Sans MT" w:hAnsi="Gill Sans MT"/>
                <w:sz w:val="17"/>
              </w:rPr>
            </w:pPr>
            <w:r w:rsidRPr="0042304E">
              <w:rPr>
                <w:rFonts w:ascii="Gill Sans MT" w:hAnsi="Gill Sans MT"/>
                <w:sz w:val="17"/>
              </w:rPr>
              <w:t>Date</w:t>
            </w:r>
          </w:p>
        </w:tc>
        <w:tc>
          <w:tcPr>
            <w:tcW w:w="1134" w:type="dxa"/>
          </w:tcPr>
          <w:p w:rsidR="009936A1" w:rsidRPr="0042304E" w:rsidRDefault="009936A1" w:rsidP="006D07DD">
            <w:pPr>
              <w:pStyle w:val="Letter"/>
              <w:rPr>
                <w:rFonts w:ascii="Gill Sans MT" w:hAnsi="Gill Sans MT"/>
                <w:sz w:val="17"/>
              </w:rPr>
            </w:pPr>
            <w:r w:rsidRPr="0042304E">
              <w:rPr>
                <w:rFonts w:ascii="Gill Sans MT" w:hAnsi="Gill Sans MT" w:cs="Arial"/>
                <w:sz w:val="17"/>
              </w:rPr>
              <w:t>Annexe(s)</w:t>
            </w:r>
          </w:p>
        </w:tc>
      </w:tr>
      <w:tr w:rsidR="009936A1" w:rsidRPr="0042304E" w:rsidTr="006D07DD">
        <w:trPr>
          <w:cantSplit/>
          <w:trHeight w:val="187"/>
        </w:trPr>
        <w:tc>
          <w:tcPr>
            <w:tcW w:w="2694" w:type="dxa"/>
          </w:tcPr>
          <w:p w:rsidR="009936A1" w:rsidRPr="0042304E" w:rsidRDefault="009936A1" w:rsidP="006D07DD">
            <w:pPr>
              <w:pStyle w:val="Letter"/>
              <w:rPr>
                <w:rFonts w:ascii="Gill Sans MT" w:hAnsi="Gill Sans MT" w:cs="Arial"/>
                <w:sz w:val="17"/>
              </w:rPr>
            </w:pPr>
            <w:r w:rsidRPr="0042304E">
              <w:rPr>
                <w:rFonts w:ascii="Gill Sans MT" w:hAnsi="Gill Sans MT" w:cs="Arial"/>
                <w:sz w:val="17"/>
              </w:rPr>
              <w:t>Service juridique</w:t>
            </w:r>
          </w:p>
        </w:tc>
        <w:tc>
          <w:tcPr>
            <w:tcW w:w="1417" w:type="dxa"/>
          </w:tcPr>
          <w:p w:rsidR="009936A1" w:rsidRPr="0042304E" w:rsidRDefault="009936A1" w:rsidP="006D07DD">
            <w:pPr>
              <w:pStyle w:val="Letter"/>
              <w:rPr>
                <w:rFonts w:ascii="Gill Sans MT" w:hAnsi="Gill Sans MT"/>
                <w:sz w:val="17"/>
              </w:rPr>
            </w:pPr>
          </w:p>
        </w:tc>
        <w:tc>
          <w:tcPr>
            <w:tcW w:w="1701" w:type="dxa"/>
          </w:tcPr>
          <w:p w:rsidR="009936A1" w:rsidRPr="0042304E" w:rsidRDefault="009936A1" w:rsidP="006D07DD">
            <w:pPr>
              <w:pStyle w:val="Letter"/>
              <w:rPr>
                <w:rFonts w:ascii="Gill Sans MT" w:hAnsi="Gill Sans MT"/>
                <w:sz w:val="17"/>
              </w:rPr>
            </w:pPr>
          </w:p>
        </w:tc>
        <w:tc>
          <w:tcPr>
            <w:tcW w:w="2410" w:type="dxa"/>
          </w:tcPr>
          <w:p w:rsidR="009936A1" w:rsidRPr="0042304E" w:rsidRDefault="009936A1" w:rsidP="006D07DD">
            <w:pPr>
              <w:pStyle w:val="Letter"/>
              <w:rPr>
                <w:rFonts w:ascii="Gill Sans MT" w:hAnsi="Gill Sans MT"/>
                <w:sz w:val="17"/>
              </w:rPr>
            </w:pPr>
            <w:r w:rsidRPr="0042304E">
              <w:rPr>
                <w:rFonts w:ascii="Gill Sans MT" w:hAnsi="Gill Sans MT"/>
                <w:sz w:val="17"/>
              </w:rPr>
              <w:t>OMZ/7749 et 7853/JD</w:t>
            </w:r>
          </w:p>
        </w:tc>
        <w:tc>
          <w:tcPr>
            <w:tcW w:w="1276" w:type="dxa"/>
          </w:tcPr>
          <w:p w:rsidR="009936A1" w:rsidRPr="0042304E" w:rsidRDefault="00CE2A37" w:rsidP="006D07DD">
            <w:pPr>
              <w:pStyle w:val="Letter"/>
              <w:rPr>
                <w:rFonts w:ascii="Gill Sans MT" w:hAnsi="Gill Sans MT"/>
                <w:sz w:val="17"/>
              </w:rPr>
            </w:pPr>
            <w:r>
              <w:rPr>
                <w:rFonts w:ascii="Gill Sans MT" w:hAnsi="Gill Sans MT"/>
                <w:sz w:val="17"/>
              </w:rPr>
              <w:t>19-06-2014</w:t>
            </w:r>
          </w:p>
        </w:tc>
        <w:tc>
          <w:tcPr>
            <w:tcW w:w="1134" w:type="dxa"/>
          </w:tcPr>
          <w:p w:rsidR="009936A1" w:rsidRPr="0042304E" w:rsidRDefault="009936A1" w:rsidP="006D07DD">
            <w:pPr>
              <w:pStyle w:val="Letter"/>
              <w:rPr>
                <w:rFonts w:ascii="Gill Sans MT" w:hAnsi="Gill Sans MT" w:cs="Arial"/>
                <w:sz w:val="17"/>
              </w:rPr>
            </w:pPr>
          </w:p>
        </w:tc>
      </w:tr>
    </w:tbl>
    <w:p w:rsidR="009936A1" w:rsidRPr="0042304E" w:rsidRDefault="009936A1" w:rsidP="009936A1">
      <w:pPr>
        <w:ind w:right="-142"/>
        <w:rPr>
          <w:rFonts w:ascii="Gill Sans MT" w:hAnsi="Gill Sans MT"/>
        </w:rPr>
      </w:pPr>
    </w:p>
    <w:tbl>
      <w:tblPr>
        <w:tblW w:w="9426" w:type="dxa"/>
        <w:tblLayout w:type="fixed"/>
        <w:tblCellMar>
          <w:left w:w="70" w:type="dxa"/>
          <w:right w:w="70" w:type="dxa"/>
        </w:tblCellMar>
        <w:tblLook w:val="0000" w:firstRow="0" w:lastRow="0" w:firstColumn="0" w:lastColumn="0" w:noHBand="0" w:noVBand="0"/>
      </w:tblPr>
      <w:tblGrid>
        <w:gridCol w:w="1063"/>
        <w:gridCol w:w="8363"/>
      </w:tblGrid>
      <w:tr w:rsidR="009936A1" w:rsidRPr="0042304E" w:rsidTr="006D07DD">
        <w:tc>
          <w:tcPr>
            <w:tcW w:w="1063" w:type="dxa"/>
          </w:tcPr>
          <w:p w:rsidR="009936A1" w:rsidRPr="0042304E" w:rsidRDefault="009936A1" w:rsidP="006D07DD">
            <w:pPr>
              <w:rPr>
                <w:b/>
                <w:bCs/>
              </w:rPr>
            </w:pPr>
            <w:r w:rsidRPr="0042304E">
              <w:rPr>
                <w:b/>
                <w:bCs/>
                <w:u w:val="single"/>
              </w:rPr>
              <w:t>Objet:</w:t>
            </w:r>
          </w:p>
        </w:tc>
        <w:tc>
          <w:tcPr>
            <w:tcW w:w="8363" w:type="dxa"/>
          </w:tcPr>
          <w:p w:rsidR="009936A1" w:rsidRPr="0042304E" w:rsidRDefault="009936A1" w:rsidP="006D07DD">
            <w:pPr>
              <w:jc w:val="both"/>
              <w:rPr>
                <w:bCs/>
              </w:rPr>
            </w:pPr>
            <w:r>
              <w:rPr>
                <w:bCs/>
              </w:rPr>
              <w:t xml:space="preserve">Extension de la liste d'établissements de l'article </w:t>
            </w:r>
            <w:r w:rsidRPr="0042304E">
              <w:rPr>
                <w:bCs/>
              </w:rPr>
              <w:t>2, § 1</w:t>
            </w:r>
            <w:r w:rsidRPr="00325211">
              <w:rPr>
                <w:bCs/>
                <w:vertAlign w:val="superscript"/>
              </w:rPr>
              <w:t>er</w:t>
            </w:r>
            <w:r>
              <w:rPr>
                <w:bCs/>
              </w:rPr>
              <w:t>,1°</w:t>
            </w:r>
            <w:r w:rsidRPr="0042304E">
              <w:rPr>
                <w:bCs/>
              </w:rPr>
              <w:t>,</w:t>
            </w:r>
            <w:r>
              <w:rPr>
                <w:bCs/>
              </w:rPr>
              <w:t xml:space="preserve"> de la loi du 2 av</w:t>
            </w:r>
            <w:r w:rsidRPr="0042304E">
              <w:rPr>
                <w:bCs/>
              </w:rPr>
              <w:t>ril 1965</w:t>
            </w:r>
          </w:p>
        </w:tc>
      </w:tr>
    </w:tbl>
    <w:p w:rsidR="009936A1" w:rsidRPr="0042304E" w:rsidRDefault="009936A1" w:rsidP="009936A1">
      <w:pPr>
        <w:ind w:right="-142"/>
        <w:rPr>
          <w:rFonts w:ascii="Gill Sans MT" w:hAnsi="Gill Sans MT"/>
        </w:rPr>
      </w:pPr>
    </w:p>
    <w:p w:rsidR="009936A1" w:rsidRDefault="009936A1" w:rsidP="009936A1">
      <w:pPr>
        <w:ind w:right="-142"/>
        <w:rPr>
          <w:szCs w:val="22"/>
        </w:rPr>
      </w:pPr>
    </w:p>
    <w:p w:rsidR="003D2C62" w:rsidRDefault="003D2C62" w:rsidP="009936A1">
      <w:pPr>
        <w:ind w:right="-142"/>
        <w:rPr>
          <w:szCs w:val="22"/>
        </w:rPr>
      </w:pPr>
    </w:p>
    <w:p w:rsidR="003D2C62" w:rsidRDefault="003D2C62" w:rsidP="009936A1">
      <w:pPr>
        <w:ind w:right="-142"/>
        <w:rPr>
          <w:szCs w:val="22"/>
        </w:rPr>
      </w:pPr>
    </w:p>
    <w:p w:rsidR="009936A1" w:rsidRPr="0042304E" w:rsidRDefault="009936A1" w:rsidP="009936A1">
      <w:pPr>
        <w:ind w:right="-142"/>
        <w:rPr>
          <w:szCs w:val="22"/>
        </w:rPr>
      </w:pPr>
      <w:r>
        <w:rPr>
          <w:szCs w:val="22"/>
        </w:rPr>
        <w:t>Madame la Présidente</w:t>
      </w:r>
      <w:r w:rsidRPr="0042304E">
        <w:rPr>
          <w:szCs w:val="22"/>
        </w:rPr>
        <w:t>,</w:t>
      </w:r>
    </w:p>
    <w:p w:rsidR="009936A1" w:rsidRPr="0042304E" w:rsidRDefault="009936A1" w:rsidP="009936A1">
      <w:pPr>
        <w:ind w:right="-142"/>
        <w:rPr>
          <w:szCs w:val="22"/>
        </w:rPr>
      </w:pPr>
      <w:r>
        <w:rPr>
          <w:szCs w:val="22"/>
        </w:rPr>
        <w:t>Monsieur le Président</w:t>
      </w:r>
      <w:r w:rsidRPr="0042304E">
        <w:rPr>
          <w:szCs w:val="22"/>
        </w:rPr>
        <w:t>,</w:t>
      </w:r>
    </w:p>
    <w:p w:rsidR="009936A1" w:rsidRDefault="009936A1" w:rsidP="009936A1">
      <w:pPr>
        <w:ind w:right="-142"/>
        <w:rPr>
          <w:szCs w:val="22"/>
        </w:rPr>
      </w:pPr>
    </w:p>
    <w:p w:rsidR="003D2C62" w:rsidRDefault="003D2C62" w:rsidP="009936A1">
      <w:pPr>
        <w:ind w:right="-142"/>
        <w:rPr>
          <w:szCs w:val="22"/>
        </w:rPr>
      </w:pPr>
    </w:p>
    <w:p w:rsidR="003D2C62" w:rsidRPr="0042304E" w:rsidRDefault="003D2C62" w:rsidP="009936A1">
      <w:pPr>
        <w:ind w:right="-142"/>
        <w:rPr>
          <w:szCs w:val="22"/>
        </w:rPr>
      </w:pPr>
    </w:p>
    <w:p w:rsidR="009936A1" w:rsidRPr="0082614A" w:rsidRDefault="009936A1" w:rsidP="009936A1">
      <w:pPr>
        <w:ind w:right="-142"/>
        <w:rPr>
          <w:szCs w:val="22"/>
        </w:rPr>
      </w:pPr>
      <w:r w:rsidRPr="0082614A">
        <w:rPr>
          <w:szCs w:val="22"/>
        </w:rPr>
        <w:t>La présente circulaire a pour but de préciser l'extension de la liste d'établissements de l'article 2, § 1</w:t>
      </w:r>
      <w:r w:rsidRPr="0082614A">
        <w:rPr>
          <w:szCs w:val="22"/>
          <w:vertAlign w:val="superscript"/>
        </w:rPr>
        <w:t>er</w:t>
      </w:r>
      <w:r w:rsidRPr="0082614A">
        <w:rPr>
          <w:szCs w:val="22"/>
        </w:rPr>
        <w:t xml:space="preserve">,1°, de la loi du 2 avril 1965 relative à la prise en charge des secours accordés </w:t>
      </w:r>
      <w:r w:rsidR="00F35FA2">
        <w:rPr>
          <w:szCs w:val="22"/>
        </w:rPr>
        <w:t>par les centres publics d'aide</w:t>
      </w:r>
      <w:r w:rsidRPr="0082614A">
        <w:rPr>
          <w:szCs w:val="22"/>
        </w:rPr>
        <w:t xml:space="preserve"> sociale</w:t>
      </w:r>
      <w:r w:rsidR="003D5B59" w:rsidRPr="0082614A">
        <w:rPr>
          <w:szCs w:val="22"/>
        </w:rPr>
        <w:t xml:space="preserve"> (arrêtés royaux du 12 mai 2014 </w:t>
      </w:r>
      <w:r w:rsidRPr="0082614A">
        <w:rPr>
          <w:szCs w:val="22"/>
        </w:rPr>
        <w:t xml:space="preserve">portant exécution de l’article 2, § 1 er, 1°, alinéa 6, de la loi du 2 avril 1965 relative à la prise en charge des secours accordés par les centres publics d’aide sociale). </w:t>
      </w: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numPr>
          <w:ilvl w:val="0"/>
          <w:numId w:val="1"/>
        </w:numPr>
        <w:ind w:right="-142"/>
        <w:rPr>
          <w:szCs w:val="22"/>
          <w:u w:val="single"/>
        </w:rPr>
      </w:pPr>
      <w:r w:rsidRPr="0082614A">
        <w:rPr>
          <w:szCs w:val="22"/>
          <w:u w:val="single"/>
        </w:rPr>
        <w:t>La disposition légale</w:t>
      </w:r>
    </w:p>
    <w:p w:rsidR="009936A1" w:rsidRPr="0082614A" w:rsidRDefault="009936A1" w:rsidP="009936A1">
      <w:pPr>
        <w:ind w:right="-142"/>
        <w:rPr>
          <w:szCs w:val="22"/>
          <w:u w:val="single"/>
        </w:rPr>
      </w:pPr>
    </w:p>
    <w:p w:rsidR="009936A1" w:rsidRPr="0082614A" w:rsidRDefault="009936A1" w:rsidP="009936A1">
      <w:pPr>
        <w:ind w:right="-142"/>
        <w:rPr>
          <w:szCs w:val="22"/>
        </w:rPr>
      </w:pPr>
      <w:r w:rsidRPr="0082614A">
        <w:rPr>
          <w:szCs w:val="22"/>
        </w:rPr>
        <w:t>Les centres de désintoxication pour toxicomanes et les structures pour personnes âgées dans lesquelles elles résident de façon autonome et dans lesquelles des soins facultatifs sont proposés, pour autant qu'ils soient reconnus par l’autorité compétente, sont dorénavant considérés comme un établissement visé par l'article 2, § 1</w:t>
      </w:r>
      <w:r w:rsidRPr="0082614A">
        <w:rPr>
          <w:szCs w:val="22"/>
          <w:vertAlign w:val="superscript"/>
        </w:rPr>
        <w:t>er</w:t>
      </w:r>
      <w:r w:rsidRPr="0082614A">
        <w:rPr>
          <w:szCs w:val="22"/>
        </w:rPr>
        <w:t xml:space="preserve">,1°, de la loi du 2 avril 1965 relative à la prise en charge des secours accordés </w:t>
      </w:r>
      <w:r w:rsidR="00F35FA2">
        <w:rPr>
          <w:szCs w:val="22"/>
        </w:rPr>
        <w:t>par les centres publics d'aide</w:t>
      </w:r>
      <w:r w:rsidRPr="0082614A">
        <w:rPr>
          <w:szCs w:val="22"/>
        </w:rPr>
        <w:t xml:space="preserve"> sociale.</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Il est ainsi évité que les charges financières deviennent trop lourdes pour la commune dans laquelle un centre ou une structure de ce type est établi(e), et ces charges sont dorénavant réparties.</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 xml:space="preserve">En effet, les CPAS des communes qui </w:t>
      </w:r>
      <w:r w:rsidR="00171D90" w:rsidRPr="0082614A">
        <w:rPr>
          <w:szCs w:val="22"/>
        </w:rPr>
        <w:t>disposent d’</w:t>
      </w:r>
      <w:r w:rsidRPr="0082614A">
        <w:rPr>
          <w:szCs w:val="22"/>
        </w:rPr>
        <w:t>un centre ou</w:t>
      </w:r>
      <w:r w:rsidR="00171D90" w:rsidRPr="0082614A">
        <w:rPr>
          <w:szCs w:val="22"/>
        </w:rPr>
        <w:t xml:space="preserve"> d’</w:t>
      </w:r>
      <w:r w:rsidRPr="0082614A">
        <w:rPr>
          <w:szCs w:val="22"/>
        </w:rPr>
        <w:t xml:space="preserve">une structure de ce type sur leur territoire devaient souvent supporter des charges financières supplémentaires pour les secours accordés aux demandeurs d'aide qui y résident. </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Le demandeur d'aide avait effectivement souvent sa résidence habituelle dans ce centre de désintoxication pour toxicomanes ou dans cette structure reconnue pour personnes âgées. Conformément à la règle de compétence générale de l'article 1</w:t>
      </w:r>
      <w:r w:rsidRPr="0082614A">
        <w:rPr>
          <w:szCs w:val="22"/>
          <w:vertAlign w:val="superscript"/>
        </w:rPr>
        <w:t>er</w:t>
      </w:r>
      <w:r w:rsidRPr="0082614A">
        <w:rPr>
          <w:szCs w:val="22"/>
        </w:rPr>
        <w:t>,1°, de la loi du 2 avril 1965, les CPAS de ces communes ont été considérés comme étant les CPAS compétents.</w:t>
      </w: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numPr>
          <w:ilvl w:val="0"/>
          <w:numId w:val="1"/>
        </w:numPr>
        <w:ind w:right="-142"/>
        <w:rPr>
          <w:szCs w:val="22"/>
        </w:rPr>
      </w:pPr>
      <w:r w:rsidRPr="0082614A">
        <w:rPr>
          <w:szCs w:val="22"/>
          <w:u w:val="single"/>
        </w:rPr>
        <w:t>Définitions</w:t>
      </w:r>
    </w:p>
    <w:p w:rsidR="009936A1" w:rsidRPr="0082614A" w:rsidRDefault="009936A1" w:rsidP="009936A1">
      <w:pPr>
        <w:ind w:left="360" w:right="-142"/>
        <w:rPr>
          <w:szCs w:val="22"/>
        </w:rPr>
      </w:pPr>
    </w:p>
    <w:p w:rsidR="009936A1" w:rsidRPr="0082614A" w:rsidRDefault="009936A1" w:rsidP="009936A1">
      <w:pPr>
        <w:ind w:right="-142"/>
        <w:rPr>
          <w:szCs w:val="22"/>
        </w:rPr>
      </w:pPr>
      <w:r w:rsidRPr="0082614A">
        <w:rPr>
          <w:szCs w:val="22"/>
        </w:rPr>
        <w:t>a) Centre de désintoxication: doit être reconnu en tant que tel par l'autorité compétente comme centre de désintoxication</w:t>
      </w:r>
      <w:r w:rsidR="003D5B59" w:rsidRPr="0082614A">
        <w:rPr>
          <w:szCs w:val="22"/>
        </w:rPr>
        <w:t xml:space="preserve"> pour toxicomanes</w:t>
      </w:r>
      <w:r w:rsidRPr="0082614A">
        <w:rPr>
          <w:szCs w:val="22"/>
        </w:rPr>
        <w:t xml:space="preserve"> afin que l'article 2, § 1</w:t>
      </w:r>
      <w:r w:rsidRPr="0082614A">
        <w:rPr>
          <w:szCs w:val="22"/>
          <w:vertAlign w:val="superscript"/>
        </w:rPr>
        <w:t>er</w:t>
      </w:r>
      <w:r w:rsidRPr="0082614A">
        <w:rPr>
          <w:szCs w:val="22"/>
        </w:rPr>
        <w:t xml:space="preserve">, de la loi du 2 avril 1965 lui soit applicable. </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Exemple: les centres de rééducation pour toxicomanes reconnus et subventionnés par l'INAMI sur la base d'une convention de rééducation. Lorsque les Communautés reconnaîtront à l'avenir d'autres centres de désintoxication, l'article 2, § 1</w:t>
      </w:r>
      <w:r w:rsidRPr="0082614A">
        <w:rPr>
          <w:szCs w:val="22"/>
          <w:vertAlign w:val="superscript"/>
        </w:rPr>
        <w:t>er</w:t>
      </w:r>
      <w:r w:rsidRPr="0082614A">
        <w:rPr>
          <w:szCs w:val="22"/>
        </w:rPr>
        <w:t xml:space="preserve">, de la loi du 2 avril 1965 leur sera également applicable.  </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b) Structures pour personnes âgées dans lesquelles elles résident de façon autonome et dans lesquelles des soins facultatifs sont proposés: la reconnaissance par l'autorité compétente est nécessaire afin que l'article 2, § 1</w:t>
      </w:r>
      <w:r w:rsidRPr="0082614A">
        <w:rPr>
          <w:szCs w:val="22"/>
          <w:vertAlign w:val="superscript"/>
        </w:rPr>
        <w:t>er</w:t>
      </w:r>
      <w:r w:rsidRPr="0082614A">
        <w:rPr>
          <w:szCs w:val="22"/>
        </w:rPr>
        <w:t>, de la loi du 2 avril 1965 leur soit également applicable.</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Exemple: les groupes de logement à assistance reconnus en Flandre. L'art. 2, § 1</w:t>
      </w:r>
      <w:r w:rsidRPr="0082614A">
        <w:rPr>
          <w:szCs w:val="22"/>
          <w:vertAlign w:val="superscript"/>
        </w:rPr>
        <w:t>er</w:t>
      </w:r>
      <w:r w:rsidRPr="0082614A">
        <w:rPr>
          <w:szCs w:val="22"/>
        </w:rPr>
        <w:t>, de la loi du 2 avril 1965 sera également applicable à des structures similaires qui seront reconnues à l'avenir par les Communautés.</w:t>
      </w:r>
    </w:p>
    <w:p w:rsidR="009936A1" w:rsidRPr="0082614A" w:rsidRDefault="009936A1" w:rsidP="009936A1">
      <w:pPr>
        <w:ind w:right="-142"/>
        <w:rPr>
          <w:szCs w:val="22"/>
        </w:rPr>
      </w:pPr>
    </w:p>
    <w:p w:rsidR="009936A1" w:rsidRPr="0082614A" w:rsidRDefault="009936A1" w:rsidP="009936A1">
      <w:pPr>
        <w:ind w:right="-142"/>
        <w:rPr>
          <w:szCs w:val="22"/>
        </w:rPr>
      </w:pPr>
    </w:p>
    <w:p w:rsidR="009936A1" w:rsidRPr="0082614A" w:rsidRDefault="009936A1" w:rsidP="009936A1">
      <w:pPr>
        <w:numPr>
          <w:ilvl w:val="0"/>
          <w:numId w:val="1"/>
        </w:numPr>
        <w:ind w:right="-142"/>
        <w:rPr>
          <w:szCs w:val="22"/>
          <w:u w:val="single"/>
        </w:rPr>
      </w:pPr>
      <w:r w:rsidRPr="0082614A">
        <w:rPr>
          <w:szCs w:val="22"/>
          <w:u w:val="single"/>
        </w:rPr>
        <w:t>Inscription à titre de résidence principale à la date d'admission, d'une part, dans un centre de désintoxication pour toxicomanes  ou, d'autre part, dans une structure reconnue pour personnes âgées dans lesquelles elles résident de façon autonome et dans lesquelles des soins facultatifs pour personnes âgées sont offerts</w:t>
      </w:r>
    </w:p>
    <w:p w:rsidR="009936A1" w:rsidRPr="0082614A" w:rsidRDefault="009936A1" w:rsidP="009936A1">
      <w:pPr>
        <w:ind w:right="-142"/>
        <w:rPr>
          <w:szCs w:val="22"/>
        </w:rPr>
      </w:pPr>
    </w:p>
    <w:p w:rsidR="009936A1" w:rsidRPr="0082614A" w:rsidRDefault="009936A1" w:rsidP="009936A1">
      <w:pPr>
        <w:ind w:right="-142"/>
        <w:rPr>
          <w:szCs w:val="22"/>
        </w:rPr>
      </w:pPr>
      <w:r w:rsidRPr="0082614A">
        <w:rPr>
          <w:szCs w:val="22"/>
        </w:rPr>
        <w:t xml:space="preserve">Si l'intéressé réside à la date de la demande d'aide dans un centre de désintoxication pour toxicomanes ou dans une structure reconnue pour personnes âgées dans laquelle elles résident de façon autonome et dans laquelle des soins facultatifs pour personnes âgées sont offerts, le CPAS compétent est dorénavant le CPAS de la commune dans le registre de population ou des étrangers ou le registre d'attente </w:t>
      </w:r>
      <w:r w:rsidR="00171D90" w:rsidRPr="0082614A">
        <w:rPr>
          <w:szCs w:val="22"/>
        </w:rPr>
        <w:t xml:space="preserve">duquel </w:t>
      </w:r>
      <w:r w:rsidRPr="0082614A">
        <w:rPr>
          <w:szCs w:val="22"/>
        </w:rPr>
        <w:t xml:space="preserve">l'intéressé était inscrit à titre de résidence principale au moment de son admission dans ce centre ou dans cette structure. </w:t>
      </w:r>
    </w:p>
    <w:p w:rsidR="009936A1" w:rsidRPr="0082614A" w:rsidRDefault="009936A1" w:rsidP="009936A1">
      <w:pPr>
        <w:ind w:right="-142"/>
        <w:rPr>
          <w:szCs w:val="22"/>
        </w:rPr>
      </w:pPr>
    </w:p>
    <w:p w:rsidR="009936A1" w:rsidRDefault="009936A1" w:rsidP="009936A1">
      <w:pPr>
        <w:ind w:right="-142"/>
        <w:rPr>
          <w:szCs w:val="22"/>
        </w:rPr>
      </w:pPr>
      <w:r w:rsidRPr="0082614A">
        <w:rPr>
          <w:szCs w:val="22"/>
        </w:rPr>
        <w:t>Toutefois, si au moment de son admission dans ce centre ou dans cette structure, l'intéressé disposait d’une inscription à titre d'adresse de référence ou s'il était radié d'office, il ne dispose pas, au moment de l'admission dans cette structure, d’une inscription à titre de résidence principale. Dès lors, la règle de compétence particulière de l'article 2, § 1</w:t>
      </w:r>
      <w:r w:rsidRPr="0082614A">
        <w:rPr>
          <w:szCs w:val="22"/>
          <w:vertAlign w:val="superscript"/>
        </w:rPr>
        <w:t>er</w:t>
      </w:r>
      <w:r w:rsidRPr="0082614A">
        <w:rPr>
          <w:szCs w:val="22"/>
        </w:rPr>
        <w:t>, de la loi du 2 avril 1965 ne peut être appliquée et la règle de compétence générale de l'article 1</w:t>
      </w:r>
      <w:r w:rsidRPr="0082614A">
        <w:rPr>
          <w:szCs w:val="22"/>
          <w:vertAlign w:val="superscript"/>
        </w:rPr>
        <w:t>er</w:t>
      </w:r>
      <w:r w:rsidRPr="0082614A">
        <w:rPr>
          <w:szCs w:val="22"/>
        </w:rPr>
        <w:t>,1° de la loi du 2 avril 1965 est applicable, à savoir la règle de la résidence habituelle à la date de la demande  d'aide.</w:t>
      </w:r>
    </w:p>
    <w:p w:rsidR="003D2C62" w:rsidRDefault="003D2C62" w:rsidP="009936A1">
      <w:pPr>
        <w:ind w:right="-142"/>
        <w:rPr>
          <w:szCs w:val="22"/>
        </w:rPr>
      </w:pPr>
    </w:p>
    <w:p w:rsidR="003D2C62" w:rsidRDefault="003D2C62" w:rsidP="009936A1">
      <w:pPr>
        <w:ind w:right="-142"/>
        <w:rPr>
          <w:szCs w:val="22"/>
        </w:rPr>
      </w:pPr>
    </w:p>
    <w:p w:rsidR="003D2C62" w:rsidRDefault="003D2C62" w:rsidP="003D2C62">
      <w:pPr>
        <w:pStyle w:val="Lijstalinea"/>
        <w:numPr>
          <w:ilvl w:val="0"/>
          <w:numId w:val="1"/>
        </w:numPr>
        <w:ind w:right="-142"/>
        <w:rPr>
          <w:szCs w:val="22"/>
          <w:u w:val="single"/>
        </w:rPr>
      </w:pPr>
      <w:r w:rsidRPr="003D2C62">
        <w:rPr>
          <w:szCs w:val="22"/>
          <w:u w:val="single"/>
        </w:rPr>
        <w:t xml:space="preserve">Date d’entrée en vigueur </w:t>
      </w:r>
    </w:p>
    <w:p w:rsidR="003D2C62" w:rsidRDefault="003D2C62" w:rsidP="003D2C62">
      <w:pPr>
        <w:ind w:right="-142"/>
        <w:rPr>
          <w:szCs w:val="22"/>
          <w:u w:val="single"/>
        </w:rPr>
      </w:pPr>
    </w:p>
    <w:p w:rsidR="003D2C62" w:rsidRDefault="00117198" w:rsidP="003D2C62">
      <w:pPr>
        <w:ind w:right="-142"/>
        <w:rPr>
          <w:szCs w:val="22"/>
        </w:rPr>
      </w:pPr>
      <w:r>
        <w:rPr>
          <w:szCs w:val="22"/>
        </w:rPr>
        <w:t>L</w:t>
      </w:r>
      <w:r w:rsidR="003D2C62" w:rsidRPr="003D2C62">
        <w:rPr>
          <w:szCs w:val="22"/>
        </w:rPr>
        <w:t>es deux arrêtés royaux entrent en vigueur le dixième jour suivant leur publication au Moniteur belge.</w:t>
      </w:r>
    </w:p>
    <w:p w:rsidR="003D2C62" w:rsidRDefault="003D2C62" w:rsidP="003D2C62">
      <w:pPr>
        <w:ind w:right="-142"/>
        <w:rPr>
          <w:szCs w:val="22"/>
        </w:rPr>
      </w:pPr>
    </w:p>
    <w:p w:rsidR="003D2C62" w:rsidRDefault="00826859" w:rsidP="003D2C62">
      <w:pPr>
        <w:ind w:right="-142"/>
        <w:rPr>
          <w:szCs w:val="22"/>
        </w:rPr>
      </w:pPr>
      <w:r>
        <w:rPr>
          <w:szCs w:val="22"/>
        </w:rPr>
        <w:lastRenderedPageBreak/>
        <w:t xml:space="preserve">Cette </w:t>
      </w:r>
      <w:r w:rsidR="003D2C62">
        <w:rPr>
          <w:szCs w:val="22"/>
        </w:rPr>
        <w:t xml:space="preserve">nouvelle règle de compétence </w:t>
      </w:r>
      <w:r>
        <w:rPr>
          <w:szCs w:val="22"/>
        </w:rPr>
        <w:t xml:space="preserve">est applicable </w:t>
      </w:r>
      <w:r w:rsidR="00117198">
        <w:rPr>
          <w:szCs w:val="22"/>
        </w:rPr>
        <w:t xml:space="preserve">pour </w:t>
      </w:r>
      <w:r>
        <w:rPr>
          <w:szCs w:val="22"/>
        </w:rPr>
        <w:t>les demandes d’aide introduites à partir de la date d’entrée en vigueur de ces deux nouveaux arrêtés royaux</w:t>
      </w:r>
      <w:r w:rsidR="003D2C62">
        <w:rPr>
          <w:szCs w:val="22"/>
        </w:rPr>
        <w:t>.</w:t>
      </w:r>
    </w:p>
    <w:p w:rsidR="003D2C62" w:rsidRDefault="003D2C62" w:rsidP="003D2C62">
      <w:pPr>
        <w:ind w:right="-142"/>
        <w:rPr>
          <w:szCs w:val="22"/>
        </w:rPr>
      </w:pPr>
    </w:p>
    <w:p w:rsidR="009936A1" w:rsidRPr="0082614A" w:rsidRDefault="009936A1" w:rsidP="009936A1">
      <w:pPr>
        <w:ind w:right="-142"/>
        <w:rPr>
          <w:szCs w:val="22"/>
        </w:rPr>
      </w:pPr>
    </w:p>
    <w:p w:rsidR="009936A1" w:rsidRPr="0082614A" w:rsidRDefault="009936A1" w:rsidP="009936A1">
      <w:r w:rsidRPr="0082614A">
        <w:rPr>
          <w:rFonts w:cs="Arial"/>
        </w:rPr>
        <w:t xml:space="preserve">Je vous prie d'agréer, Madame la Présidente, Monsieur le Président, mes salutations distinguées. </w:t>
      </w:r>
    </w:p>
    <w:p w:rsidR="009936A1" w:rsidRDefault="009936A1" w:rsidP="009936A1">
      <w:pPr>
        <w:ind w:left="3402"/>
        <w:jc w:val="center"/>
      </w:pPr>
    </w:p>
    <w:p w:rsidR="009936A1" w:rsidRDefault="009936A1" w:rsidP="009936A1">
      <w:pPr>
        <w:ind w:left="3402"/>
        <w:jc w:val="center"/>
      </w:pPr>
    </w:p>
    <w:p w:rsidR="009936A1" w:rsidRDefault="009936A1" w:rsidP="009936A1">
      <w:pPr>
        <w:ind w:left="3402"/>
        <w:jc w:val="center"/>
      </w:pPr>
      <w:r>
        <w:t>La Secrétaire d'État à l'Intégration sociale</w:t>
      </w:r>
      <w:r w:rsidRPr="0042304E">
        <w:t xml:space="preserve"> </w:t>
      </w:r>
      <w:r w:rsidRPr="008870FE">
        <w:t xml:space="preserve">et </w:t>
      </w:r>
    </w:p>
    <w:p w:rsidR="009936A1" w:rsidRPr="0042304E" w:rsidRDefault="009936A1" w:rsidP="009936A1">
      <w:pPr>
        <w:ind w:left="3402"/>
        <w:jc w:val="center"/>
      </w:pPr>
      <w:r w:rsidRPr="008870FE">
        <w:t>à la Lutte contre la Pauvreté</w:t>
      </w:r>
    </w:p>
    <w:p w:rsidR="009936A1" w:rsidRPr="0042304E" w:rsidRDefault="009936A1" w:rsidP="009936A1">
      <w:pPr>
        <w:ind w:left="3402"/>
        <w:jc w:val="center"/>
      </w:pPr>
    </w:p>
    <w:p w:rsidR="009936A1" w:rsidRDefault="009936A1" w:rsidP="009936A1">
      <w:pPr>
        <w:ind w:left="3402"/>
        <w:jc w:val="center"/>
        <w:rPr>
          <w:sz w:val="16"/>
          <w:szCs w:val="16"/>
        </w:rPr>
      </w:pPr>
    </w:p>
    <w:p w:rsidR="009936A1" w:rsidRDefault="00CE2A37" w:rsidP="009936A1">
      <w:pPr>
        <w:ind w:left="3402"/>
        <w:jc w:val="center"/>
        <w:rPr>
          <w:sz w:val="16"/>
          <w:szCs w:val="16"/>
        </w:rPr>
      </w:pPr>
      <w:r>
        <w:rPr>
          <w:sz w:val="16"/>
          <w:szCs w:val="16"/>
        </w:rPr>
        <w:t>getekend</w:t>
      </w:r>
      <w:bookmarkStart w:id="2" w:name="_GoBack"/>
      <w:bookmarkEnd w:id="2"/>
    </w:p>
    <w:p w:rsidR="009936A1" w:rsidRDefault="009936A1" w:rsidP="009936A1">
      <w:pPr>
        <w:ind w:left="3402"/>
        <w:jc w:val="center"/>
        <w:rPr>
          <w:sz w:val="16"/>
          <w:szCs w:val="16"/>
        </w:rPr>
      </w:pPr>
    </w:p>
    <w:p w:rsidR="009936A1" w:rsidRDefault="009936A1" w:rsidP="009936A1">
      <w:pPr>
        <w:ind w:left="3402"/>
        <w:jc w:val="center"/>
        <w:rPr>
          <w:sz w:val="16"/>
          <w:szCs w:val="16"/>
        </w:rPr>
      </w:pPr>
    </w:p>
    <w:p w:rsidR="009936A1" w:rsidRDefault="009936A1" w:rsidP="009936A1">
      <w:pPr>
        <w:ind w:left="3402"/>
        <w:jc w:val="center"/>
        <w:rPr>
          <w:sz w:val="16"/>
          <w:szCs w:val="16"/>
        </w:rPr>
      </w:pPr>
    </w:p>
    <w:p w:rsidR="009936A1" w:rsidRPr="0042304E" w:rsidRDefault="009936A1" w:rsidP="009936A1">
      <w:pPr>
        <w:ind w:left="3402"/>
        <w:jc w:val="center"/>
        <w:rPr>
          <w:rFonts w:ascii="Gill Sans MT" w:hAnsi="Gill Sans MT"/>
        </w:rPr>
      </w:pPr>
      <w:r w:rsidRPr="0042304E">
        <w:t xml:space="preserve">Maggie De Block </w:t>
      </w:r>
    </w:p>
    <w:p w:rsidR="008E3590" w:rsidRDefault="008E3590"/>
    <w:sectPr w:rsidR="008E3590" w:rsidSect="009936A1">
      <w:headerReference w:type="default" r:id="rId18"/>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13" w:rsidRDefault="00A53113">
      <w:r>
        <w:separator/>
      </w:r>
    </w:p>
  </w:endnote>
  <w:endnote w:type="continuationSeparator" w:id="0">
    <w:p w:rsidR="00A53113" w:rsidRDefault="00A5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13" w:rsidRDefault="00A53113">
      <w:r>
        <w:separator/>
      </w:r>
    </w:p>
  </w:footnote>
  <w:footnote w:type="continuationSeparator" w:id="0">
    <w:p w:rsidR="00A53113" w:rsidRDefault="00A5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79" w:rsidRDefault="00171D90">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CE2A37">
      <w:rPr>
        <w:noProof/>
        <w:sz w:val="14"/>
      </w:rPr>
      <w:t>3</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BAF"/>
    <w:multiLevelType w:val="hybridMultilevel"/>
    <w:tmpl w:val="29FCF7A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A1"/>
    <w:rsid w:val="00117198"/>
    <w:rsid w:val="00171D90"/>
    <w:rsid w:val="003D2C62"/>
    <w:rsid w:val="003D5B59"/>
    <w:rsid w:val="00776DE2"/>
    <w:rsid w:val="0082614A"/>
    <w:rsid w:val="00826859"/>
    <w:rsid w:val="008E3590"/>
    <w:rsid w:val="009936A1"/>
    <w:rsid w:val="00A53113"/>
    <w:rsid w:val="00AC5E3D"/>
    <w:rsid w:val="00CE2A37"/>
    <w:rsid w:val="00F35F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A1"/>
    <w:pPr>
      <w:spacing w:after="0" w:line="240" w:lineRule="auto"/>
    </w:pPr>
    <w:rPr>
      <w:rFonts w:ascii="Arial" w:eastAsia="Times New Roman" w:hAnsi="Arial" w:cs="Times New Roman"/>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936A1"/>
    <w:pPr>
      <w:tabs>
        <w:tab w:val="center" w:pos="4536"/>
        <w:tab w:val="right" w:pos="9072"/>
      </w:tabs>
    </w:pPr>
  </w:style>
  <w:style w:type="character" w:customStyle="1" w:styleId="KoptekstChar">
    <w:name w:val="Koptekst Char"/>
    <w:basedOn w:val="Standaardalinea-lettertype"/>
    <w:link w:val="Koptekst"/>
    <w:rsid w:val="009936A1"/>
    <w:rPr>
      <w:rFonts w:ascii="Arial" w:eastAsia="Times New Roman" w:hAnsi="Arial" w:cs="Times New Roman"/>
      <w:szCs w:val="20"/>
      <w:lang w:val="fr-FR"/>
    </w:rPr>
  </w:style>
  <w:style w:type="paragraph" w:customStyle="1" w:styleId="Letter">
    <w:name w:val="Letter"/>
    <w:basedOn w:val="Standaard"/>
    <w:rsid w:val="009936A1"/>
  </w:style>
  <w:style w:type="character" w:styleId="Hyperlink">
    <w:name w:val="Hyperlink"/>
    <w:rsid w:val="009936A1"/>
    <w:rPr>
      <w:color w:val="0000FF"/>
      <w:u w:val="single"/>
    </w:rPr>
  </w:style>
  <w:style w:type="paragraph" w:styleId="Ballontekst">
    <w:name w:val="Balloon Text"/>
    <w:basedOn w:val="Standaard"/>
    <w:link w:val="BallontekstChar"/>
    <w:uiPriority w:val="99"/>
    <w:semiHidden/>
    <w:unhideWhenUsed/>
    <w:rsid w:val="009936A1"/>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6A1"/>
    <w:rPr>
      <w:rFonts w:ascii="Tahoma" w:eastAsia="Times New Roman" w:hAnsi="Tahoma" w:cs="Tahoma"/>
      <w:sz w:val="16"/>
      <w:szCs w:val="16"/>
      <w:lang w:val="fr-FR"/>
    </w:rPr>
  </w:style>
  <w:style w:type="paragraph" w:styleId="Lijstalinea">
    <w:name w:val="List Paragraph"/>
    <w:basedOn w:val="Standaard"/>
    <w:uiPriority w:val="34"/>
    <w:qFormat/>
    <w:rsid w:val="003D2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A1"/>
    <w:pPr>
      <w:spacing w:after="0" w:line="240" w:lineRule="auto"/>
    </w:pPr>
    <w:rPr>
      <w:rFonts w:ascii="Arial" w:eastAsia="Times New Roman" w:hAnsi="Arial" w:cs="Times New Roman"/>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936A1"/>
    <w:pPr>
      <w:tabs>
        <w:tab w:val="center" w:pos="4536"/>
        <w:tab w:val="right" w:pos="9072"/>
      </w:tabs>
    </w:pPr>
  </w:style>
  <w:style w:type="character" w:customStyle="1" w:styleId="KoptekstChar">
    <w:name w:val="Koptekst Char"/>
    <w:basedOn w:val="Standaardalinea-lettertype"/>
    <w:link w:val="Koptekst"/>
    <w:rsid w:val="009936A1"/>
    <w:rPr>
      <w:rFonts w:ascii="Arial" w:eastAsia="Times New Roman" w:hAnsi="Arial" w:cs="Times New Roman"/>
      <w:szCs w:val="20"/>
      <w:lang w:val="fr-FR"/>
    </w:rPr>
  </w:style>
  <w:style w:type="paragraph" w:customStyle="1" w:styleId="Letter">
    <w:name w:val="Letter"/>
    <w:basedOn w:val="Standaard"/>
    <w:rsid w:val="009936A1"/>
  </w:style>
  <w:style w:type="character" w:styleId="Hyperlink">
    <w:name w:val="Hyperlink"/>
    <w:rsid w:val="009936A1"/>
    <w:rPr>
      <w:color w:val="0000FF"/>
      <w:u w:val="single"/>
    </w:rPr>
  </w:style>
  <w:style w:type="paragraph" w:styleId="Ballontekst">
    <w:name w:val="Balloon Text"/>
    <w:basedOn w:val="Standaard"/>
    <w:link w:val="BallontekstChar"/>
    <w:uiPriority w:val="99"/>
    <w:semiHidden/>
    <w:unhideWhenUsed/>
    <w:rsid w:val="009936A1"/>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6A1"/>
    <w:rPr>
      <w:rFonts w:ascii="Tahoma" w:eastAsia="Times New Roman" w:hAnsi="Tahoma" w:cs="Tahoma"/>
      <w:sz w:val="16"/>
      <w:szCs w:val="16"/>
      <w:lang w:val="fr-FR"/>
    </w:rPr>
  </w:style>
  <w:style w:type="paragraph" w:styleId="Lijstalinea">
    <w:name w:val="List Paragraph"/>
    <w:basedOn w:val="Standaard"/>
    <w:uiPriority w:val="34"/>
    <w:qFormat/>
    <w:rsid w:val="003D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estion@mi-is.be" TargetMode="External"/><Relationship Id="rId17" Type="http://schemas.openxmlformats.org/officeDocument/2006/relationships/hyperlink" Target="mailto:question@mi-is.be" TargetMode="External"/><Relationship Id="rId2" Type="http://schemas.openxmlformats.org/officeDocument/2006/relationships/numbering" Target="numbering.xml"/><Relationship Id="rId16" Type="http://schemas.openxmlformats.org/officeDocument/2006/relationships/hyperlink" Target="http://www.mi-i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question@mi-is.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question@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5F87-E35E-4B2F-87C9-A1A140FA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Vanhemelrijck Anne</dc:creator>
  <cp:lastModifiedBy>Crabbe Ester</cp:lastModifiedBy>
  <cp:revision>4</cp:revision>
  <dcterms:created xsi:type="dcterms:W3CDTF">2014-05-15T09:50:00Z</dcterms:created>
  <dcterms:modified xsi:type="dcterms:W3CDTF">2014-06-19T14:06:00Z</dcterms:modified>
</cp:coreProperties>
</file>