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79" w:rsidRPr="00ED549B" w:rsidRDefault="00802AED">
      <w:pPr>
        <w:spacing w:after="720"/>
        <w:ind w:left="4320"/>
        <w:rPr>
          <w:rFonts w:ascii="Gill Sans MT" w:hAnsi="Gill Sans MT"/>
          <w:lang w:val="fr-BE"/>
        </w:rPr>
      </w:pPr>
      <w:r w:rsidRPr="00ED549B">
        <w:rPr>
          <w:rFonts w:ascii="Gill Sans MT" w:hAnsi="Gill Sans MT"/>
          <w:noProof/>
          <w:sz w:val="20"/>
          <w:lang w:val="en-US"/>
        </w:rPr>
        <mc:AlternateContent>
          <mc:Choice Requires="wps">
            <w:drawing>
              <wp:anchor distT="0" distB="0" distL="114300" distR="114300" simplePos="0" relativeHeight="251658752" behindDoc="0" locked="1" layoutInCell="1" allowOverlap="1">
                <wp:simplePos x="0" y="0"/>
                <wp:positionH relativeFrom="page">
                  <wp:posOffset>796925</wp:posOffset>
                </wp:positionH>
                <wp:positionV relativeFrom="page">
                  <wp:posOffset>166370</wp:posOffset>
                </wp:positionV>
                <wp:extent cx="3140710" cy="24650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579" w:rsidRPr="00720EC2" w:rsidRDefault="00802AED" w:rsidP="00BF4C24">
                            <w:pPr>
                              <w:pStyle w:val="Header"/>
                              <w:tabs>
                                <w:tab w:val="clear" w:pos="4536"/>
                                <w:tab w:val="clear" w:pos="9072"/>
                              </w:tabs>
                              <w:rPr>
                                <w:rFonts w:ascii="Gill Sans MT" w:hAnsi="Gill Sans MT"/>
                              </w:rPr>
                            </w:pPr>
                            <w:r w:rsidRPr="00720EC2">
                              <w:rPr>
                                <w:rFonts w:ascii="Gill Sans MT" w:hAnsi="Gill Sans MT"/>
                                <w:noProof/>
                                <w:lang w:val="en-US"/>
                              </w:rPr>
                              <w:drawing>
                                <wp:inline distT="0" distB="0" distL="0" distR="0">
                                  <wp:extent cx="2247900" cy="1238250"/>
                                  <wp:effectExtent l="0" t="0" r="0" b="0"/>
                                  <wp:docPr id="2" name="Picture 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_k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D420CB" w:rsidRPr="00720EC2" w:rsidRDefault="00D420CB" w:rsidP="00BF4C24">
                            <w:pPr>
                              <w:pStyle w:val="Header"/>
                              <w:tabs>
                                <w:tab w:val="clear" w:pos="4536"/>
                                <w:tab w:val="clear" w:pos="9072"/>
                              </w:tabs>
                              <w:rPr>
                                <w:rFonts w:ascii="Gill Sans MT" w:hAnsi="Gill Sans MT"/>
                              </w:rPr>
                            </w:pPr>
                          </w:p>
                          <w:p w:rsidR="00D420CB" w:rsidRPr="00720EC2" w:rsidRDefault="00D420CB" w:rsidP="00BF4C24">
                            <w:pPr>
                              <w:pStyle w:val="Header"/>
                              <w:tabs>
                                <w:tab w:val="clear" w:pos="4536"/>
                                <w:tab w:val="clear" w:pos="9072"/>
                              </w:tabs>
                              <w:rPr>
                                <w:rFonts w:ascii="Gill Sans MT" w:hAnsi="Gill Sans MT"/>
                              </w:rPr>
                            </w:pPr>
                          </w:p>
                          <w:p w:rsidR="00075548" w:rsidRPr="00B609CC" w:rsidRDefault="00075548" w:rsidP="00075548">
                            <w:pPr>
                              <w:pStyle w:val="Header"/>
                              <w:rPr>
                                <w:rFonts w:ascii="Gill Sans MT" w:hAnsi="Gill Sans MT"/>
                                <w:i/>
                                <w:iCs/>
                                <w:sz w:val="16"/>
                                <w:szCs w:val="16"/>
                              </w:rPr>
                            </w:pPr>
                            <w:r w:rsidRPr="00B609CC">
                              <w:rPr>
                                <w:rFonts w:ascii="Gill Sans MT" w:hAnsi="Gill Sans MT"/>
                                <w:i/>
                                <w:iCs/>
                                <w:sz w:val="16"/>
                                <w:szCs w:val="16"/>
                              </w:rPr>
                              <w:t>Avez-vous des questions ou souhaitez-vous des informations supplémentaires?</w:t>
                            </w:r>
                          </w:p>
                          <w:p w:rsidR="00075548" w:rsidRPr="00B609CC" w:rsidRDefault="00075548" w:rsidP="00075548">
                            <w:pPr>
                              <w:pStyle w:val="Header"/>
                              <w:rPr>
                                <w:rFonts w:ascii="Gill Sans MT" w:hAnsi="Gill Sans MT"/>
                                <w:b/>
                                <w:bCs/>
                                <w:i/>
                                <w:iCs/>
                                <w:color w:val="F9D73F"/>
                                <w:sz w:val="16"/>
                                <w:szCs w:val="16"/>
                              </w:rPr>
                            </w:pPr>
                            <w:r w:rsidRPr="00B609CC">
                              <w:rPr>
                                <w:rFonts w:ascii="Gill Sans MT" w:hAnsi="Gill Sans MT"/>
                                <w:i/>
                                <w:iCs/>
                                <w:sz w:val="16"/>
                                <w:szCs w:val="16"/>
                              </w:rPr>
                              <w:t>Envoyez un courriel au frontdesk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8"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rsidR="00075548" w:rsidRPr="00B609CC" w:rsidRDefault="00075548" w:rsidP="00075548">
                            <w:pPr>
                              <w:pStyle w:val="Header"/>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rsidR="00D420CB" w:rsidRPr="00075548" w:rsidRDefault="00D420CB" w:rsidP="00BF4C24">
                            <w:pPr>
                              <w:pStyle w:val="Header"/>
                              <w:tabs>
                                <w:tab w:val="clear" w:pos="4536"/>
                                <w:tab w:val="clear" w:pos="9072"/>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9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ms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OMBO2gRY9sNOhOjii21Rl6nYLTQw9uZoRj6LJjqvt7WX7TSMhVQ8WW3Solh4bRCrIL7U3/4uqE&#10;oy3IZvgoKwhDd0Y6oLFWnS0dFAMBOnTp6dQZm0oJh9chCeYhmEqwRWQWB3PXO5+mx+u90uY9kx2y&#10;iwwraL2Dp/t7bWw6ND262GhCFrxtXftb8ewAHKcTCA5Xrc2m4br5MwmS9WK9IB6JZmuPBHnu3RYr&#10;4s2KcB7n1/lqlYe/bNyQpA2vKiZsmKOyQvJnnTtofNLESVtatryycDYlrbabVavQnoKyC/e5ooPl&#10;7OY/T8MVAbi8oBRGJLiLEq+YLeYeKUjsJfNg4QVhcpfMApKQvHhO6Z4L9u+U0JDhJI7iSU3npF9w&#10;C9z3mhtNO25gdrS8y/Di5ERTq8G1qFxrDeXttL4ohU3/XApo97HRTrFWpJNczbgZAcXKeCOrJ9Cu&#10;kqAsUCEMPFg0Uv3AaIDhkWH9fUcVw6j9IKz+yXUcwrS53KjLzeZyQ0UJUBk2GE3LlZkm1K5XfNtA&#10;pOnFCXkLb6bmTs3nrA4vDQaEI3UYZnYCXe6d13nkLn8DAAD//wMAUEsDBBQABgAIAAAAIQBHhVDz&#10;4QAAAAoBAAAPAAAAZHJzL2Rvd25yZXYueG1sTI/BTsMwEETvSPyDtUhcUOvESiMU4lRVJYQEB2ih&#10;h9zceEki7HWInTb8PeZUjqN9mnlbrmdr2AlH3zuSkC4TYEiN0z21Ej7eHxf3wHxQpJVxhBJ+0MO6&#10;ur4qVaHdmXZ42oeWxRLyhZLQhTAUnPumQ6v80g1I8fbpRqtCjGPL9ajOsdwaLpIk51b1FBc6NeC2&#10;w+ZrP1kJU7qhcPdW77avh++n+cXkdVY/S3l7M28egAWcwwWGP/2oDlV0OrqJtGcmZrFaRVSCyAWw&#10;COQiSYEdJWRplgGvSv7/heoXAAD//wMAUEsBAi0AFAAGAAgAAAAhALaDOJL+AAAA4QEAABMAAAAA&#10;AAAAAAAAAAAAAAAAAFtDb250ZW50X1R5cGVzXS54bWxQSwECLQAUAAYACAAAACEAOP0h/9YAAACU&#10;AQAACwAAAAAAAAAAAAAAAAAvAQAAX3JlbHMvLnJlbHNQSwECLQAUAAYACAAAACEAj/lgJrMCAAC6&#10;BQAADgAAAAAAAAAAAAAAAAAuAgAAZHJzL2Uyb0RvYy54bWxQSwECLQAUAAYACAAAACEAR4VQ8+EA&#10;AAAKAQAADwAAAAAAAAAAAAAAAAANBQAAZHJzL2Rvd25yZXYueG1sUEsFBgAAAAAEAAQA8wAAABsG&#10;AAAAAA==&#10;" filled="f" stroked="f">
                <v:textbox inset="1.13pt,1.13pt,1.13pt,1.13pt">
                  <w:txbxContent>
                    <w:p w:rsidR="00FC6579" w:rsidRPr="00720EC2" w:rsidRDefault="00802AED" w:rsidP="00BF4C24">
                      <w:pPr>
                        <w:pStyle w:val="Header"/>
                        <w:tabs>
                          <w:tab w:val="clear" w:pos="4536"/>
                          <w:tab w:val="clear" w:pos="9072"/>
                        </w:tabs>
                        <w:rPr>
                          <w:rFonts w:ascii="Gill Sans MT" w:hAnsi="Gill Sans MT"/>
                        </w:rPr>
                      </w:pPr>
                      <w:r w:rsidRPr="00720EC2">
                        <w:rPr>
                          <w:rFonts w:ascii="Gill Sans MT" w:hAnsi="Gill Sans MT"/>
                          <w:noProof/>
                          <w:lang w:val="en-US"/>
                        </w:rPr>
                        <w:drawing>
                          <wp:inline distT="0" distB="0" distL="0" distR="0">
                            <wp:extent cx="2247900" cy="1238250"/>
                            <wp:effectExtent l="0" t="0" r="0" b="0"/>
                            <wp:docPr id="2" name="Picture 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_k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D420CB" w:rsidRPr="00720EC2" w:rsidRDefault="00D420CB" w:rsidP="00BF4C24">
                      <w:pPr>
                        <w:pStyle w:val="Header"/>
                        <w:tabs>
                          <w:tab w:val="clear" w:pos="4536"/>
                          <w:tab w:val="clear" w:pos="9072"/>
                        </w:tabs>
                        <w:rPr>
                          <w:rFonts w:ascii="Gill Sans MT" w:hAnsi="Gill Sans MT"/>
                        </w:rPr>
                      </w:pPr>
                    </w:p>
                    <w:p w:rsidR="00D420CB" w:rsidRPr="00720EC2" w:rsidRDefault="00D420CB" w:rsidP="00BF4C24">
                      <w:pPr>
                        <w:pStyle w:val="Header"/>
                        <w:tabs>
                          <w:tab w:val="clear" w:pos="4536"/>
                          <w:tab w:val="clear" w:pos="9072"/>
                        </w:tabs>
                        <w:rPr>
                          <w:rFonts w:ascii="Gill Sans MT" w:hAnsi="Gill Sans MT"/>
                        </w:rPr>
                      </w:pPr>
                    </w:p>
                    <w:p w:rsidR="00075548" w:rsidRPr="00B609CC" w:rsidRDefault="00075548" w:rsidP="00075548">
                      <w:pPr>
                        <w:pStyle w:val="Header"/>
                        <w:rPr>
                          <w:rFonts w:ascii="Gill Sans MT" w:hAnsi="Gill Sans MT"/>
                          <w:i/>
                          <w:iCs/>
                          <w:sz w:val="16"/>
                          <w:szCs w:val="16"/>
                        </w:rPr>
                      </w:pPr>
                      <w:r w:rsidRPr="00B609CC">
                        <w:rPr>
                          <w:rFonts w:ascii="Gill Sans MT" w:hAnsi="Gill Sans MT"/>
                          <w:i/>
                          <w:iCs/>
                          <w:sz w:val="16"/>
                          <w:szCs w:val="16"/>
                        </w:rPr>
                        <w:t>Avez-vous des questions ou souhaitez-vous des informations supplémentaires?</w:t>
                      </w:r>
                    </w:p>
                    <w:p w:rsidR="00075548" w:rsidRPr="00B609CC" w:rsidRDefault="00075548" w:rsidP="00075548">
                      <w:pPr>
                        <w:pStyle w:val="Header"/>
                        <w:rPr>
                          <w:rFonts w:ascii="Gill Sans MT" w:hAnsi="Gill Sans MT"/>
                          <w:b/>
                          <w:bCs/>
                          <w:i/>
                          <w:iCs/>
                          <w:color w:val="F9D73F"/>
                          <w:sz w:val="16"/>
                          <w:szCs w:val="16"/>
                        </w:rPr>
                      </w:pPr>
                      <w:r w:rsidRPr="00B609CC">
                        <w:rPr>
                          <w:rFonts w:ascii="Gill Sans MT" w:hAnsi="Gill Sans MT"/>
                          <w:i/>
                          <w:iCs/>
                          <w:sz w:val="16"/>
                          <w:szCs w:val="16"/>
                        </w:rPr>
                        <w:t>Envoyez un courriel au frontdesk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9"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rsidR="00075548" w:rsidRPr="00B609CC" w:rsidRDefault="00075548" w:rsidP="00075548">
                      <w:pPr>
                        <w:pStyle w:val="Header"/>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rsidR="00D420CB" w:rsidRPr="00075548" w:rsidRDefault="00D420CB" w:rsidP="00BF4C24">
                      <w:pPr>
                        <w:pStyle w:val="Header"/>
                        <w:tabs>
                          <w:tab w:val="clear" w:pos="4536"/>
                          <w:tab w:val="clear" w:pos="9072"/>
                        </w:tabs>
                        <w:rPr>
                          <w:rFonts w:ascii="Gill Sans MT" w:hAnsi="Gill Sans MT"/>
                        </w:rPr>
                      </w:pPr>
                    </w:p>
                  </w:txbxContent>
                </v:textbox>
                <w10:wrap anchorx="page" anchory="page"/>
                <w10:anchorlock/>
              </v:shape>
            </w:pict>
          </mc:Fallback>
        </mc:AlternateContent>
      </w:r>
      <w:r w:rsidRPr="00ED549B">
        <w:rPr>
          <w:rFonts w:ascii="Gill Sans MT" w:hAnsi="Gill Sans MT"/>
          <w:noProof/>
          <w:sz w:val="20"/>
          <w:lang w:val="en-US"/>
        </w:rPr>
        <mc:AlternateContent>
          <mc:Choice Requires="wps">
            <w:drawing>
              <wp:anchor distT="0" distB="0" distL="114300" distR="114300" simplePos="0" relativeHeight="251657728" behindDoc="0" locked="1" layoutInCell="1" allowOverlap="1">
                <wp:simplePos x="0" y="0"/>
                <wp:positionH relativeFrom="page">
                  <wp:posOffset>89535</wp:posOffset>
                </wp:positionH>
                <wp:positionV relativeFrom="page">
                  <wp:posOffset>9977755</wp:posOffset>
                </wp:positionV>
                <wp:extent cx="7405370" cy="5816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3C3F17" w:rsidRPr="007459CE">
                              <w:tblPrEx>
                                <w:tblCellMar>
                                  <w:top w:w="0" w:type="dxa"/>
                                  <w:bottom w:w="0" w:type="dxa"/>
                                </w:tblCellMar>
                              </w:tblPrEx>
                              <w:trPr>
                                <w:cantSplit/>
                                <w:trHeight w:val="705"/>
                              </w:trPr>
                              <w:tc>
                                <w:tcPr>
                                  <w:tcW w:w="7938" w:type="dxa"/>
                                </w:tcPr>
                                <w:p w:rsidR="003C3F17" w:rsidRPr="00D567F6" w:rsidRDefault="00D567F6" w:rsidP="007459CE">
                                  <w:pPr>
                                    <w:rPr>
                                      <w:rFonts w:ascii="Gill Sans MT" w:hAnsi="Gill Sans MT"/>
                                      <w:sz w:val="16"/>
                                      <w:szCs w:val="16"/>
                                    </w:rPr>
                                  </w:pPr>
                                  <w:r w:rsidRPr="00D567F6">
                                    <w:rPr>
                                      <w:rFonts w:ascii="Gill Sans MT" w:hAnsi="Gill Sans MT"/>
                                      <w:sz w:val="16"/>
                                      <w:szCs w:val="16"/>
                                    </w:rPr>
                                    <w:t>SPP Intégration Sociale, Lutte contre la Pauvreté, Economie Sociale et Politique des Grandes Villes</w:t>
                                  </w:r>
                                </w:p>
                                <w:p w:rsidR="003C3F17" w:rsidRPr="005A4DB2" w:rsidRDefault="00D567F6" w:rsidP="007459CE">
                                  <w:pPr>
                                    <w:rPr>
                                      <w:rFonts w:ascii="Gill Sans MT" w:hAnsi="Gill Sans MT"/>
                                      <w:sz w:val="16"/>
                                      <w:szCs w:val="16"/>
                                    </w:rPr>
                                  </w:pPr>
                                  <w:r w:rsidRPr="005A4DB2">
                                    <w:rPr>
                                      <w:rFonts w:ascii="Gill Sans MT" w:hAnsi="Gill Sans MT"/>
                                      <w:sz w:val="16"/>
                                      <w:szCs w:val="16"/>
                                    </w:rPr>
                                    <w:t xml:space="preserve">Bld </w:t>
                                  </w:r>
                                  <w:r w:rsidR="005A4DB2" w:rsidRPr="005A4DB2">
                                    <w:rPr>
                                      <w:rFonts w:ascii="Gill Sans MT" w:hAnsi="Gill Sans MT"/>
                                      <w:sz w:val="16"/>
                                      <w:szCs w:val="16"/>
                                    </w:rPr>
                                    <w:t xml:space="preserve">Roi Albert II – 30 </w:t>
                                  </w:r>
                                  <w:r w:rsidRPr="005A4DB2">
                                    <w:rPr>
                                      <w:rFonts w:ascii="Gill Sans MT" w:hAnsi="Gill Sans MT"/>
                                      <w:sz w:val="16"/>
                                      <w:szCs w:val="16"/>
                                    </w:rPr>
                                    <w:t xml:space="preserve">– </w:t>
                                  </w:r>
                                  <w:r w:rsidR="003C3F17" w:rsidRPr="005A4DB2">
                                    <w:rPr>
                                      <w:rFonts w:ascii="Gill Sans MT" w:hAnsi="Gill Sans MT"/>
                                      <w:sz w:val="16"/>
                                      <w:szCs w:val="16"/>
                                    </w:rPr>
                                    <w:t xml:space="preserve">1000 </w:t>
                                  </w:r>
                                  <w:r w:rsidRPr="005A4DB2">
                                    <w:rPr>
                                      <w:rFonts w:ascii="Gill Sans MT" w:hAnsi="Gill Sans MT"/>
                                      <w:sz w:val="16"/>
                                      <w:szCs w:val="16"/>
                                    </w:rPr>
                                    <w:t>Bruxelles</w:t>
                                  </w:r>
                                  <w:r w:rsidR="003C3F17" w:rsidRPr="005A4DB2">
                                    <w:rPr>
                                      <w:rFonts w:ascii="Gill Sans MT" w:hAnsi="Gill Sans MT"/>
                                      <w:sz w:val="16"/>
                                      <w:szCs w:val="16"/>
                                    </w:rPr>
                                    <w:t xml:space="preserve"> </w:t>
                                  </w:r>
                                  <w:r w:rsidR="003C3F17" w:rsidRPr="005A4DB2">
                                    <w:rPr>
                                      <w:rFonts w:ascii="Gill Sans MT" w:hAnsi="Gill Sans MT"/>
                                      <w:color w:val="F9D73F"/>
                                      <w:sz w:val="16"/>
                                      <w:szCs w:val="16"/>
                                    </w:rPr>
                                    <w:t xml:space="preserve">– </w:t>
                                  </w:r>
                                  <w:hyperlink r:id="rId10" w:history="1">
                                    <w:r w:rsidR="003C3F17" w:rsidRPr="005A4DB2">
                                      <w:rPr>
                                        <w:rStyle w:val="Hyperlink"/>
                                        <w:rFonts w:ascii="Gill Sans MT" w:hAnsi="Gill Sans MT"/>
                                        <w:color w:val="F9D73F"/>
                                        <w:sz w:val="16"/>
                                        <w:szCs w:val="16"/>
                                      </w:rPr>
                                      <w:t>http://www.mi-is.be</w:t>
                                    </w:r>
                                  </w:hyperlink>
                                  <w:r w:rsidR="005A4DB2" w:rsidRPr="005A4DB2">
                                    <w:rPr>
                                      <w:rFonts w:ascii="Gill Sans MT" w:hAnsi="Gill Sans MT"/>
                                      <w:sz w:val="16"/>
                                      <w:szCs w:val="16"/>
                                    </w:rPr>
                                    <w:br/>
                                  </w:r>
                                  <w:r w:rsidR="003C3F17" w:rsidRPr="005A4DB2">
                                    <w:rPr>
                                      <w:rFonts w:ascii="Gill Sans MT" w:hAnsi="Gill Sans MT"/>
                                      <w:sz w:val="16"/>
                                      <w:szCs w:val="16"/>
                                    </w:rPr>
                                    <w:t>tel +32 2 508 85 8</w:t>
                                  </w:r>
                                  <w:r w:rsidRPr="005A4DB2">
                                    <w:rPr>
                                      <w:rFonts w:ascii="Gill Sans MT" w:hAnsi="Gill Sans MT"/>
                                      <w:sz w:val="16"/>
                                      <w:szCs w:val="16"/>
                                    </w:rPr>
                                    <w:t>6</w:t>
                                  </w:r>
                                  <w:r w:rsidR="003C3F17" w:rsidRPr="005A4DB2">
                                    <w:rPr>
                                      <w:rFonts w:ascii="Gill Sans MT" w:hAnsi="Gill Sans MT"/>
                                      <w:sz w:val="16"/>
                                      <w:szCs w:val="16"/>
                                    </w:rPr>
                                    <w:t>– fax +32 2 508 85 10–</w:t>
                                  </w:r>
                                  <w:r w:rsidRPr="005A4DB2">
                                    <w:rPr>
                                      <w:rFonts w:ascii="Gill Sans MT" w:hAnsi="Gill Sans MT"/>
                                      <w:color w:val="F9D73F"/>
                                      <w:sz w:val="16"/>
                                      <w:szCs w:val="16"/>
                                    </w:rPr>
                                    <w:t xml:space="preserve"> </w:t>
                                  </w:r>
                                  <w:hyperlink r:id="rId11" w:history="1">
                                    <w:r w:rsidRPr="005A4DB2">
                                      <w:rPr>
                                        <w:rStyle w:val="Hyperlink"/>
                                        <w:rFonts w:ascii="Gill Sans MT" w:hAnsi="Gill Sans MT"/>
                                        <w:color w:val="F9D73F"/>
                                        <w:sz w:val="16"/>
                                        <w:szCs w:val="16"/>
                                      </w:rPr>
                                      <w:t>question@mi-is.be</w:t>
                                    </w:r>
                                  </w:hyperlink>
                                  <w:r w:rsidRPr="005A4DB2">
                                    <w:rPr>
                                      <w:rFonts w:ascii="Gill Sans MT" w:hAnsi="Gill Sans MT"/>
                                      <w:color w:val="FFFF00"/>
                                      <w:sz w:val="16"/>
                                      <w:szCs w:val="16"/>
                                    </w:rPr>
                                    <w:t xml:space="preserve"> </w:t>
                                  </w:r>
                                </w:p>
                              </w:tc>
                              <w:tc>
                                <w:tcPr>
                                  <w:tcW w:w="2977" w:type="dxa"/>
                                </w:tcPr>
                                <w:p w:rsidR="003C3F17" w:rsidRPr="007459CE" w:rsidRDefault="00802AED">
                                  <w:pPr>
                                    <w:jc w:val="right"/>
                                    <w:rPr>
                                      <w:rFonts w:ascii="Gill Sans MT" w:hAnsi="Gill Sans MT"/>
                                      <w:sz w:val="20"/>
                                      <w:lang w:val="nl-BE"/>
                                    </w:rPr>
                                  </w:pPr>
                                  <w:r w:rsidRPr="003C3F17">
                                    <w:rPr>
                                      <w:rFonts w:ascii="Gill Sans MT" w:hAnsi="Gill Sans MT"/>
                                      <w:noProof/>
                                      <w:sz w:val="20"/>
                                      <w:lang w:val="en-US"/>
                                    </w:rPr>
                                    <w:drawing>
                                      <wp:inline distT="0" distB="0" distL="0" distR="0">
                                        <wp:extent cx="1800225" cy="295275"/>
                                        <wp:effectExtent l="0" t="0" r="9525" b="9525"/>
                                        <wp:docPr id="1" name="Picture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FC6579" w:rsidRPr="007459CE" w:rsidRDefault="00FC6579">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05pt;margin-top:785.65pt;width:583.1pt;height:45.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Ga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glGgvbQoke2N+hO7hGx1RkHnYHTwwBuZg/H0GXHVA/3svqmkZDLlooNu1VKji2jNWQX2pv+xdUJ&#10;R1uQ9fhR1hCGbo10QPtG9bZ0UAwE6NClp1NnbCoVHM5JEF3PwVSBLUrCOHat82l2vD0obd4z2SO7&#10;yLGCzjt0urvXxmZDs6OLDSZkybvOdb8Tzw7AcTqB2HDV2mwWrpk/0yBdJauEeGQWrzwSFIV3Wy6J&#10;F5fhPCqui+WyCH/ZuCHJWl7XTNgwR2GF5M8ad5D4JImTtLTseG3hbEpabdbLTqEdBWGX7nM1B8vZ&#10;zX+ehisCcHlBKZyR4G6WemWczD1SkshL50HiBWF6l8YBSUlRPqd0zwX7d0pozHEazaJJTOekX3AL&#10;3PeaG816bmB0dLzPcXJyopmV4ErUrrWG8m5aX5TCpn8uBbT72GgnWKvRSa1mv967l+HUbMW8lvUT&#10;KFhJEBhoEcYeLFqpfmA0wgjJsf6+pYph1H0Q9hWQ6yiEmXO5UZeb9eWGigqgcmwwmpZLM82p7aD4&#10;poVI07sT8hZeTsOdqM9ZHd4bjAnH7TDS7By63Duv8+Bd/AY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LiawZq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3C3F17" w:rsidRPr="007459CE">
                        <w:tblPrEx>
                          <w:tblCellMar>
                            <w:top w:w="0" w:type="dxa"/>
                            <w:bottom w:w="0" w:type="dxa"/>
                          </w:tblCellMar>
                        </w:tblPrEx>
                        <w:trPr>
                          <w:cantSplit/>
                          <w:trHeight w:val="705"/>
                        </w:trPr>
                        <w:tc>
                          <w:tcPr>
                            <w:tcW w:w="7938" w:type="dxa"/>
                          </w:tcPr>
                          <w:p w:rsidR="003C3F17" w:rsidRPr="00D567F6" w:rsidRDefault="00D567F6" w:rsidP="007459CE">
                            <w:pPr>
                              <w:rPr>
                                <w:rFonts w:ascii="Gill Sans MT" w:hAnsi="Gill Sans MT"/>
                                <w:sz w:val="16"/>
                                <w:szCs w:val="16"/>
                              </w:rPr>
                            </w:pPr>
                            <w:r w:rsidRPr="00D567F6">
                              <w:rPr>
                                <w:rFonts w:ascii="Gill Sans MT" w:hAnsi="Gill Sans MT"/>
                                <w:sz w:val="16"/>
                                <w:szCs w:val="16"/>
                              </w:rPr>
                              <w:t>SPP Intégration Sociale, Lutte contre la Pauvreté, Economie Sociale et Politique des Grandes Villes</w:t>
                            </w:r>
                          </w:p>
                          <w:p w:rsidR="003C3F17" w:rsidRPr="005A4DB2" w:rsidRDefault="00D567F6" w:rsidP="007459CE">
                            <w:pPr>
                              <w:rPr>
                                <w:rFonts w:ascii="Gill Sans MT" w:hAnsi="Gill Sans MT"/>
                                <w:sz w:val="16"/>
                                <w:szCs w:val="16"/>
                              </w:rPr>
                            </w:pPr>
                            <w:r w:rsidRPr="005A4DB2">
                              <w:rPr>
                                <w:rFonts w:ascii="Gill Sans MT" w:hAnsi="Gill Sans MT"/>
                                <w:sz w:val="16"/>
                                <w:szCs w:val="16"/>
                              </w:rPr>
                              <w:t xml:space="preserve">Bld </w:t>
                            </w:r>
                            <w:r w:rsidR="005A4DB2" w:rsidRPr="005A4DB2">
                              <w:rPr>
                                <w:rFonts w:ascii="Gill Sans MT" w:hAnsi="Gill Sans MT"/>
                                <w:sz w:val="16"/>
                                <w:szCs w:val="16"/>
                              </w:rPr>
                              <w:t xml:space="preserve">Roi Albert II – 30 </w:t>
                            </w:r>
                            <w:r w:rsidRPr="005A4DB2">
                              <w:rPr>
                                <w:rFonts w:ascii="Gill Sans MT" w:hAnsi="Gill Sans MT"/>
                                <w:sz w:val="16"/>
                                <w:szCs w:val="16"/>
                              </w:rPr>
                              <w:t xml:space="preserve">– </w:t>
                            </w:r>
                            <w:r w:rsidR="003C3F17" w:rsidRPr="005A4DB2">
                              <w:rPr>
                                <w:rFonts w:ascii="Gill Sans MT" w:hAnsi="Gill Sans MT"/>
                                <w:sz w:val="16"/>
                                <w:szCs w:val="16"/>
                              </w:rPr>
                              <w:t xml:space="preserve">1000 </w:t>
                            </w:r>
                            <w:r w:rsidRPr="005A4DB2">
                              <w:rPr>
                                <w:rFonts w:ascii="Gill Sans MT" w:hAnsi="Gill Sans MT"/>
                                <w:sz w:val="16"/>
                                <w:szCs w:val="16"/>
                              </w:rPr>
                              <w:t>Bruxelles</w:t>
                            </w:r>
                            <w:r w:rsidR="003C3F17" w:rsidRPr="005A4DB2">
                              <w:rPr>
                                <w:rFonts w:ascii="Gill Sans MT" w:hAnsi="Gill Sans MT"/>
                                <w:sz w:val="16"/>
                                <w:szCs w:val="16"/>
                              </w:rPr>
                              <w:t xml:space="preserve"> </w:t>
                            </w:r>
                            <w:r w:rsidR="003C3F17" w:rsidRPr="005A4DB2">
                              <w:rPr>
                                <w:rFonts w:ascii="Gill Sans MT" w:hAnsi="Gill Sans MT"/>
                                <w:color w:val="F9D73F"/>
                                <w:sz w:val="16"/>
                                <w:szCs w:val="16"/>
                              </w:rPr>
                              <w:t xml:space="preserve">– </w:t>
                            </w:r>
                            <w:hyperlink r:id="rId13" w:history="1">
                              <w:r w:rsidR="003C3F17" w:rsidRPr="005A4DB2">
                                <w:rPr>
                                  <w:rStyle w:val="Hyperlink"/>
                                  <w:rFonts w:ascii="Gill Sans MT" w:hAnsi="Gill Sans MT"/>
                                  <w:color w:val="F9D73F"/>
                                  <w:sz w:val="16"/>
                                  <w:szCs w:val="16"/>
                                </w:rPr>
                                <w:t>http://www.mi-is.be</w:t>
                              </w:r>
                            </w:hyperlink>
                            <w:r w:rsidR="005A4DB2" w:rsidRPr="005A4DB2">
                              <w:rPr>
                                <w:rFonts w:ascii="Gill Sans MT" w:hAnsi="Gill Sans MT"/>
                                <w:sz w:val="16"/>
                                <w:szCs w:val="16"/>
                              </w:rPr>
                              <w:br/>
                            </w:r>
                            <w:r w:rsidR="003C3F17" w:rsidRPr="005A4DB2">
                              <w:rPr>
                                <w:rFonts w:ascii="Gill Sans MT" w:hAnsi="Gill Sans MT"/>
                                <w:sz w:val="16"/>
                                <w:szCs w:val="16"/>
                              </w:rPr>
                              <w:t>tel +32 2 508 85 8</w:t>
                            </w:r>
                            <w:r w:rsidRPr="005A4DB2">
                              <w:rPr>
                                <w:rFonts w:ascii="Gill Sans MT" w:hAnsi="Gill Sans MT"/>
                                <w:sz w:val="16"/>
                                <w:szCs w:val="16"/>
                              </w:rPr>
                              <w:t>6</w:t>
                            </w:r>
                            <w:r w:rsidR="003C3F17" w:rsidRPr="005A4DB2">
                              <w:rPr>
                                <w:rFonts w:ascii="Gill Sans MT" w:hAnsi="Gill Sans MT"/>
                                <w:sz w:val="16"/>
                                <w:szCs w:val="16"/>
                              </w:rPr>
                              <w:t>– fax +32 2 508 85 10–</w:t>
                            </w:r>
                            <w:r w:rsidRPr="005A4DB2">
                              <w:rPr>
                                <w:rFonts w:ascii="Gill Sans MT" w:hAnsi="Gill Sans MT"/>
                                <w:color w:val="F9D73F"/>
                                <w:sz w:val="16"/>
                                <w:szCs w:val="16"/>
                              </w:rPr>
                              <w:t xml:space="preserve"> </w:t>
                            </w:r>
                            <w:hyperlink r:id="rId14" w:history="1">
                              <w:r w:rsidRPr="005A4DB2">
                                <w:rPr>
                                  <w:rStyle w:val="Hyperlink"/>
                                  <w:rFonts w:ascii="Gill Sans MT" w:hAnsi="Gill Sans MT"/>
                                  <w:color w:val="F9D73F"/>
                                  <w:sz w:val="16"/>
                                  <w:szCs w:val="16"/>
                                </w:rPr>
                                <w:t>question@mi-is.be</w:t>
                              </w:r>
                            </w:hyperlink>
                            <w:r w:rsidRPr="005A4DB2">
                              <w:rPr>
                                <w:rFonts w:ascii="Gill Sans MT" w:hAnsi="Gill Sans MT"/>
                                <w:color w:val="FFFF00"/>
                                <w:sz w:val="16"/>
                                <w:szCs w:val="16"/>
                              </w:rPr>
                              <w:t xml:space="preserve"> </w:t>
                            </w:r>
                          </w:p>
                        </w:tc>
                        <w:tc>
                          <w:tcPr>
                            <w:tcW w:w="2977" w:type="dxa"/>
                          </w:tcPr>
                          <w:p w:rsidR="003C3F17" w:rsidRPr="007459CE" w:rsidRDefault="00802AED">
                            <w:pPr>
                              <w:jc w:val="right"/>
                              <w:rPr>
                                <w:rFonts w:ascii="Gill Sans MT" w:hAnsi="Gill Sans MT"/>
                                <w:sz w:val="20"/>
                                <w:lang w:val="nl-BE"/>
                              </w:rPr>
                            </w:pPr>
                            <w:r w:rsidRPr="003C3F17">
                              <w:rPr>
                                <w:rFonts w:ascii="Gill Sans MT" w:hAnsi="Gill Sans MT"/>
                                <w:noProof/>
                                <w:sz w:val="20"/>
                                <w:lang w:val="en-US"/>
                              </w:rPr>
                              <w:drawing>
                                <wp:inline distT="0" distB="0" distL="0" distR="0">
                                  <wp:extent cx="1800225" cy="295275"/>
                                  <wp:effectExtent l="0" t="0" r="9525" b="9525"/>
                                  <wp:docPr id="1" name="Picture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FC6579" w:rsidRPr="007459CE" w:rsidRDefault="00FC6579">
                      <w:pPr>
                        <w:rPr>
                          <w:rFonts w:ascii="Gill Sans MT" w:hAnsi="Gill Sans MT"/>
                          <w:sz w:val="20"/>
                          <w:lang w:val="nl-BE"/>
                        </w:rPr>
                      </w:pPr>
                    </w:p>
                  </w:txbxContent>
                </v:textbox>
                <w10:wrap anchorx="page" anchory="page"/>
                <w10:anchorlock/>
              </v:shape>
            </w:pict>
          </mc:Fallback>
        </mc:AlternateContent>
      </w:r>
      <w:r w:rsidRPr="00ED549B">
        <w:rPr>
          <w:rFonts w:ascii="Gill Sans MT" w:hAnsi="Gill Sans MT"/>
          <w:noProof/>
          <w:lang w:val="en-US"/>
        </w:rPr>
        <mc:AlternateContent>
          <mc:Choice Requires="wps">
            <w:drawing>
              <wp:anchor distT="0" distB="0" distL="114300" distR="114300" simplePos="0" relativeHeight="251656704" behindDoc="0" locked="1" layoutInCell="0" allowOverlap="1">
                <wp:simplePos x="0" y="0"/>
                <wp:positionH relativeFrom="page">
                  <wp:posOffset>252095</wp:posOffset>
                </wp:positionH>
                <wp:positionV relativeFrom="page">
                  <wp:posOffset>7406005</wp:posOffset>
                </wp:positionV>
                <wp:extent cx="360045" cy="184150"/>
                <wp:effectExtent l="0" t="0" r="0" b="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579" w:rsidRDefault="00FC6579">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9.85pt;margin-top:583.15pt;width:28.35pt;height: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jQIAACg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bn&#10;GCnSQYse+ODRtR7QeahOb1wFTvcG3PwAx9DlmKkzd5p+cUjpm5aoDb9yBqodrM9H1uq+5YQB4SyA&#10;JSdoI7QLuOv+vWYQmWy9jthDY7tQTagPgoDQuMdjswI7CofnszQtphhRMGXzIpvGZiakOvxsrPNv&#10;ue5QWNTYArsITnZ3zgcypDq4hFhOS8FWQsq4sZv1jbRoR0A3q/hE/i/cpArOSoffRsTxBDhCjGAL&#10;bKMOnsosL9LrvJysZvOLSbEqppPyIp1P0qy8LmdpURa3q++BYFZUrWCMqzuh+EGTWfF3Pd9Px6im&#10;qErU17ic5tOxaX9MMo3P75LshIcRlaKr8fzoRKrQ1zeKQdqk8kTIcZ38TD9WGWpw+MaqRBWExo8S&#10;8MN6iArMD3pba/YIsrAa2ga9h+sFFq223zDqYVRr7L5uieUYyXcKpFVmRRFmO26K6UUOG3tqWZ9a&#10;iKIAVWOP0bi88eN9sDVWbFqINOpb6SuQYyOiVIJuR1Z7EcM4xpz2V0eY99N99Hq+4JY/AAAA//8D&#10;AFBLAwQUAAYACAAAACEAM8hKqd8AAAALAQAADwAAAGRycy9kb3ducmV2LnhtbEyPwU6DQBCG7ya+&#10;w2ZMvBi7VNqlUJZGTTReW/sAC0yByM4Sdlvo2zs96XH++fLPN/lutr244Og7RxqWiwgEUuXqjhoN&#10;x++P5w0IHwzVpneEGq7oYVfc3+Umq91Ee7wcQiO4hHxmNLQhDJmUvmrRGr9wAxLvTm60JvA4NrIe&#10;zcTltpcvUaSkNR3xhdYM+N5i9XM4Ww2nr+lpnU7lZzgm+5V6M11SuqvWjw/z6xZEwDn8wXDTZ3Uo&#10;2Kl0Z6q96DXEacIk50ulYhBMpGoForwl6ToGWeTy/w/FLwAAAP//AwBQSwECLQAUAAYACAAAACEA&#10;toM4kv4AAADhAQAAEwAAAAAAAAAAAAAAAAAAAAAAW0NvbnRlbnRfVHlwZXNdLnhtbFBLAQItABQA&#10;BgAIAAAAIQA4/SH/1gAAAJQBAAALAAAAAAAAAAAAAAAAAC8BAABfcmVscy8ucmVsc1BLAQItABQA&#10;BgAIAAAAIQC+S+znjQIAACgFAAAOAAAAAAAAAAAAAAAAAC4CAABkcnMvZTJvRG9jLnhtbFBLAQIt&#10;ABQABgAIAAAAIQAzyEqp3wAAAAsBAAAPAAAAAAAAAAAAAAAAAOcEAABkcnMvZG93bnJldi54bWxQ&#10;SwUGAAAAAAQABADzAAAA8wUAAAAA&#10;" o:allowincell="f" stroked="f">
                <o:lock v:ext="edit" aspectratio="t"/>
                <v:textbox>
                  <w:txbxContent>
                    <w:p w:rsidR="00FC6579" w:rsidRDefault="00FC6579">
                      <w:pPr>
                        <w:rPr>
                          <w:sz w:val="16"/>
                        </w:rPr>
                      </w:pPr>
                      <w:r>
                        <w:rPr>
                          <w:sz w:val="16"/>
                        </w:rPr>
                        <w:t>-</w:t>
                      </w: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7459CE">
        <w:tblPrEx>
          <w:tblCellMar>
            <w:top w:w="0" w:type="dxa"/>
            <w:bottom w:w="0" w:type="dxa"/>
          </w:tblCellMar>
        </w:tblPrEx>
        <w:trPr>
          <w:cantSplit/>
          <w:trHeight w:val="1710"/>
        </w:trPr>
        <w:tc>
          <w:tcPr>
            <w:tcW w:w="4252" w:type="dxa"/>
          </w:tcPr>
          <w:p w:rsidR="007459CE" w:rsidRPr="007459CE" w:rsidRDefault="007459CE" w:rsidP="00D420CB">
            <w:pPr>
              <w:pStyle w:val="Header"/>
              <w:tabs>
                <w:tab w:val="clear" w:pos="4536"/>
                <w:tab w:val="clear" w:pos="9072"/>
              </w:tabs>
              <w:rPr>
                <w:rFonts w:ascii="Gill Sans MT" w:hAnsi="Gill Sans MT"/>
                <w:sz w:val="20"/>
                <w:lang w:val="fr-BE"/>
              </w:rPr>
            </w:pPr>
            <w:bookmarkStart w:id="0" w:name="SYS_LOGO_INFO"/>
            <w:bookmarkStart w:id="1" w:name="SYS_LOGO_MIN"/>
            <w:bookmarkEnd w:id="0"/>
            <w:bookmarkEnd w:id="1"/>
          </w:p>
        </w:tc>
      </w:tr>
    </w:tbl>
    <w:p w:rsidR="00FC6579" w:rsidRPr="007459CE" w:rsidRDefault="00FC6579">
      <w:pPr>
        <w:pStyle w:val="Letter"/>
        <w:rPr>
          <w:rFonts w:ascii="Gill Sans MT" w:hAnsi="Gill Sans MT"/>
          <w:lang w:val="fr-BE"/>
        </w:rPr>
      </w:pPr>
    </w:p>
    <w:p w:rsidR="00FC6579" w:rsidRPr="007459CE" w:rsidRDefault="00FC6579">
      <w:pPr>
        <w:pStyle w:val="Letter"/>
        <w:rPr>
          <w:rFonts w:ascii="Gill Sans MT" w:hAnsi="Gill Sans MT"/>
          <w:sz w:val="17"/>
          <w:lang w:val="fr-BE"/>
        </w:rPr>
      </w:pPr>
    </w:p>
    <w:tbl>
      <w:tblPr>
        <w:tblW w:w="10632" w:type="dxa"/>
        <w:tblInd w:w="-1168" w:type="dxa"/>
        <w:tblLayout w:type="fixed"/>
        <w:tblLook w:val="0000" w:firstRow="0" w:lastRow="0" w:firstColumn="0" w:lastColumn="0" w:noHBand="0" w:noVBand="0"/>
      </w:tblPr>
      <w:tblGrid>
        <w:gridCol w:w="2694"/>
        <w:gridCol w:w="1417"/>
        <w:gridCol w:w="1701"/>
        <w:gridCol w:w="2410"/>
        <w:gridCol w:w="1276"/>
        <w:gridCol w:w="1134"/>
      </w:tblGrid>
      <w:tr w:rsidR="00FC6579" w:rsidRPr="00ED549B">
        <w:tblPrEx>
          <w:tblCellMar>
            <w:top w:w="0" w:type="dxa"/>
            <w:bottom w:w="0" w:type="dxa"/>
          </w:tblCellMar>
        </w:tblPrEx>
        <w:trPr>
          <w:cantSplit/>
          <w:trHeight w:val="337"/>
        </w:trPr>
        <w:tc>
          <w:tcPr>
            <w:tcW w:w="2694" w:type="dxa"/>
          </w:tcPr>
          <w:p w:rsidR="00FC6579" w:rsidRPr="00ED549B" w:rsidRDefault="00D567F6">
            <w:pPr>
              <w:pStyle w:val="Letter"/>
              <w:rPr>
                <w:rFonts w:ascii="Gill Sans MT" w:hAnsi="Gill Sans MT"/>
                <w:sz w:val="17"/>
                <w:lang w:val="nl-BE"/>
              </w:rPr>
            </w:pPr>
            <w:r>
              <w:rPr>
                <w:rFonts w:ascii="Gill Sans MT" w:hAnsi="Gill Sans MT" w:cs="Arial"/>
                <w:sz w:val="17"/>
                <w:lang w:val="nl-BE"/>
              </w:rPr>
              <w:t>Service</w:t>
            </w:r>
          </w:p>
        </w:tc>
        <w:tc>
          <w:tcPr>
            <w:tcW w:w="1417" w:type="dxa"/>
          </w:tcPr>
          <w:p w:rsidR="00FC6579" w:rsidRPr="00ED549B" w:rsidRDefault="00D567F6">
            <w:pPr>
              <w:pStyle w:val="Letter"/>
              <w:rPr>
                <w:rFonts w:ascii="Gill Sans MT" w:hAnsi="Gill Sans MT"/>
                <w:sz w:val="17"/>
                <w:lang w:val="nl-BE"/>
              </w:rPr>
            </w:pPr>
            <w:r>
              <w:rPr>
                <w:rFonts w:ascii="Gill Sans MT" w:hAnsi="Gill Sans MT" w:cs="Arial"/>
                <w:sz w:val="17"/>
                <w:lang w:val="nl-BE"/>
              </w:rPr>
              <w:t>Votre lettre du</w:t>
            </w:r>
          </w:p>
        </w:tc>
        <w:tc>
          <w:tcPr>
            <w:tcW w:w="1701" w:type="dxa"/>
          </w:tcPr>
          <w:p w:rsidR="00FC6579" w:rsidRPr="00ED549B" w:rsidRDefault="00D567F6">
            <w:pPr>
              <w:pStyle w:val="Letter"/>
              <w:rPr>
                <w:rFonts w:ascii="Gill Sans MT" w:hAnsi="Gill Sans MT"/>
                <w:sz w:val="17"/>
                <w:lang w:val="nl-BE"/>
              </w:rPr>
            </w:pPr>
            <w:r>
              <w:rPr>
                <w:rFonts w:ascii="Gill Sans MT" w:hAnsi="Gill Sans MT" w:cs="Arial"/>
                <w:sz w:val="17"/>
                <w:lang w:val="nl-BE"/>
              </w:rPr>
              <w:t>Vos références</w:t>
            </w:r>
          </w:p>
        </w:tc>
        <w:tc>
          <w:tcPr>
            <w:tcW w:w="2410" w:type="dxa"/>
          </w:tcPr>
          <w:p w:rsidR="00FC6579" w:rsidRPr="00ED549B" w:rsidRDefault="00D567F6">
            <w:pPr>
              <w:pStyle w:val="Letter"/>
              <w:rPr>
                <w:rFonts w:ascii="Gill Sans MT" w:hAnsi="Gill Sans MT"/>
                <w:sz w:val="17"/>
                <w:lang w:val="nl-BE"/>
              </w:rPr>
            </w:pPr>
            <w:r>
              <w:rPr>
                <w:rFonts w:ascii="Gill Sans MT" w:hAnsi="Gill Sans MT" w:cs="Arial"/>
                <w:sz w:val="17"/>
                <w:lang w:val="nl-BE"/>
              </w:rPr>
              <w:t>Non références</w:t>
            </w:r>
          </w:p>
        </w:tc>
        <w:tc>
          <w:tcPr>
            <w:tcW w:w="1276" w:type="dxa"/>
          </w:tcPr>
          <w:p w:rsidR="00FC6579" w:rsidRPr="00ED549B" w:rsidRDefault="00D567F6">
            <w:pPr>
              <w:pStyle w:val="Letter"/>
              <w:rPr>
                <w:rFonts w:ascii="Gill Sans MT" w:hAnsi="Gill Sans MT"/>
                <w:sz w:val="17"/>
                <w:lang w:val="fr-BE"/>
              </w:rPr>
            </w:pPr>
            <w:r>
              <w:rPr>
                <w:rFonts w:ascii="Gill Sans MT" w:hAnsi="Gill Sans MT"/>
                <w:sz w:val="17"/>
                <w:lang w:val="fr-BE"/>
              </w:rPr>
              <w:t>date</w:t>
            </w:r>
          </w:p>
        </w:tc>
        <w:tc>
          <w:tcPr>
            <w:tcW w:w="1134" w:type="dxa"/>
          </w:tcPr>
          <w:p w:rsidR="00FC6579" w:rsidRPr="00ED549B" w:rsidRDefault="00D567F6">
            <w:pPr>
              <w:pStyle w:val="Letter"/>
              <w:rPr>
                <w:rFonts w:ascii="Gill Sans MT" w:hAnsi="Gill Sans MT"/>
                <w:sz w:val="17"/>
                <w:lang w:val="fr-BE"/>
              </w:rPr>
            </w:pPr>
            <w:r>
              <w:rPr>
                <w:rFonts w:ascii="Gill Sans MT" w:hAnsi="Gill Sans MT" w:cs="Arial"/>
                <w:sz w:val="17"/>
                <w:lang w:val="fr-BE"/>
              </w:rPr>
              <w:t>Annexe(s)</w:t>
            </w:r>
          </w:p>
        </w:tc>
      </w:tr>
      <w:tr w:rsidR="00FC6579" w:rsidRPr="00ED549B">
        <w:tblPrEx>
          <w:tblCellMar>
            <w:top w:w="0" w:type="dxa"/>
            <w:bottom w:w="0" w:type="dxa"/>
          </w:tblCellMar>
        </w:tblPrEx>
        <w:trPr>
          <w:cantSplit/>
          <w:trHeight w:val="187"/>
        </w:trPr>
        <w:tc>
          <w:tcPr>
            <w:tcW w:w="2694" w:type="dxa"/>
          </w:tcPr>
          <w:p w:rsidR="00FC6579" w:rsidRPr="00ED549B" w:rsidRDefault="00FC6579">
            <w:pPr>
              <w:pStyle w:val="Letter"/>
              <w:rPr>
                <w:rFonts w:ascii="Gill Sans MT" w:hAnsi="Gill Sans MT" w:cs="Arial"/>
                <w:sz w:val="17"/>
                <w:lang w:val="fr-BE"/>
              </w:rPr>
            </w:pPr>
          </w:p>
        </w:tc>
        <w:tc>
          <w:tcPr>
            <w:tcW w:w="1417" w:type="dxa"/>
          </w:tcPr>
          <w:p w:rsidR="00FC6579" w:rsidRPr="00ED549B" w:rsidRDefault="00FC6579">
            <w:pPr>
              <w:pStyle w:val="Letter"/>
              <w:rPr>
                <w:rFonts w:ascii="Gill Sans MT" w:hAnsi="Gill Sans MT"/>
                <w:sz w:val="17"/>
                <w:lang w:val="nl-BE"/>
              </w:rPr>
            </w:pPr>
          </w:p>
        </w:tc>
        <w:tc>
          <w:tcPr>
            <w:tcW w:w="1701" w:type="dxa"/>
          </w:tcPr>
          <w:p w:rsidR="00FC6579" w:rsidRPr="00ED549B" w:rsidRDefault="00FC6579">
            <w:pPr>
              <w:pStyle w:val="Letter"/>
              <w:rPr>
                <w:rFonts w:ascii="Gill Sans MT" w:hAnsi="Gill Sans MT"/>
                <w:sz w:val="17"/>
                <w:lang w:val="nl-BE"/>
              </w:rPr>
            </w:pPr>
          </w:p>
        </w:tc>
        <w:tc>
          <w:tcPr>
            <w:tcW w:w="2410" w:type="dxa"/>
          </w:tcPr>
          <w:p w:rsidR="00FC6579" w:rsidRPr="00ED549B" w:rsidRDefault="00FC6579">
            <w:pPr>
              <w:pStyle w:val="Letter"/>
              <w:rPr>
                <w:rFonts w:ascii="Gill Sans MT" w:hAnsi="Gill Sans MT"/>
                <w:sz w:val="17"/>
                <w:lang w:val="fr-BE"/>
              </w:rPr>
            </w:pPr>
          </w:p>
        </w:tc>
        <w:tc>
          <w:tcPr>
            <w:tcW w:w="1276" w:type="dxa"/>
          </w:tcPr>
          <w:p w:rsidR="00FC6579" w:rsidRPr="00ED549B" w:rsidRDefault="00FC6579">
            <w:pPr>
              <w:pStyle w:val="Letter"/>
              <w:rPr>
                <w:rFonts w:ascii="Gill Sans MT" w:hAnsi="Gill Sans MT"/>
                <w:sz w:val="17"/>
                <w:lang w:val="fr-BE"/>
              </w:rPr>
            </w:pPr>
          </w:p>
        </w:tc>
        <w:tc>
          <w:tcPr>
            <w:tcW w:w="1134" w:type="dxa"/>
          </w:tcPr>
          <w:p w:rsidR="00FC6579" w:rsidRPr="00ED549B" w:rsidRDefault="00FC6579">
            <w:pPr>
              <w:pStyle w:val="Letter"/>
              <w:rPr>
                <w:rFonts w:ascii="Gill Sans MT" w:hAnsi="Gill Sans MT" w:cs="Arial"/>
                <w:sz w:val="17"/>
                <w:lang w:val="fr-BE"/>
              </w:rPr>
            </w:pPr>
          </w:p>
        </w:tc>
      </w:tr>
    </w:tbl>
    <w:p w:rsidR="007B6EB5" w:rsidRDefault="007B6EB5" w:rsidP="007B6EB5">
      <w:pPr>
        <w:rPr>
          <w:rFonts w:cs="Arial"/>
          <w:b/>
          <w:sz w:val="28"/>
          <w:szCs w:val="28"/>
          <w:lang w:val="fr-BE" w:eastAsia="fr-FR"/>
        </w:rPr>
      </w:pPr>
    </w:p>
    <w:p w:rsidR="007B6EB5" w:rsidRPr="007B6EB5" w:rsidRDefault="007B6EB5" w:rsidP="007B6EB5">
      <w:pPr>
        <w:rPr>
          <w:rFonts w:cs="Arial"/>
          <w:b/>
          <w:sz w:val="28"/>
          <w:szCs w:val="28"/>
          <w:lang w:val="fr-BE" w:eastAsia="fr-FR"/>
        </w:rPr>
      </w:pPr>
      <w:bookmarkStart w:id="2" w:name="_GoBack"/>
      <w:r w:rsidRPr="007B6EB5">
        <w:rPr>
          <w:rFonts w:cs="Arial"/>
          <w:b/>
          <w:sz w:val="28"/>
          <w:szCs w:val="28"/>
          <w:lang w:val="fr-BE" w:eastAsia="fr-FR"/>
        </w:rPr>
        <w:t>Réponse à la question posée par les CPAS concernant la conservation des données dans le cloud.</w:t>
      </w:r>
    </w:p>
    <w:bookmarkEnd w:id="2"/>
    <w:p w:rsidR="007B6EB5" w:rsidRPr="007B6EB5" w:rsidRDefault="007B6EB5" w:rsidP="007B6EB5">
      <w:pPr>
        <w:jc w:val="center"/>
        <w:rPr>
          <w:rFonts w:cs="Arial"/>
          <w:b/>
          <w:sz w:val="28"/>
          <w:szCs w:val="28"/>
          <w:lang w:val="fr-BE" w:eastAsia="fr-FR"/>
        </w:rPr>
      </w:pPr>
    </w:p>
    <w:p w:rsidR="007B6EB5" w:rsidRPr="007B6EB5" w:rsidRDefault="007B6EB5" w:rsidP="007B6EB5">
      <w:pPr>
        <w:jc w:val="both"/>
        <w:rPr>
          <w:rFonts w:cs="Arial"/>
          <w:sz w:val="20"/>
          <w:lang w:val="fr-BE" w:eastAsia="fr-FR"/>
        </w:rPr>
      </w:pPr>
      <w:r w:rsidRPr="007B6EB5">
        <w:rPr>
          <w:rFonts w:cs="Arial"/>
          <w:sz w:val="20"/>
          <w:lang w:val="fr-BE" w:eastAsia="fr-FR"/>
        </w:rPr>
        <w:t xml:space="preserve"> </w:t>
      </w:r>
    </w:p>
    <w:p w:rsidR="007B6EB5" w:rsidRPr="007B6EB5" w:rsidRDefault="007B6EB5" w:rsidP="007B6EB5">
      <w:pPr>
        <w:jc w:val="both"/>
        <w:rPr>
          <w:rFonts w:cs="Arial"/>
          <w:sz w:val="20"/>
          <w:lang w:val="fr-BE" w:eastAsia="fr-FR"/>
        </w:rPr>
      </w:pPr>
      <w:r w:rsidRPr="007B6EB5">
        <w:rPr>
          <w:rFonts w:cs="Arial"/>
          <w:sz w:val="20"/>
          <w:lang w:val="fr-BE" w:eastAsia="fr-FR"/>
        </w:rPr>
        <w:t>En ce qui concerne les dispositions légales en vigueur en matière de données personnelles, l'article 16 §4 de la loi du 8 décembre 1992 relative à la protection de la vie privée à l'égard des traitements de données à caractère personnel (également appelée 'loi vie privée') prévoit que le responsable du traitement ainsi que le sous-traitant doivent prendre les mesures techniques et organisationnelles requises pour protéger les données à caractère personnel</w:t>
      </w:r>
      <w:r w:rsidRPr="007B6EB5">
        <w:rPr>
          <w:rFonts w:cs="Arial"/>
          <w:sz w:val="20"/>
          <w:vertAlign w:val="superscript"/>
          <w:lang w:val="fr-BE" w:eastAsia="fr-FR"/>
        </w:rPr>
        <w:footnoteReference w:id="1"/>
      </w:r>
      <w:r w:rsidRPr="007B6EB5">
        <w:rPr>
          <w:rFonts w:cs="Arial"/>
          <w:sz w:val="20"/>
          <w:lang w:val="fr-BE" w:eastAsia="fr-FR"/>
        </w:rPr>
        <w:t>. Voir également l'article 17 de la directive européenne</w:t>
      </w:r>
      <w:r w:rsidRPr="007B6EB5">
        <w:rPr>
          <w:rFonts w:ascii="Calibri" w:hAnsi="Calibri"/>
          <w:szCs w:val="22"/>
          <w:lang w:val="fr-BE" w:eastAsia="fr-BE"/>
        </w:rPr>
        <w:t xml:space="preserve"> </w:t>
      </w:r>
      <w:r w:rsidRPr="007B6EB5">
        <w:rPr>
          <w:rFonts w:cs="Arial"/>
          <w:sz w:val="20"/>
          <w:lang w:val="fr-BE" w:eastAsia="fr-FR"/>
        </w:rPr>
        <w:t>95/46/CE sur la vie privée</w:t>
      </w:r>
      <w:r w:rsidRPr="007B6EB5">
        <w:rPr>
          <w:rFonts w:cs="Arial"/>
          <w:sz w:val="20"/>
          <w:vertAlign w:val="superscript"/>
          <w:lang w:val="fr-BE" w:eastAsia="fr-FR"/>
        </w:rPr>
        <w:footnoteReference w:id="2"/>
      </w:r>
      <w:r w:rsidRPr="007B6EB5">
        <w:rPr>
          <w:rFonts w:cs="Arial"/>
          <w:sz w:val="20"/>
          <w:lang w:val="fr-BE" w:eastAsia="fr-FR"/>
        </w:rPr>
        <w:t>.</w:t>
      </w:r>
    </w:p>
    <w:p w:rsidR="007B6EB5" w:rsidRPr="007B6EB5" w:rsidRDefault="007B6EB5" w:rsidP="007B6EB5">
      <w:pPr>
        <w:jc w:val="both"/>
        <w:rPr>
          <w:rFonts w:cs="Arial"/>
          <w:sz w:val="20"/>
          <w:lang w:val="fr-BE" w:eastAsia="fr-FR"/>
        </w:rPr>
      </w:pPr>
      <w:r w:rsidRPr="007B6EB5">
        <w:rPr>
          <w:rFonts w:cs="Arial"/>
          <w:sz w:val="20"/>
          <w:lang w:val="fr-BE" w:eastAsia="fr-FR"/>
        </w:rPr>
        <w:t> </w:t>
      </w:r>
    </w:p>
    <w:p w:rsidR="007B6EB5" w:rsidRPr="007B6EB5" w:rsidRDefault="007B6EB5" w:rsidP="007B6EB5">
      <w:pPr>
        <w:jc w:val="both"/>
        <w:rPr>
          <w:rFonts w:cs="Arial"/>
          <w:sz w:val="20"/>
          <w:lang w:val="fr-BE" w:eastAsia="fr-FR"/>
        </w:rPr>
      </w:pPr>
      <w:r w:rsidRPr="007B6EB5">
        <w:rPr>
          <w:rFonts w:cs="Arial"/>
          <w:sz w:val="20"/>
          <w:lang w:val="fr-BE" w:eastAsia="fr-FR"/>
        </w:rPr>
        <w:t>Dans un souci de fournir des directives en matière de sécurité relative à des services de cloud aux institutions de sécurité sociale traitant des données confidentielles, le SPF Sécurité Sociale a élaboré en concertation avec le 'Groupe de travail Sécurité de l'information' organisé au sein de la BCSS ainsi qu’avec FEDICT une « Politique de sécurité relative à des services de Cloud Computing »</w:t>
      </w:r>
      <w:r w:rsidRPr="007B6EB5">
        <w:rPr>
          <w:rFonts w:cs="Arial"/>
          <w:sz w:val="20"/>
          <w:vertAlign w:val="superscript"/>
          <w:lang w:val="fr-BE" w:eastAsia="fr-FR"/>
        </w:rPr>
        <w:t xml:space="preserve"> </w:t>
      </w:r>
      <w:r w:rsidRPr="007B6EB5">
        <w:rPr>
          <w:rFonts w:cs="Arial"/>
          <w:sz w:val="20"/>
          <w:vertAlign w:val="superscript"/>
          <w:lang w:val="fr-BE" w:eastAsia="fr-FR"/>
        </w:rPr>
        <w:footnoteReference w:id="3"/>
      </w:r>
      <w:r w:rsidRPr="007B6EB5">
        <w:rPr>
          <w:rFonts w:cs="Arial"/>
          <w:sz w:val="20"/>
          <w:lang w:val="fr-BE" w:eastAsia="fr-FR"/>
        </w:rPr>
        <w:t>.</w:t>
      </w:r>
    </w:p>
    <w:p w:rsidR="007B6EB5" w:rsidRPr="007B6EB5" w:rsidRDefault="007B6EB5" w:rsidP="007B6EB5">
      <w:pPr>
        <w:jc w:val="both"/>
        <w:rPr>
          <w:rFonts w:cs="Arial"/>
          <w:sz w:val="20"/>
          <w:lang w:val="fr-BE" w:eastAsia="fr-FR"/>
        </w:rPr>
      </w:pPr>
    </w:p>
    <w:p w:rsidR="007B6EB5" w:rsidRPr="007B6EB5" w:rsidRDefault="007B6EB5" w:rsidP="007B6EB5">
      <w:pPr>
        <w:jc w:val="both"/>
        <w:rPr>
          <w:rFonts w:cs="Arial"/>
          <w:sz w:val="20"/>
          <w:lang w:val="fr-BE" w:eastAsia="fr-FR"/>
        </w:rPr>
      </w:pPr>
      <w:r w:rsidRPr="007B6EB5">
        <w:rPr>
          <w:rFonts w:cs="Arial"/>
          <w:sz w:val="20"/>
          <w:lang w:val="fr-BE" w:eastAsia="fr-FR"/>
        </w:rPr>
        <w:t>Les fournisseurs de services en cloud (nuage) font des efforts au niveau de la sécurisation des connexions ainsi que du cryptage des données (pas toujours standard ou sans frais supplémentaire) pour les données confidentielles. Il n'est toutefois pas certain que les solutions proposées offrent une protection adaptée. Qui a la clé ? Quelles sont les garanties pour pouvoir décrypter après une longue période ? Est-ce simple et facile d'utilisation (sans quoi ce ne sera de toute façon pas appliqué) ? ...</w:t>
      </w:r>
    </w:p>
    <w:p w:rsidR="007B6EB5" w:rsidRPr="007B6EB5" w:rsidRDefault="007B6EB5" w:rsidP="007B6EB5">
      <w:pPr>
        <w:jc w:val="both"/>
        <w:rPr>
          <w:rFonts w:cs="Arial"/>
          <w:sz w:val="20"/>
          <w:lang w:val="fr-BE" w:eastAsia="fr-FR"/>
        </w:rPr>
      </w:pPr>
    </w:p>
    <w:p w:rsidR="007B6EB5" w:rsidRPr="007B6EB5" w:rsidRDefault="007B6EB5" w:rsidP="007B6EB5">
      <w:pPr>
        <w:jc w:val="both"/>
        <w:rPr>
          <w:rFonts w:cs="Arial"/>
          <w:sz w:val="20"/>
          <w:lang w:val="fr-BE" w:eastAsia="fr-FR"/>
        </w:rPr>
      </w:pPr>
      <w:r w:rsidRPr="007B6EB5">
        <w:rPr>
          <w:rFonts w:cs="Arial"/>
          <w:sz w:val="20"/>
          <w:lang w:val="fr-BE" w:eastAsia="fr-FR"/>
        </w:rPr>
        <w:t>Il est positif que les fournisseurs de services en nuage commencent à utiliser la sécurité de l'information comme un argument de vente. En ce moment, plusieurs gros fournisseurs de services en nuage utilisent l’argument de la sécurité mais il est difficile de dire lequel offre des garanties satisfaisantes.</w:t>
      </w:r>
    </w:p>
    <w:p w:rsidR="007B6EB5" w:rsidRPr="007B6EB5" w:rsidRDefault="007B6EB5" w:rsidP="007B6EB5">
      <w:pPr>
        <w:rPr>
          <w:rFonts w:cs="Arial"/>
          <w:sz w:val="20"/>
          <w:lang w:val="fr-BE" w:eastAsia="fr-FR"/>
        </w:rPr>
      </w:pPr>
      <w:r w:rsidRPr="007B6EB5">
        <w:rPr>
          <w:rFonts w:cs="Arial"/>
          <w:sz w:val="20"/>
          <w:lang w:val="fr-BE" w:eastAsia="fr-FR"/>
        </w:rPr>
        <w:t> </w:t>
      </w:r>
    </w:p>
    <w:p w:rsidR="007B6EB5" w:rsidRPr="007B6EB5" w:rsidRDefault="007B6EB5" w:rsidP="007B6EB5">
      <w:pPr>
        <w:jc w:val="both"/>
        <w:rPr>
          <w:rFonts w:cs="Arial"/>
          <w:sz w:val="20"/>
          <w:lang w:val="fr-BE" w:eastAsia="fr-FR"/>
        </w:rPr>
      </w:pPr>
      <w:r w:rsidRPr="007B6EB5">
        <w:rPr>
          <w:rFonts w:cs="Arial"/>
          <w:sz w:val="20"/>
          <w:lang w:val="fr-BE" w:eastAsia="fr-FR"/>
        </w:rPr>
        <w:lastRenderedPageBreak/>
        <w:t>Les entreprises commerciales penseraient également proposer des services ou des produits visant la création d'un nuage privé (ou hybride), qui permet au responsable du traitement de rester propriétaire de l'infrastructure et donc aussi des données.</w:t>
      </w:r>
    </w:p>
    <w:p w:rsidR="007B6EB5" w:rsidRPr="007B6EB5" w:rsidRDefault="007B6EB5" w:rsidP="007B6EB5">
      <w:pPr>
        <w:rPr>
          <w:rFonts w:cs="Arial"/>
          <w:sz w:val="20"/>
          <w:lang w:val="fr-BE" w:eastAsia="fr-FR"/>
        </w:rPr>
      </w:pPr>
      <w:r w:rsidRPr="007B6EB5">
        <w:rPr>
          <w:rFonts w:cs="Arial"/>
          <w:sz w:val="20"/>
          <w:lang w:val="fr-BE" w:eastAsia="fr-FR"/>
        </w:rPr>
        <w:t> </w:t>
      </w:r>
    </w:p>
    <w:p w:rsidR="007B6EB5" w:rsidRPr="007B6EB5" w:rsidRDefault="007B6EB5" w:rsidP="007B6EB5">
      <w:pPr>
        <w:jc w:val="both"/>
        <w:rPr>
          <w:rFonts w:cs="Arial"/>
          <w:sz w:val="20"/>
          <w:lang w:val="fr-BE" w:eastAsia="fr-FR"/>
        </w:rPr>
      </w:pPr>
      <w:r w:rsidRPr="007B6EB5">
        <w:rPr>
          <w:rFonts w:cs="Arial"/>
          <w:sz w:val="20"/>
          <w:lang w:val="fr-BE" w:eastAsia="fr-FR"/>
        </w:rPr>
        <w:t>Les choses bougent donc un peu chez les fournisseurs commerciaux mais aussi du côté des autorités. Quelques autorités belges</w:t>
      </w:r>
      <w:r w:rsidRPr="007B6EB5">
        <w:rPr>
          <w:rFonts w:cs="Arial"/>
          <w:sz w:val="20"/>
          <w:vertAlign w:val="superscript"/>
          <w:lang w:val="fr-BE" w:eastAsia="fr-FR"/>
        </w:rPr>
        <w:footnoteReference w:id="4"/>
      </w:r>
      <w:r w:rsidRPr="007B6EB5">
        <w:rPr>
          <w:rFonts w:cs="Arial"/>
          <w:sz w:val="20"/>
          <w:lang w:val="fr-BE" w:eastAsia="fr-FR"/>
        </w:rPr>
        <w:t xml:space="preserve"> préparent la mise en place de cloud (FEDICT, LNE) ou projettent de le faire (SPF Finances).</w:t>
      </w:r>
    </w:p>
    <w:p w:rsidR="007B6EB5" w:rsidRPr="007B6EB5" w:rsidRDefault="007B6EB5" w:rsidP="007B6EB5">
      <w:pPr>
        <w:jc w:val="both"/>
        <w:rPr>
          <w:rFonts w:cs="Arial"/>
          <w:sz w:val="20"/>
          <w:lang w:val="fr-BE" w:eastAsia="fr-FR"/>
        </w:rPr>
      </w:pPr>
      <w:r w:rsidRPr="007B6EB5">
        <w:rPr>
          <w:rFonts w:cs="Arial"/>
          <w:sz w:val="20"/>
          <w:lang w:val="fr-BE" w:eastAsia="fr-FR"/>
        </w:rPr>
        <w:t> </w:t>
      </w:r>
    </w:p>
    <w:p w:rsidR="007B6EB5" w:rsidRPr="007B6EB5" w:rsidRDefault="007B6EB5" w:rsidP="007B6EB5">
      <w:pPr>
        <w:jc w:val="both"/>
        <w:rPr>
          <w:rFonts w:cs="Arial"/>
          <w:sz w:val="20"/>
          <w:lang w:val="fr-BE" w:eastAsia="fr-FR"/>
        </w:rPr>
      </w:pPr>
      <w:r w:rsidRPr="007B6EB5">
        <w:rPr>
          <w:rFonts w:cs="Arial"/>
          <w:sz w:val="20"/>
          <w:lang w:val="fr-BE" w:eastAsia="fr-FR"/>
        </w:rPr>
        <w:t>Dans le même ordre d'idée, citons le « Good Practice guide for securely deploying Governmental Clouds »</w:t>
      </w:r>
      <w:r w:rsidRPr="007B6EB5">
        <w:rPr>
          <w:rFonts w:cs="Arial"/>
          <w:sz w:val="20"/>
          <w:vertAlign w:val="superscript"/>
          <w:lang w:val="fr-BE" w:eastAsia="fr-FR"/>
        </w:rPr>
        <w:footnoteReference w:id="5"/>
      </w:r>
      <w:r w:rsidRPr="007B6EB5">
        <w:rPr>
          <w:rFonts w:cs="Arial"/>
          <w:sz w:val="20"/>
          <w:lang w:val="fr-BE" w:eastAsia="fr-FR"/>
        </w:rPr>
        <w:t xml:space="preserve"> de l'Agence européenne chargée de la sécurité des réseaux et de l'information (ENISA), qui regorge de recommandations en matière de protection de la vie privée et de sécurité de l'information.</w:t>
      </w:r>
    </w:p>
    <w:p w:rsidR="007B6EB5" w:rsidRPr="007B6EB5" w:rsidRDefault="007B6EB5" w:rsidP="007B6EB5">
      <w:pPr>
        <w:jc w:val="both"/>
        <w:rPr>
          <w:rFonts w:cs="Arial"/>
          <w:sz w:val="20"/>
          <w:lang w:val="fr-BE" w:eastAsia="fr-FR"/>
        </w:rPr>
      </w:pPr>
    </w:p>
    <w:p w:rsidR="007B6EB5" w:rsidRPr="007B6EB5" w:rsidRDefault="007B6EB5" w:rsidP="007B6EB5">
      <w:pPr>
        <w:spacing w:after="200" w:line="276" w:lineRule="auto"/>
        <w:rPr>
          <w:rFonts w:cs="Arial"/>
          <w:sz w:val="20"/>
          <w:lang w:val="fr-BE" w:eastAsia="fr-FR"/>
        </w:rPr>
      </w:pPr>
    </w:p>
    <w:p w:rsidR="007B6EB5" w:rsidRPr="007B6EB5" w:rsidRDefault="007B6EB5" w:rsidP="007B6EB5">
      <w:pPr>
        <w:spacing w:after="200" w:line="276" w:lineRule="auto"/>
        <w:rPr>
          <w:rFonts w:ascii="Calibri" w:hAnsi="Calibri"/>
          <w:color w:val="1F497D"/>
          <w:szCs w:val="22"/>
          <w:lang w:val="fr-BE" w:eastAsia="fr-BE"/>
        </w:rPr>
      </w:pPr>
      <w:r w:rsidRPr="007B6EB5">
        <w:rPr>
          <w:rFonts w:cs="Arial"/>
          <w:sz w:val="20"/>
          <w:lang w:val="fr-BE" w:eastAsia="fr-FR"/>
        </w:rPr>
        <w:t xml:space="preserve">Conclusion : </w:t>
      </w:r>
      <w:r w:rsidRPr="007B6EB5">
        <w:rPr>
          <w:rFonts w:cs="Arial"/>
          <w:color w:val="000000"/>
          <w:sz w:val="20"/>
          <w:lang w:val="fr-BE" w:eastAsia="fr-FR"/>
        </w:rPr>
        <w:t>bien que la protection et la confidentialité progressent mais considérant que Microsoft et les autres sociétés américaines ne peuvent actuellement pas s’opposer aux demandes de leur gouvernement d’obtenir accès aux données stockées dans leurs clouds, il est fortement déconseillé dans l’état actuel des choses de faire appel à leurs services de cloud. »</w:t>
      </w:r>
    </w:p>
    <w:p w:rsidR="007B6EB5" w:rsidRPr="007B6EB5" w:rsidRDefault="007B6EB5" w:rsidP="007B6EB5">
      <w:pPr>
        <w:jc w:val="both"/>
        <w:rPr>
          <w:rFonts w:cs="Arial"/>
          <w:sz w:val="20"/>
          <w:lang w:val="fr-BE" w:eastAsia="fr-FR"/>
        </w:rPr>
      </w:pPr>
      <w:r w:rsidRPr="007B6EB5">
        <w:rPr>
          <w:rFonts w:cs="Arial"/>
          <w:sz w:val="20"/>
          <w:lang w:val="fr-BE" w:eastAsia="fr-FR"/>
        </w:rPr>
        <w:t>Pour information, les principaux problèmes liés au nuage public sont :</w:t>
      </w:r>
    </w:p>
    <w:p w:rsidR="007B6EB5" w:rsidRPr="007B6EB5" w:rsidRDefault="007B6EB5" w:rsidP="007B6EB5">
      <w:pPr>
        <w:jc w:val="both"/>
        <w:rPr>
          <w:rFonts w:cs="Arial"/>
          <w:sz w:val="20"/>
          <w:lang w:val="fr-BE" w:eastAsia="fr-FR"/>
        </w:rPr>
      </w:pPr>
    </w:p>
    <w:p w:rsidR="007B6EB5" w:rsidRPr="007B6EB5" w:rsidRDefault="007B6EB5" w:rsidP="007B6EB5">
      <w:pPr>
        <w:ind w:left="284" w:hanging="284"/>
        <w:jc w:val="both"/>
        <w:rPr>
          <w:rFonts w:cs="Arial"/>
          <w:sz w:val="20"/>
          <w:lang w:val="fr-BE" w:eastAsia="fr-FR"/>
        </w:rPr>
      </w:pPr>
      <w:r w:rsidRPr="007B6EB5">
        <w:rPr>
          <w:rFonts w:cs="Arial"/>
          <w:sz w:val="20"/>
          <w:lang w:val="fr-BE" w:eastAsia="fr-FR"/>
        </w:rPr>
        <w:t>•</w:t>
      </w:r>
      <w:r w:rsidRPr="007B6EB5">
        <w:rPr>
          <w:rFonts w:cs="Arial"/>
          <w:sz w:val="20"/>
          <w:lang w:val="fr-BE" w:eastAsia="fr-FR"/>
        </w:rPr>
        <w:tab/>
        <w:t>l’utilisation des données pour créer des profils d'utilisateurs qui sont ensuite exploités à des fins de marketing propres (cf. événement récent avec une banque néerlandaise et une « belge »</w:t>
      </w:r>
      <w:r w:rsidRPr="007B6EB5">
        <w:rPr>
          <w:rFonts w:cs="Arial"/>
          <w:sz w:val="20"/>
          <w:vertAlign w:val="superscript"/>
          <w:lang w:val="fr-BE" w:eastAsia="fr-FR"/>
        </w:rPr>
        <w:footnoteReference w:id="6"/>
      </w:r>
      <w:r w:rsidRPr="007B6EB5">
        <w:rPr>
          <w:rFonts w:cs="Arial"/>
          <w:sz w:val="20"/>
          <w:lang w:val="fr-BE" w:eastAsia="fr-FR"/>
        </w:rPr>
        <w:t>) transmis à des « entreprises liées » ou vendus</w:t>
      </w:r>
      <w:r w:rsidRPr="007B6EB5">
        <w:rPr>
          <w:rFonts w:cs="Arial"/>
          <w:sz w:val="20"/>
          <w:vertAlign w:val="superscript"/>
          <w:lang w:val="fr-BE" w:eastAsia="fr-FR"/>
        </w:rPr>
        <w:footnoteReference w:id="7"/>
      </w:r>
      <w:r w:rsidRPr="007B6EB5">
        <w:rPr>
          <w:rFonts w:cs="Arial"/>
          <w:sz w:val="20"/>
          <w:lang w:val="fr-BE" w:eastAsia="fr-FR"/>
        </w:rPr>
        <w:t xml:space="preserve"> ;</w:t>
      </w:r>
    </w:p>
    <w:p w:rsidR="007B6EB5" w:rsidRPr="007B6EB5" w:rsidRDefault="007B6EB5" w:rsidP="007B6EB5">
      <w:pPr>
        <w:ind w:left="284" w:hanging="284"/>
        <w:jc w:val="both"/>
        <w:rPr>
          <w:rFonts w:cs="Arial"/>
          <w:sz w:val="20"/>
          <w:lang w:val="fr-BE" w:eastAsia="fr-FR"/>
        </w:rPr>
      </w:pPr>
      <w:r w:rsidRPr="007B6EB5">
        <w:rPr>
          <w:rFonts w:cs="Arial"/>
          <w:sz w:val="20"/>
          <w:lang w:val="fr-BE" w:eastAsia="fr-FR"/>
        </w:rPr>
        <w:t>•</w:t>
      </w:r>
      <w:r w:rsidRPr="007B6EB5">
        <w:rPr>
          <w:rFonts w:cs="Arial"/>
          <w:sz w:val="20"/>
          <w:lang w:val="fr-BE" w:eastAsia="fr-FR"/>
        </w:rPr>
        <w:tab/>
        <w:t>le piratage et l’utilisation de portes d’accès cachées (back doors) ;</w:t>
      </w:r>
    </w:p>
    <w:p w:rsidR="007B6EB5" w:rsidRPr="007B6EB5" w:rsidRDefault="007B6EB5" w:rsidP="007B6EB5">
      <w:pPr>
        <w:ind w:left="284" w:hanging="284"/>
        <w:jc w:val="both"/>
        <w:rPr>
          <w:rFonts w:cs="Arial"/>
          <w:sz w:val="20"/>
          <w:lang w:val="fr-BE" w:eastAsia="fr-FR"/>
        </w:rPr>
      </w:pPr>
      <w:r w:rsidRPr="007B6EB5">
        <w:rPr>
          <w:rFonts w:cs="Arial"/>
          <w:sz w:val="20"/>
          <w:lang w:val="fr-BE" w:eastAsia="fr-FR"/>
        </w:rPr>
        <w:t>•</w:t>
      </w:r>
      <w:r w:rsidRPr="007B6EB5">
        <w:rPr>
          <w:rFonts w:cs="Arial"/>
          <w:sz w:val="20"/>
          <w:lang w:val="fr-BE" w:eastAsia="fr-FR"/>
        </w:rPr>
        <w:tab/>
        <w:t>avec la plupart des solutions, perte totale de la maitrise des données par le responsable du traitement (gestion des accès, protection contre les pertes de données gérées, migrations de données vers un autre système souvent non prévu, reprise des données si le fournisseur cesse son activité) et manque de visibilité sur les responsabilités légales encadrant la conservation et la protection de ces données ;</w:t>
      </w:r>
    </w:p>
    <w:p w:rsidR="007B6EB5" w:rsidRPr="007B6EB5" w:rsidRDefault="007B6EB5" w:rsidP="007B6EB5">
      <w:pPr>
        <w:ind w:left="284" w:hanging="284"/>
        <w:jc w:val="both"/>
        <w:rPr>
          <w:rFonts w:cs="Arial"/>
          <w:sz w:val="20"/>
          <w:lang w:val="fr-BE" w:eastAsia="fr-FR"/>
        </w:rPr>
      </w:pPr>
      <w:r w:rsidRPr="007B6EB5">
        <w:rPr>
          <w:rFonts w:cs="Arial"/>
          <w:sz w:val="20"/>
          <w:lang w:val="fr-BE" w:eastAsia="fr-FR"/>
        </w:rPr>
        <w:t>•</w:t>
      </w:r>
      <w:r w:rsidRPr="007B6EB5">
        <w:rPr>
          <w:rFonts w:cs="Arial"/>
          <w:sz w:val="20"/>
          <w:lang w:val="fr-BE" w:eastAsia="fr-FR"/>
        </w:rPr>
        <w:tab/>
        <w:t>une mise en œuvre complexe des contrats et garanties, même si des SLA sont possible, car le préjudice est difficile à chiffrer ;</w:t>
      </w:r>
    </w:p>
    <w:p w:rsidR="007B6EB5" w:rsidRPr="007B6EB5" w:rsidRDefault="007B6EB5" w:rsidP="007B6EB5">
      <w:pPr>
        <w:numPr>
          <w:ilvl w:val="0"/>
          <w:numId w:val="3"/>
        </w:numPr>
        <w:spacing w:after="200" w:line="276" w:lineRule="auto"/>
        <w:ind w:left="284" w:hanging="284"/>
        <w:contextualSpacing/>
        <w:rPr>
          <w:rFonts w:cs="Arial"/>
          <w:sz w:val="20"/>
          <w:lang w:val="fr-BE" w:eastAsia="fr-FR"/>
        </w:rPr>
      </w:pPr>
      <w:r w:rsidRPr="007B6EB5">
        <w:rPr>
          <w:rFonts w:cs="Arial"/>
          <w:sz w:val="20"/>
          <w:lang w:val="fr-BE" w:eastAsia="fr-FR"/>
        </w:rPr>
        <w:t>•</w:t>
      </w:r>
      <w:r w:rsidRPr="007B6EB5">
        <w:rPr>
          <w:rFonts w:cs="Arial"/>
          <w:sz w:val="20"/>
          <w:lang w:val="fr-BE" w:eastAsia="fr-FR"/>
        </w:rPr>
        <w:tab/>
        <w:t>le transfert des coûts des comptes d’investissements vers les comptes d’exploitation qui rend un financement par emprunt compliqué voire impossible ;les activités d'espionnage de la NSA (en vertu ou non de la législation américaine citée ci-après) via des firmes proposant des services en nuage ;</w:t>
      </w:r>
    </w:p>
    <w:p w:rsidR="007B6EB5" w:rsidRPr="007B6EB5" w:rsidRDefault="007B6EB5" w:rsidP="007B6EB5">
      <w:pPr>
        <w:ind w:left="284" w:hanging="284"/>
        <w:rPr>
          <w:rFonts w:cs="Arial"/>
          <w:sz w:val="20"/>
          <w:lang w:val="fr-BE" w:eastAsia="fr-FR"/>
        </w:rPr>
      </w:pPr>
      <w:r w:rsidRPr="007B6EB5">
        <w:rPr>
          <w:rFonts w:cs="Arial"/>
          <w:sz w:val="20"/>
          <w:lang w:val="fr-BE" w:eastAsia="fr-FR"/>
        </w:rPr>
        <w:t>•</w:t>
      </w:r>
      <w:r w:rsidRPr="007B6EB5">
        <w:rPr>
          <w:rFonts w:cs="Arial"/>
          <w:sz w:val="20"/>
          <w:lang w:val="fr-BE" w:eastAsia="fr-FR"/>
        </w:rPr>
        <w:tab/>
        <w:t>les points d'attention dans les contrats « nuage » et, en général, dans les contrats d'externalisation, voir notamment la publication de l'ENISA</w:t>
      </w:r>
      <w:r w:rsidRPr="007B6EB5">
        <w:rPr>
          <w:rFonts w:cs="Arial"/>
          <w:sz w:val="20"/>
          <w:vertAlign w:val="superscript"/>
          <w:lang w:val="fr-BE" w:eastAsia="fr-FR"/>
        </w:rPr>
        <w:footnoteReference w:id="8"/>
      </w:r>
      <w:r w:rsidRPr="007B6EB5">
        <w:rPr>
          <w:rFonts w:cs="Arial"/>
          <w:sz w:val="20"/>
          <w:lang w:val="fr-BE" w:eastAsia="fr-FR"/>
        </w:rPr>
        <w:t xml:space="preserve"> et les directives déjà nombreuses publiées par des avocats et consultants ;</w:t>
      </w:r>
    </w:p>
    <w:p w:rsidR="007B6EB5" w:rsidRPr="007B6EB5" w:rsidRDefault="007B6EB5" w:rsidP="007B6EB5">
      <w:pPr>
        <w:ind w:left="284" w:hanging="284"/>
        <w:jc w:val="both"/>
        <w:rPr>
          <w:rFonts w:cs="Arial"/>
          <w:sz w:val="20"/>
          <w:lang w:val="fr-BE" w:eastAsia="fr-FR"/>
        </w:rPr>
      </w:pPr>
      <w:r w:rsidRPr="007B6EB5">
        <w:rPr>
          <w:rFonts w:cs="Arial"/>
          <w:sz w:val="20"/>
          <w:lang w:val="fr-BE" w:eastAsia="fr-FR"/>
        </w:rPr>
        <w:t>•</w:t>
      </w:r>
      <w:r w:rsidRPr="007B6EB5">
        <w:rPr>
          <w:rFonts w:cs="Arial"/>
          <w:sz w:val="20"/>
          <w:lang w:val="fr-BE" w:eastAsia="fr-FR"/>
        </w:rPr>
        <w:tab/>
        <w:t>un juge - même européen - peut demander des données au fournisseur de services en nuage sans que le propriétaire des données n'en soit averti (malgré les dispositions contractuelles ou une éventuelle réserve explicite)</w:t>
      </w:r>
      <w:r w:rsidRPr="007B6EB5">
        <w:rPr>
          <w:rFonts w:cs="Arial"/>
          <w:sz w:val="20"/>
          <w:vertAlign w:val="superscript"/>
          <w:lang w:val="fr-BE" w:eastAsia="fr-FR"/>
        </w:rPr>
        <w:footnoteReference w:id="9"/>
      </w:r>
    </w:p>
    <w:p w:rsidR="007B6EB5" w:rsidRPr="007B6EB5" w:rsidRDefault="007B6EB5" w:rsidP="007B6EB5">
      <w:pPr>
        <w:ind w:left="284" w:hanging="284"/>
        <w:jc w:val="both"/>
        <w:rPr>
          <w:rFonts w:cs="Arial"/>
          <w:sz w:val="20"/>
          <w:lang w:val="fr-BE" w:eastAsia="fr-FR"/>
        </w:rPr>
      </w:pPr>
      <w:r w:rsidRPr="007B6EB5">
        <w:rPr>
          <w:rFonts w:cs="Arial"/>
          <w:sz w:val="20"/>
          <w:lang w:val="fr-BE" w:eastAsia="fr-FR"/>
        </w:rPr>
        <w:lastRenderedPageBreak/>
        <w:t>•</w:t>
      </w:r>
      <w:r w:rsidRPr="007B6EB5">
        <w:rPr>
          <w:rFonts w:cs="Arial"/>
          <w:sz w:val="20"/>
          <w:lang w:val="fr-BE" w:eastAsia="fr-FR"/>
        </w:rPr>
        <w:tab/>
        <w:t>les fournisseurs américains de services en nuage : analyse à grande échelle des nuages comportant des données de citoyens européens conservées par des entreprises américaines ou ayant un lien avec l'Amérique. L'emplacement de stockage n'est pas déterminant ! La législation américaine, plus particulièrement le Patriot Act et le FISA Amendments Act, l'autorisent, il ne doit même pas être question de terrorisme ni de grande criminalité</w:t>
      </w:r>
      <w:r w:rsidRPr="007B6EB5">
        <w:rPr>
          <w:rFonts w:cs="Arial"/>
          <w:sz w:val="20"/>
          <w:vertAlign w:val="superscript"/>
          <w:lang w:val="fr-BE" w:eastAsia="fr-FR"/>
        </w:rPr>
        <w:footnoteReference w:id="10"/>
      </w:r>
      <w:r w:rsidRPr="007B6EB5">
        <w:rPr>
          <w:rFonts w:cs="Arial"/>
          <w:sz w:val="20"/>
          <w:lang w:val="fr-BE" w:eastAsia="fr-FR"/>
        </w:rPr>
        <w:t>.</w:t>
      </w:r>
    </w:p>
    <w:p w:rsidR="007B6EB5" w:rsidRPr="007B6EB5" w:rsidRDefault="007B6EB5" w:rsidP="007B6EB5">
      <w:pPr>
        <w:spacing w:after="200" w:line="276" w:lineRule="auto"/>
        <w:rPr>
          <w:rFonts w:ascii="Calibri" w:hAnsi="Calibri"/>
          <w:szCs w:val="22"/>
          <w:lang w:val="fr-BE" w:eastAsia="fr-BE"/>
        </w:rPr>
      </w:pPr>
    </w:p>
    <w:p w:rsidR="00FC6579" w:rsidRPr="007B6EB5" w:rsidRDefault="00FC6579" w:rsidP="007B6EB5">
      <w:pPr>
        <w:pStyle w:val="Letter"/>
        <w:ind w:right="-142"/>
        <w:rPr>
          <w:sz w:val="20"/>
          <w:lang w:val="fr-BE"/>
        </w:rPr>
      </w:pPr>
    </w:p>
    <w:sectPr w:rsidR="00FC6579" w:rsidRPr="007B6EB5">
      <w:headerReference w:type="default" r:id="rId15"/>
      <w:type w:val="continuous"/>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5A1" w:rsidRDefault="008D25A1">
      <w:r>
        <w:separator/>
      </w:r>
    </w:p>
  </w:endnote>
  <w:endnote w:type="continuationSeparator" w:id="0">
    <w:p w:rsidR="008D25A1" w:rsidRDefault="008D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5A1" w:rsidRDefault="008D25A1">
      <w:r>
        <w:separator/>
      </w:r>
    </w:p>
  </w:footnote>
  <w:footnote w:type="continuationSeparator" w:id="0">
    <w:p w:rsidR="008D25A1" w:rsidRDefault="008D25A1">
      <w:r>
        <w:continuationSeparator/>
      </w:r>
    </w:p>
  </w:footnote>
  <w:footnote w:id="1">
    <w:p w:rsidR="007B6EB5" w:rsidRPr="004D043D" w:rsidRDefault="007B6EB5" w:rsidP="007B6EB5">
      <w:pPr>
        <w:autoSpaceDE w:val="0"/>
        <w:autoSpaceDN w:val="0"/>
        <w:adjustRightInd w:val="0"/>
        <w:ind w:left="284" w:hanging="284"/>
        <w:rPr>
          <w:rFonts w:ascii="Tahoma" w:hAnsi="Tahoma" w:cs="Tahoma"/>
          <w:sz w:val="16"/>
          <w:szCs w:val="16"/>
        </w:rPr>
      </w:pPr>
      <w:r w:rsidRPr="004D043D">
        <w:rPr>
          <w:rStyle w:val="FootnoteReference"/>
          <w:rFonts w:ascii="Tahoma" w:hAnsi="Tahoma" w:cs="Tahoma"/>
        </w:rPr>
        <w:footnoteRef/>
      </w:r>
      <w:r w:rsidRPr="004D043D">
        <w:rPr>
          <w:rFonts w:ascii="Tahoma" w:hAnsi="Tahoma" w:cs="Tahoma"/>
          <w:sz w:val="16"/>
          <w:szCs w:val="16"/>
        </w:rPr>
        <w:t xml:space="preserve"> </w:t>
      </w:r>
      <w:r>
        <w:rPr>
          <w:rFonts w:ascii="Tahoma" w:hAnsi="Tahoma" w:cs="Tahoma"/>
          <w:sz w:val="16"/>
          <w:szCs w:val="16"/>
        </w:rPr>
        <w:tab/>
        <w:t xml:space="preserve">Art. 16, </w:t>
      </w:r>
      <w:r w:rsidRPr="004D043D">
        <w:rPr>
          <w:rFonts w:ascii="Tahoma" w:hAnsi="Tahoma" w:cs="Tahoma"/>
          <w:sz w:val="16"/>
          <w:szCs w:val="16"/>
        </w:rPr>
        <w:t>§ 4. Afin de garantir la sécurité des données à caractère personnel, le responsable du traitement et,</w:t>
      </w:r>
      <w:r>
        <w:rPr>
          <w:rFonts w:ascii="Tahoma" w:hAnsi="Tahoma" w:cs="Tahoma"/>
          <w:sz w:val="16"/>
          <w:szCs w:val="16"/>
        </w:rPr>
        <w:t xml:space="preserve"> </w:t>
      </w:r>
      <w:r w:rsidRPr="004D043D">
        <w:rPr>
          <w:rFonts w:ascii="Tahoma" w:hAnsi="Tahoma" w:cs="Tahoma"/>
          <w:sz w:val="16"/>
          <w:szCs w:val="16"/>
        </w:rPr>
        <w:t>le cas échéant, son représentant en Belgique, ainsi que le sous-traitant doivent prendre les mesures</w:t>
      </w:r>
      <w:r>
        <w:rPr>
          <w:rFonts w:ascii="Tahoma" w:hAnsi="Tahoma" w:cs="Tahoma"/>
          <w:sz w:val="16"/>
          <w:szCs w:val="16"/>
        </w:rPr>
        <w:t xml:space="preserve"> </w:t>
      </w:r>
      <w:r w:rsidRPr="004D043D">
        <w:rPr>
          <w:rFonts w:ascii="Tahoma" w:hAnsi="Tahoma" w:cs="Tahoma"/>
          <w:sz w:val="16"/>
          <w:szCs w:val="16"/>
        </w:rPr>
        <w:t>techniques et organisationnelles requises pour protéger les données à caractère personnel contre la</w:t>
      </w:r>
      <w:r>
        <w:rPr>
          <w:rFonts w:ascii="Tahoma" w:hAnsi="Tahoma" w:cs="Tahoma"/>
          <w:sz w:val="16"/>
          <w:szCs w:val="16"/>
        </w:rPr>
        <w:t xml:space="preserve"> </w:t>
      </w:r>
      <w:r w:rsidRPr="004D043D">
        <w:rPr>
          <w:rFonts w:ascii="Tahoma" w:hAnsi="Tahoma" w:cs="Tahoma"/>
          <w:sz w:val="16"/>
          <w:szCs w:val="16"/>
        </w:rPr>
        <w:t>destruction accidentelle ou non autorisée, contre la perte accidentelle ainsi que contre la modification,</w:t>
      </w:r>
      <w:r>
        <w:rPr>
          <w:rFonts w:ascii="Tahoma" w:hAnsi="Tahoma" w:cs="Tahoma"/>
          <w:sz w:val="16"/>
          <w:szCs w:val="16"/>
        </w:rPr>
        <w:t xml:space="preserve"> </w:t>
      </w:r>
      <w:r w:rsidRPr="004D043D">
        <w:rPr>
          <w:rFonts w:ascii="Tahoma" w:hAnsi="Tahoma" w:cs="Tahoma"/>
          <w:sz w:val="16"/>
          <w:szCs w:val="16"/>
        </w:rPr>
        <w:t>l'accès et tout autre traitement non autorisé de données à caractère personnel.</w:t>
      </w:r>
    </w:p>
    <w:p w:rsidR="007B6EB5" w:rsidRPr="004D043D" w:rsidRDefault="007B6EB5" w:rsidP="007B6EB5">
      <w:pPr>
        <w:pStyle w:val="FootnoteText"/>
        <w:ind w:left="284"/>
        <w:rPr>
          <w:rFonts w:ascii="Tahoma" w:hAnsi="Tahoma" w:cs="Tahoma"/>
          <w:sz w:val="16"/>
          <w:szCs w:val="16"/>
        </w:rPr>
      </w:pPr>
      <w:hyperlink r:id="rId1" w:history="1">
        <w:r w:rsidRPr="00143FB8">
          <w:rPr>
            <w:rStyle w:val="Hyperlink"/>
            <w:rFonts w:ascii="Tahoma" w:hAnsi="Tahoma" w:cs="Tahoma"/>
            <w:sz w:val="16"/>
            <w:szCs w:val="16"/>
          </w:rPr>
          <w:t>http://www.privacycommission.be/fr/node/3790</w:t>
        </w:r>
      </w:hyperlink>
    </w:p>
  </w:footnote>
  <w:footnote w:id="2">
    <w:p w:rsidR="007B6EB5" w:rsidRPr="004D043D" w:rsidRDefault="007B6EB5" w:rsidP="007B6EB5">
      <w:pPr>
        <w:pStyle w:val="FootnoteText"/>
        <w:ind w:left="284" w:hanging="284"/>
        <w:rPr>
          <w:rFonts w:ascii="Tahoma" w:hAnsi="Tahoma" w:cs="Tahoma"/>
          <w:sz w:val="16"/>
          <w:szCs w:val="16"/>
        </w:rPr>
      </w:pPr>
      <w:r w:rsidRPr="004D043D">
        <w:rPr>
          <w:rStyle w:val="FootnoteReference"/>
          <w:rFonts w:ascii="Tahoma" w:hAnsi="Tahoma" w:cs="Tahoma"/>
        </w:rPr>
        <w:footnoteRef/>
      </w:r>
      <w:r w:rsidRPr="004D043D">
        <w:rPr>
          <w:rFonts w:ascii="Tahoma" w:hAnsi="Tahoma" w:cs="Tahoma"/>
          <w:sz w:val="16"/>
          <w:szCs w:val="16"/>
        </w:rPr>
        <w:t xml:space="preserve"> </w:t>
      </w:r>
      <w:r>
        <w:rPr>
          <w:rFonts w:ascii="Tahoma" w:hAnsi="Tahoma" w:cs="Tahoma"/>
          <w:sz w:val="16"/>
          <w:szCs w:val="16"/>
        </w:rPr>
        <w:tab/>
        <w:t xml:space="preserve">Art. 17, </w:t>
      </w:r>
      <w:r w:rsidRPr="004D043D">
        <w:rPr>
          <w:rFonts w:ascii="Tahoma" w:hAnsi="Tahoma" w:cs="Tahoma"/>
          <w:sz w:val="16"/>
          <w:szCs w:val="16"/>
        </w:rPr>
        <w:t>2. Les États membres prévoient que le responsable du traitement, lorsque le traitement est effectué pour son compte, doit choisir un sous-traitant qui apporte des garanties suffisantes au regard des mesures de sécurité technique et d'organisation relatives aux traitements à effectuer et qu'il doit veiller au respect de ces mesures.</w:t>
      </w:r>
    </w:p>
    <w:p w:rsidR="007B6EB5" w:rsidRPr="004D043D" w:rsidRDefault="007B6EB5" w:rsidP="007B6EB5">
      <w:pPr>
        <w:pStyle w:val="FootnoteText"/>
        <w:ind w:left="284"/>
        <w:rPr>
          <w:rFonts w:ascii="Tahoma" w:hAnsi="Tahoma" w:cs="Tahoma"/>
          <w:sz w:val="16"/>
          <w:szCs w:val="16"/>
        </w:rPr>
      </w:pPr>
      <w:r w:rsidRPr="004D043D">
        <w:rPr>
          <w:rFonts w:ascii="Tahoma" w:hAnsi="Tahoma" w:cs="Tahoma"/>
          <w:sz w:val="16"/>
          <w:szCs w:val="16"/>
        </w:rPr>
        <w:t>http://eur-lex.europa.eu/legal-content/FR/TXT/?uri=CELEX:31995L0046</w:t>
      </w:r>
    </w:p>
  </w:footnote>
  <w:footnote w:id="3">
    <w:p w:rsidR="007B6EB5" w:rsidRPr="00455A09" w:rsidRDefault="007B6EB5" w:rsidP="007B6EB5">
      <w:pPr>
        <w:pStyle w:val="FootnoteText"/>
        <w:ind w:left="284" w:hanging="284"/>
        <w:rPr>
          <w:rFonts w:ascii="Tahoma" w:hAnsi="Tahoma" w:cs="Tahoma"/>
          <w:sz w:val="16"/>
          <w:szCs w:val="16"/>
        </w:rPr>
      </w:pPr>
      <w:r w:rsidRPr="00455A09">
        <w:rPr>
          <w:rStyle w:val="FootnoteReference"/>
          <w:rFonts w:ascii="Tahoma" w:hAnsi="Tahoma" w:cs="Tahoma"/>
        </w:rPr>
        <w:footnoteRef/>
      </w:r>
      <w:r w:rsidRPr="00455A09">
        <w:rPr>
          <w:rFonts w:ascii="Tahoma" w:hAnsi="Tahoma" w:cs="Tahoma"/>
          <w:sz w:val="16"/>
          <w:szCs w:val="16"/>
        </w:rPr>
        <w:t xml:space="preserve"> </w:t>
      </w:r>
      <w:r>
        <w:rPr>
          <w:rFonts w:ascii="Tahoma" w:hAnsi="Tahoma" w:cs="Tahoma"/>
          <w:sz w:val="16"/>
          <w:szCs w:val="16"/>
        </w:rPr>
        <w:tab/>
      </w:r>
      <w:hyperlink r:id="rId2" w:history="1">
        <w:r w:rsidRPr="00143FB8">
          <w:rPr>
            <w:rStyle w:val="Hyperlink"/>
            <w:rFonts w:ascii="Tahoma" w:hAnsi="Tahoma" w:cs="Tahoma"/>
            <w:sz w:val="16"/>
            <w:szCs w:val="16"/>
          </w:rPr>
          <w:t>https://www.bcss.fgov.be/binaries/documentation/fr/securite/policies/isms_050_cloud_computing_policy_fr.pdf</w:t>
        </w:r>
      </w:hyperlink>
    </w:p>
  </w:footnote>
  <w:footnote w:id="4">
    <w:p w:rsidR="007B6EB5" w:rsidRPr="00C244FA" w:rsidRDefault="007B6EB5" w:rsidP="007B6EB5">
      <w:pPr>
        <w:pStyle w:val="FootnoteText"/>
        <w:ind w:left="284" w:hanging="284"/>
        <w:rPr>
          <w:rFonts w:ascii="Tahoma" w:hAnsi="Tahoma" w:cs="Tahoma"/>
          <w:sz w:val="16"/>
          <w:szCs w:val="16"/>
        </w:rPr>
      </w:pPr>
      <w:r>
        <w:rPr>
          <w:rStyle w:val="FootnoteReference"/>
        </w:rPr>
        <w:footnoteRef/>
      </w:r>
      <w:r>
        <w:t xml:space="preserve"> </w:t>
      </w:r>
      <w:r>
        <w:tab/>
      </w:r>
      <w:r w:rsidRPr="00C244FA">
        <w:rPr>
          <w:rFonts w:ascii="Tahoma" w:hAnsi="Tahoma" w:cs="Tahoma"/>
          <w:sz w:val="16"/>
          <w:szCs w:val="16"/>
        </w:rPr>
        <w:t xml:space="preserve">Voir le rapport d’activités 2013 de la Smals : p. 19 concernant le Community Cloud et p. 52 concernant l’Infrastructure Cloud : </w:t>
      </w:r>
      <w:hyperlink r:id="rId3" w:history="1">
        <w:r w:rsidRPr="00C244FA">
          <w:rPr>
            <w:rStyle w:val="Hyperlink"/>
            <w:rFonts w:ascii="Tahoma" w:hAnsi="Tahoma" w:cs="Tahoma"/>
            <w:sz w:val="16"/>
            <w:szCs w:val="16"/>
          </w:rPr>
          <w:t>https://www.smals.be/sites/default/files/assets/rapportsmalsfrweb11-06-2014.pdf</w:t>
        </w:r>
      </w:hyperlink>
      <w:r w:rsidRPr="00C244FA">
        <w:rPr>
          <w:rFonts w:ascii="Tahoma" w:hAnsi="Tahoma" w:cs="Tahoma"/>
          <w:sz w:val="16"/>
          <w:szCs w:val="16"/>
        </w:rPr>
        <w:t xml:space="preserve">. </w:t>
      </w:r>
    </w:p>
    <w:p w:rsidR="007B6EB5" w:rsidRPr="00C244FA" w:rsidRDefault="007B6EB5" w:rsidP="007B6EB5">
      <w:pPr>
        <w:pStyle w:val="FootnoteText"/>
        <w:ind w:left="284" w:hanging="284"/>
        <w:rPr>
          <w:rFonts w:ascii="Tahoma" w:hAnsi="Tahoma" w:cs="Tahoma"/>
          <w:sz w:val="16"/>
          <w:szCs w:val="16"/>
        </w:rPr>
      </w:pPr>
      <w:r w:rsidRPr="00C244FA">
        <w:rPr>
          <w:rFonts w:ascii="Tahoma" w:hAnsi="Tahoma" w:cs="Tahoma"/>
          <w:sz w:val="16"/>
          <w:szCs w:val="16"/>
        </w:rPr>
        <w:tab/>
        <w:t xml:space="preserve">Voir sur le site de Datanews, l’actualité du 03/04/2014 concernant le projet « Government Cloud » ou « G-Cloud » de Fedict : </w:t>
      </w:r>
      <w:hyperlink r:id="rId4" w:history="1">
        <w:r w:rsidRPr="00C244FA">
          <w:rPr>
            <w:rStyle w:val="Hyperlink"/>
            <w:rFonts w:ascii="Tahoma" w:hAnsi="Tahoma" w:cs="Tahoma"/>
            <w:sz w:val="16"/>
            <w:szCs w:val="16"/>
          </w:rPr>
          <w:t>http://datanews.levif.be/ict/actualite/le-nuage-public-sera-en-fin-de-compte-developpe-en-interne/article-4000580731852.htm</w:t>
        </w:r>
      </w:hyperlink>
      <w:r w:rsidRPr="00C244FA">
        <w:rPr>
          <w:rFonts w:ascii="Tahoma" w:hAnsi="Tahoma" w:cs="Tahoma"/>
          <w:sz w:val="16"/>
          <w:szCs w:val="16"/>
        </w:rPr>
        <w:t>.</w:t>
      </w:r>
    </w:p>
  </w:footnote>
  <w:footnote w:id="5">
    <w:p w:rsidR="007B6EB5" w:rsidRPr="00455A09" w:rsidRDefault="007B6EB5" w:rsidP="007B6EB5">
      <w:pPr>
        <w:pStyle w:val="FootnoteText"/>
        <w:ind w:left="284" w:hanging="284"/>
        <w:rPr>
          <w:rFonts w:ascii="Tahoma" w:hAnsi="Tahoma" w:cs="Tahoma"/>
          <w:sz w:val="16"/>
          <w:szCs w:val="16"/>
        </w:rPr>
      </w:pPr>
      <w:r w:rsidRPr="00455A09">
        <w:rPr>
          <w:rStyle w:val="FootnoteReference"/>
          <w:rFonts w:ascii="Tahoma" w:hAnsi="Tahoma" w:cs="Tahoma"/>
        </w:rPr>
        <w:footnoteRef/>
      </w:r>
      <w:r w:rsidRPr="00455A09">
        <w:rPr>
          <w:rFonts w:ascii="Tahoma" w:hAnsi="Tahoma" w:cs="Tahoma"/>
          <w:sz w:val="16"/>
          <w:szCs w:val="16"/>
        </w:rPr>
        <w:t xml:space="preserve"> </w:t>
      </w:r>
      <w:r>
        <w:rPr>
          <w:rFonts w:ascii="Tahoma" w:hAnsi="Tahoma" w:cs="Tahoma"/>
          <w:sz w:val="16"/>
          <w:szCs w:val="16"/>
        </w:rPr>
        <w:tab/>
      </w:r>
      <w:hyperlink r:id="rId5" w:history="1">
        <w:r w:rsidRPr="00143FB8">
          <w:rPr>
            <w:rStyle w:val="Hyperlink"/>
            <w:rFonts w:ascii="Tahoma" w:hAnsi="Tahoma" w:cs="Tahoma"/>
            <w:sz w:val="16"/>
            <w:szCs w:val="16"/>
          </w:rPr>
          <w:t>http://www.enisa.europa.eu/activities/risk-management/emerging-and-future-risk/deliverables/security-and-resilience-in-governmental-clouds</w:t>
        </w:r>
      </w:hyperlink>
    </w:p>
  </w:footnote>
  <w:footnote w:id="6">
    <w:p w:rsidR="007B6EB5" w:rsidRPr="00455A09" w:rsidRDefault="007B6EB5" w:rsidP="007B6EB5">
      <w:pPr>
        <w:pStyle w:val="FootnoteText"/>
        <w:ind w:left="284" w:hanging="284"/>
        <w:rPr>
          <w:rFonts w:ascii="Tahoma" w:hAnsi="Tahoma" w:cs="Tahoma"/>
          <w:sz w:val="16"/>
          <w:szCs w:val="16"/>
        </w:rPr>
      </w:pPr>
      <w:r w:rsidRPr="00455A09">
        <w:rPr>
          <w:rStyle w:val="FootnoteReference"/>
          <w:rFonts w:ascii="Tahoma" w:hAnsi="Tahoma" w:cs="Tahoma"/>
        </w:rPr>
        <w:footnoteRef/>
      </w:r>
      <w:r w:rsidRPr="00455A09">
        <w:rPr>
          <w:rFonts w:ascii="Tahoma" w:hAnsi="Tahoma" w:cs="Tahoma"/>
          <w:sz w:val="16"/>
          <w:szCs w:val="16"/>
        </w:rPr>
        <w:t xml:space="preserve"> </w:t>
      </w:r>
      <w:r>
        <w:rPr>
          <w:rFonts w:ascii="Tahoma" w:hAnsi="Tahoma" w:cs="Tahoma"/>
          <w:sz w:val="16"/>
          <w:szCs w:val="16"/>
        </w:rPr>
        <w:tab/>
      </w:r>
      <w:hyperlink r:id="rId6" w:history="1">
        <w:r w:rsidRPr="00143FB8">
          <w:rPr>
            <w:rStyle w:val="Hyperlink"/>
            <w:rFonts w:ascii="Tahoma" w:hAnsi="Tahoma" w:cs="Tahoma"/>
            <w:sz w:val="16"/>
            <w:szCs w:val="16"/>
          </w:rPr>
          <w:t>http://www.lecho.be/actualite/entreprises_finance/Qui_achete_quoi_ING_va_devoiler_les_donnees_clients.9476021-3028.art?ckc=1</w:t>
        </w:r>
      </w:hyperlink>
    </w:p>
  </w:footnote>
  <w:footnote w:id="7">
    <w:p w:rsidR="007B6EB5" w:rsidRDefault="007B6EB5" w:rsidP="007B6EB5">
      <w:pPr>
        <w:pStyle w:val="FootnoteText"/>
        <w:ind w:left="284" w:hanging="284"/>
      </w:pPr>
      <w:r>
        <w:rPr>
          <w:rStyle w:val="FootnoteReference"/>
        </w:rPr>
        <w:footnoteRef/>
      </w:r>
      <w:r>
        <w:t xml:space="preserve"> </w:t>
      </w:r>
      <w:r>
        <w:tab/>
      </w:r>
      <w:hyperlink r:id="rId7" w:history="1">
        <w:r w:rsidRPr="00143FB8">
          <w:rPr>
            <w:rStyle w:val="Hyperlink"/>
            <w:rFonts w:ascii="Tahoma" w:hAnsi="Tahoma" w:cs="Tahoma"/>
            <w:sz w:val="16"/>
            <w:szCs w:val="16"/>
          </w:rPr>
          <w:t>http://www.lemonde.fr/technologies/article/2014/03/19/google-critique-pour-avoir-scanne-les-mails-de-millions-d-etudiants_4385358_651865.html</w:t>
        </w:r>
      </w:hyperlink>
    </w:p>
  </w:footnote>
  <w:footnote w:id="8">
    <w:p w:rsidR="007B6EB5" w:rsidRPr="00C244FA" w:rsidRDefault="007B6EB5" w:rsidP="007B6EB5">
      <w:pPr>
        <w:pStyle w:val="FootnoteText"/>
        <w:ind w:left="284" w:hanging="284"/>
        <w:rPr>
          <w:rFonts w:ascii="Tahoma" w:hAnsi="Tahoma" w:cs="Tahoma"/>
          <w:sz w:val="16"/>
          <w:szCs w:val="16"/>
        </w:rPr>
      </w:pPr>
      <w:r w:rsidRPr="00C244FA">
        <w:rPr>
          <w:rStyle w:val="FootnoteReference"/>
          <w:rFonts w:ascii="Tahoma" w:hAnsi="Tahoma" w:cs="Tahoma"/>
        </w:rPr>
        <w:footnoteRef/>
      </w:r>
      <w:r w:rsidRPr="00C244FA">
        <w:rPr>
          <w:rFonts w:ascii="Tahoma" w:hAnsi="Tahoma" w:cs="Tahoma"/>
          <w:sz w:val="16"/>
          <w:szCs w:val="16"/>
        </w:rPr>
        <w:t xml:space="preserve"> </w:t>
      </w:r>
      <w:r w:rsidRPr="00635185">
        <w:rPr>
          <w:rFonts w:ascii="Tahoma" w:hAnsi="Tahoma" w:cs="Tahoma"/>
          <w:sz w:val="16"/>
          <w:szCs w:val="16"/>
        </w:rPr>
        <w:tab/>
      </w:r>
      <w:hyperlink r:id="rId8" w:history="1">
        <w:r w:rsidRPr="00C244FA">
          <w:rPr>
            <w:rStyle w:val="Hyperlink"/>
            <w:sz w:val="16"/>
            <w:szCs w:val="16"/>
          </w:rPr>
          <w:t>http://www.enisa.europa.eu/activities/risk-management/files/deliverables/cloud-computing-risk-assessment</w:t>
        </w:r>
      </w:hyperlink>
    </w:p>
  </w:footnote>
  <w:footnote w:id="9">
    <w:p w:rsidR="007B6EB5" w:rsidRPr="00C244FA" w:rsidRDefault="007B6EB5" w:rsidP="007B6EB5">
      <w:pPr>
        <w:pStyle w:val="FootnoteText"/>
        <w:ind w:left="284" w:hanging="284"/>
        <w:rPr>
          <w:rFonts w:ascii="Tahoma" w:hAnsi="Tahoma" w:cs="Tahoma"/>
          <w:sz w:val="16"/>
          <w:szCs w:val="16"/>
        </w:rPr>
      </w:pPr>
      <w:r w:rsidRPr="00C244FA">
        <w:rPr>
          <w:rStyle w:val="FootnoteReference"/>
          <w:rFonts w:ascii="Tahoma" w:hAnsi="Tahoma" w:cs="Tahoma"/>
        </w:rPr>
        <w:footnoteRef/>
      </w:r>
      <w:r w:rsidRPr="00C244FA">
        <w:rPr>
          <w:rFonts w:ascii="Tahoma" w:hAnsi="Tahoma" w:cs="Tahoma"/>
          <w:sz w:val="16"/>
          <w:szCs w:val="16"/>
        </w:rPr>
        <w:t xml:space="preserve"> </w:t>
      </w:r>
      <w:r w:rsidRPr="00635185">
        <w:rPr>
          <w:rFonts w:ascii="Tahoma" w:hAnsi="Tahoma" w:cs="Tahoma"/>
          <w:sz w:val="16"/>
          <w:szCs w:val="16"/>
        </w:rPr>
        <w:tab/>
      </w:r>
      <w:r>
        <w:rPr>
          <w:rFonts w:ascii="Tahoma" w:hAnsi="Tahoma" w:cs="Tahoma"/>
          <w:sz w:val="16"/>
          <w:szCs w:val="16"/>
        </w:rPr>
        <w:t xml:space="preserve">Pour le cas d’un juge américain : </w:t>
      </w:r>
      <w:hyperlink r:id="rId9" w:history="1">
        <w:r w:rsidRPr="00143FB8">
          <w:rPr>
            <w:rStyle w:val="Hyperlink"/>
            <w:rFonts w:ascii="Tahoma" w:hAnsi="Tahoma" w:cs="Tahoma"/>
            <w:sz w:val="16"/>
            <w:szCs w:val="16"/>
          </w:rPr>
          <w:t>http://www.reuters.com/article/2014/04/25/us-usa-tech-warrants-idUSBREA3O24P20140425</w:t>
        </w:r>
      </w:hyperlink>
    </w:p>
  </w:footnote>
  <w:footnote w:id="10">
    <w:p w:rsidR="007B6EB5" w:rsidRPr="00C244FA" w:rsidRDefault="007B6EB5" w:rsidP="007B6EB5">
      <w:pPr>
        <w:pStyle w:val="FootnoteText"/>
        <w:ind w:left="284" w:hanging="284"/>
        <w:rPr>
          <w:rFonts w:ascii="Tahoma" w:hAnsi="Tahoma" w:cs="Tahoma"/>
          <w:sz w:val="16"/>
          <w:szCs w:val="16"/>
        </w:rPr>
      </w:pPr>
      <w:r w:rsidRPr="00C244FA">
        <w:rPr>
          <w:rStyle w:val="FootnoteReference"/>
          <w:rFonts w:ascii="Tahoma" w:hAnsi="Tahoma" w:cs="Tahoma"/>
        </w:rPr>
        <w:footnoteRef/>
      </w:r>
      <w:r w:rsidRPr="00C244FA">
        <w:rPr>
          <w:rFonts w:ascii="Tahoma" w:hAnsi="Tahoma" w:cs="Tahoma"/>
          <w:sz w:val="16"/>
          <w:szCs w:val="16"/>
        </w:rPr>
        <w:t xml:space="preserve"> </w:t>
      </w:r>
      <w:r w:rsidRPr="00635185">
        <w:rPr>
          <w:rFonts w:ascii="Tahoma" w:hAnsi="Tahoma" w:cs="Tahoma"/>
          <w:sz w:val="16"/>
          <w:szCs w:val="16"/>
        </w:rPr>
        <w:tab/>
      </w:r>
      <w:hyperlink r:id="rId10" w:history="1">
        <w:r w:rsidRPr="00C244FA">
          <w:rPr>
            <w:rStyle w:val="Hyperlink"/>
            <w:rFonts w:ascii="Tahoma" w:hAnsi="Tahoma" w:cs="Tahoma"/>
            <w:sz w:val="16"/>
            <w:szCs w:val="16"/>
          </w:rPr>
          <w:t>http://business.lesechos.fr/directions-numeriques/0203680050698-le-cloud-europeen-de-microsoft-reste-sous-loi-americaine-102117.php</w:t>
        </w:r>
      </w:hyperlink>
    </w:p>
    <w:p w:rsidR="007B6EB5" w:rsidRPr="00C244FA" w:rsidRDefault="007B6EB5" w:rsidP="007B6EB5">
      <w:pPr>
        <w:pStyle w:val="FootnoteText"/>
        <w:ind w:left="284"/>
        <w:rPr>
          <w:rFonts w:ascii="Tahoma" w:hAnsi="Tahoma" w:cs="Tahoma"/>
          <w:sz w:val="18"/>
          <w:szCs w:val="18"/>
        </w:rPr>
      </w:pPr>
      <w:hyperlink r:id="rId11" w:history="1">
        <w:r w:rsidRPr="00C244FA">
          <w:rPr>
            <w:rStyle w:val="Hyperlink"/>
            <w:rFonts w:ascii="Tahoma" w:hAnsi="Tahoma" w:cs="Tahoma"/>
            <w:sz w:val="16"/>
            <w:szCs w:val="16"/>
          </w:rPr>
          <w:t>http://www.01net.com/editorial/584637/comment-les-etats-unis-legitiment-la-cybersurveillance-mondiale/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79" w:rsidRDefault="00FC6579">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802AED">
      <w:rPr>
        <w:noProof/>
        <w:sz w:val="14"/>
      </w:rPr>
      <w:t>3</w:t>
    </w:r>
    <w:r>
      <w:rPr>
        <w:sz w:val="14"/>
      </w:rPr>
      <w:fldChar w:fldCharType="end"/>
    </w:r>
    <w:r>
      <w:rPr>
        <w:sz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0" w:legacyIndent="708"/>
      <w:lvlJc w:val="left"/>
      <w:pPr>
        <w:ind w:left="720" w:hanging="708"/>
      </w:pPr>
    </w:lvl>
    <w:lvl w:ilvl="1">
      <w:start w:val="1"/>
      <w:numFmt w:val="decimal"/>
      <w:pStyle w:val="Heading2"/>
      <w:lvlText w:val="%1.%2."/>
      <w:legacy w:legacy="1" w:legacySpace="0" w:legacyIndent="708"/>
      <w:lvlJc w:val="left"/>
      <w:pPr>
        <w:ind w:left="1296" w:hanging="708"/>
      </w:pPr>
    </w:lvl>
    <w:lvl w:ilvl="2">
      <w:start w:val="1"/>
      <w:numFmt w:val="decimal"/>
      <w:pStyle w:val="Heading3"/>
      <w:lvlText w:val="%1.%2.%3."/>
      <w:legacy w:legacy="1" w:legacySpace="0" w:legacyIndent="708"/>
      <w:lvlJc w:val="left"/>
      <w:pPr>
        <w:ind w:left="1872" w:hanging="708"/>
      </w:pPr>
    </w:lvl>
    <w:lvl w:ilvl="3">
      <w:start w:val="1"/>
      <w:numFmt w:val="decimal"/>
      <w:pStyle w:val="Heading4"/>
      <w:lvlText w:val="%1.%2.%3.%4."/>
      <w:legacy w:legacy="1" w:legacySpace="0" w:legacyIndent="708"/>
      <w:lvlJc w:val="left"/>
      <w:pPr>
        <w:ind w:left="2448" w:hanging="708"/>
      </w:pPr>
    </w:lvl>
    <w:lvl w:ilvl="4">
      <w:start w:val="1"/>
      <w:numFmt w:val="decimal"/>
      <w:pStyle w:val="Heading5"/>
      <w:lvlText w:val="%1.%2.%3.%4.%5."/>
      <w:legacy w:legacy="1" w:legacySpace="0" w:legacyIndent="708"/>
      <w:lvlJc w:val="left"/>
      <w:pPr>
        <w:ind w:left="3024" w:hanging="708"/>
      </w:pPr>
    </w:lvl>
    <w:lvl w:ilvl="5">
      <w:start w:val="1"/>
      <w:numFmt w:val="decimal"/>
      <w:pStyle w:val="Heading6"/>
      <w:lvlText w:val="%1.%2.%3.%4.%5.%6."/>
      <w:legacy w:legacy="1" w:legacySpace="0" w:legacyIndent="708"/>
      <w:lvlJc w:val="left"/>
      <w:pPr>
        <w:ind w:left="3600" w:hanging="708"/>
      </w:pPr>
    </w:lvl>
    <w:lvl w:ilvl="6">
      <w:start w:val="1"/>
      <w:numFmt w:val="decimal"/>
      <w:pStyle w:val="Heading7"/>
      <w:lvlText w:val="%1.%2.%3.%4.%5.%6.%7."/>
      <w:legacy w:legacy="1" w:legacySpace="0" w:legacyIndent="708"/>
      <w:lvlJc w:val="left"/>
      <w:pPr>
        <w:ind w:left="4176" w:hanging="708"/>
      </w:pPr>
    </w:lvl>
    <w:lvl w:ilvl="7">
      <w:start w:val="1"/>
      <w:numFmt w:val="decimal"/>
      <w:pStyle w:val="Heading8"/>
      <w:lvlText w:val="%1.%2.%3.%4.%5.%6.%7.%8."/>
      <w:legacy w:legacy="1" w:legacySpace="0" w:legacyIndent="708"/>
      <w:lvlJc w:val="left"/>
      <w:pPr>
        <w:ind w:left="4752" w:hanging="708"/>
      </w:pPr>
    </w:lvl>
    <w:lvl w:ilvl="8">
      <w:start w:val="1"/>
      <w:numFmt w:val="decimal"/>
      <w:pStyle w:val="Heading9"/>
      <w:lvlText w:val="%1.%2.%3.%4.%5.%6.%7.%8.%9."/>
      <w:legacy w:legacy="1" w:legacySpace="0" w:legacyIndent="708"/>
      <w:lvlJc w:val="left"/>
      <w:pPr>
        <w:ind w:left="5328" w:hanging="708"/>
      </w:pPr>
    </w:lvl>
  </w:abstractNum>
  <w:abstractNum w:abstractNumId="1">
    <w:nsid w:val="4EF14ABB"/>
    <w:multiLevelType w:val="hybridMultilevel"/>
    <w:tmpl w:val="C3449A58"/>
    <w:lvl w:ilvl="0" w:tplc="B9C68E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B2"/>
    <w:rsid w:val="00075548"/>
    <w:rsid w:val="00340F41"/>
    <w:rsid w:val="00363504"/>
    <w:rsid w:val="003C3F17"/>
    <w:rsid w:val="005A4DB2"/>
    <w:rsid w:val="005B7EEA"/>
    <w:rsid w:val="00635301"/>
    <w:rsid w:val="00695DF2"/>
    <w:rsid w:val="00720EC2"/>
    <w:rsid w:val="00731C2F"/>
    <w:rsid w:val="007459CE"/>
    <w:rsid w:val="007B6EB5"/>
    <w:rsid w:val="00802AED"/>
    <w:rsid w:val="008C19CC"/>
    <w:rsid w:val="008D25A1"/>
    <w:rsid w:val="00963DEA"/>
    <w:rsid w:val="009B3737"/>
    <w:rsid w:val="00B85258"/>
    <w:rsid w:val="00BF4C24"/>
    <w:rsid w:val="00D05A2F"/>
    <w:rsid w:val="00D420CB"/>
    <w:rsid w:val="00D567F6"/>
    <w:rsid w:val="00D82361"/>
    <w:rsid w:val="00E634AC"/>
    <w:rsid w:val="00ED0053"/>
    <w:rsid w:val="00ED549B"/>
    <w:rsid w:val="00F01CE8"/>
    <w:rsid w:val="00FB3891"/>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DB8648-9BD1-4B1E-934D-D88C6646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fr-FR"/>
    </w:rPr>
  </w:style>
  <w:style w:type="paragraph" w:styleId="Heading1">
    <w:name w:val="heading 1"/>
    <w:basedOn w:val="Normal"/>
    <w:next w:val="Normal"/>
    <w:qFormat/>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Heading2">
    <w:name w:val="heading 2"/>
    <w:basedOn w:val="Normal"/>
    <w:next w:val="Normal"/>
    <w:qFormat/>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Heading3">
    <w:name w:val="heading 3"/>
    <w:basedOn w:val="Normal"/>
    <w:next w:val="Normal"/>
    <w:qFormat/>
    <w:pPr>
      <w:keepNext/>
      <w:numPr>
        <w:ilvl w:val="2"/>
        <w:numId w:val="1"/>
      </w:numPr>
      <w:spacing w:before="360" w:after="240"/>
      <w:ind w:hanging="720"/>
      <w:outlineLvl w:val="2"/>
    </w:pPr>
    <w:rPr>
      <w:b/>
      <w:sz w:val="24"/>
      <w:u w:val="double"/>
    </w:rPr>
  </w:style>
  <w:style w:type="paragraph" w:styleId="Heading4">
    <w:name w:val="heading 4"/>
    <w:basedOn w:val="Normal"/>
    <w:next w:val="Normal"/>
    <w:qFormat/>
    <w:pPr>
      <w:keepNext/>
      <w:numPr>
        <w:ilvl w:val="3"/>
        <w:numId w:val="1"/>
      </w:numPr>
      <w:spacing w:before="240"/>
      <w:ind w:hanging="720"/>
      <w:outlineLvl w:val="3"/>
    </w:pPr>
    <w:rPr>
      <w:b/>
      <w:i/>
      <w:u w:val="single"/>
    </w:rPr>
  </w:style>
  <w:style w:type="paragraph" w:styleId="Heading5">
    <w:name w:val="heading 5"/>
    <w:basedOn w:val="Normal"/>
    <w:next w:val="Normal"/>
    <w:qFormat/>
    <w:pPr>
      <w:numPr>
        <w:ilvl w:val="4"/>
        <w:numId w:val="1"/>
      </w:numPr>
      <w:spacing w:before="240"/>
      <w:ind w:hanging="720"/>
      <w:outlineLvl w:val="4"/>
    </w:pPr>
    <w:rPr>
      <w:u w:val="single"/>
    </w:rPr>
  </w:style>
  <w:style w:type="paragraph" w:styleId="Heading6">
    <w:name w:val="heading 6"/>
    <w:basedOn w:val="Normal"/>
    <w:next w:val="Normal"/>
    <w:qFormat/>
    <w:pPr>
      <w:numPr>
        <w:ilvl w:val="5"/>
        <w:numId w:val="1"/>
      </w:numPr>
      <w:spacing w:before="240"/>
      <w:ind w:hanging="720"/>
      <w:outlineLvl w:val="5"/>
    </w:pPr>
    <w:rPr>
      <w:u w:val="dotted"/>
    </w:rPr>
  </w:style>
  <w:style w:type="paragraph" w:styleId="Heading7">
    <w:name w:val="heading 7"/>
    <w:basedOn w:val="Normal"/>
    <w:next w:val="Normal"/>
    <w:qFormat/>
    <w:pPr>
      <w:numPr>
        <w:ilvl w:val="6"/>
        <w:numId w:val="1"/>
      </w:numPr>
      <w:spacing w:before="240"/>
      <w:ind w:hanging="720"/>
      <w:outlineLvl w:val="6"/>
    </w:pPr>
  </w:style>
  <w:style w:type="paragraph" w:styleId="Heading8">
    <w:name w:val="heading 8"/>
    <w:basedOn w:val="Normal"/>
    <w:next w:val="Normal"/>
    <w:qFormat/>
    <w:pPr>
      <w:numPr>
        <w:ilvl w:val="7"/>
        <w:numId w:val="1"/>
      </w:numPr>
      <w:spacing w:before="240" w:after="60"/>
      <w:ind w:hanging="720"/>
      <w:outlineLvl w:val="7"/>
    </w:pPr>
    <w:rPr>
      <w:i/>
    </w:rPr>
  </w:style>
  <w:style w:type="paragraph" w:styleId="Heading9">
    <w:name w:val="heading 9"/>
    <w:basedOn w:val="Normal"/>
    <w:next w:val="Normal"/>
    <w:qFormat/>
    <w:pPr>
      <w:numPr>
        <w:ilvl w:val="8"/>
        <w:numId w:val="1"/>
      </w:numPr>
      <w:spacing w:before="240" w:after="60"/>
      <w:ind w:hanging="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ind w:left="283" w:hanging="283"/>
    </w:pPr>
  </w:style>
  <w:style w:type="paragraph" w:styleId="Footer">
    <w:name w:val="footer"/>
    <w:basedOn w:val="Normal"/>
    <w:pPr>
      <w:tabs>
        <w:tab w:val="center" w:pos="4536"/>
        <w:tab w:val="right" w:pos="9072"/>
      </w:tabs>
    </w:pPr>
    <w:rPr>
      <w:rFonts w:ascii="Times New Roman" w:hAnsi="Times New Roman"/>
      <w:sz w:val="10"/>
    </w:rPr>
  </w:style>
  <w:style w:type="paragraph" w:styleId="Header">
    <w:name w:val="header"/>
    <w:basedOn w:val="Normal"/>
    <w:pPr>
      <w:tabs>
        <w:tab w:val="center" w:pos="4536"/>
        <w:tab w:val="right" w:pos="9072"/>
      </w:tabs>
    </w:pPr>
  </w:style>
  <w:style w:type="paragraph" w:customStyle="1" w:styleId="Letter">
    <w:name w:val="Letter"/>
    <w:basedOn w:val="Normal"/>
  </w:style>
  <w:style w:type="character" w:styleId="Hyperlink">
    <w:name w:val="Hyperlink"/>
    <w:rPr>
      <w:color w:val="0000FF"/>
      <w:u w:val="single"/>
    </w:rPr>
  </w:style>
  <w:style w:type="paragraph" w:styleId="BalloonText">
    <w:name w:val="Balloon Text"/>
    <w:basedOn w:val="Normal"/>
    <w:semiHidden/>
    <w:rsid w:val="008C19CC"/>
    <w:rPr>
      <w:rFonts w:ascii="Tahoma" w:hAnsi="Tahoma" w:cs="Tahoma"/>
      <w:sz w:val="16"/>
      <w:szCs w:val="16"/>
    </w:rPr>
  </w:style>
  <w:style w:type="paragraph" w:styleId="FootnoteText">
    <w:name w:val="footnote text"/>
    <w:basedOn w:val="Normal"/>
    <w:link w:val="FootnoteTextChar"/>
    <w:uiPriority w:val="99"/>
    <w:unhideWhenUsed/>
    <w:rsid w:val="007B6EB5"/>
    <w:rPr>
      <w:rFonts w:ascii="Calibri" w:hAnsi="Calibri"/>
      <w:sz w:val="20"/>
      <w:lang w:val="fr-BE" w:eastAsia="fr-BE"/>
    </w:rPr>
  </w:style>
  <w:style w:type="character" w:customStyle="1" w:styleId="FootnoteTextChar">
    <w:name w:val="Footnote Text Char"/>
    <w:link w:val="FootnoteText"/>
    <w:uiPriority w:val="99"/>
    <w:rsid w:val="007B6EB5"/>
    <w:rPr>
      <w:rFonts w:ascii="Calibri" w:hAnsi="Calibri"/>
    </w:rPr>
  </w:style>
  <w:style w:type="character" w:styleId="FootnoteReference">
    <w:name w:val="footnote reference"/>
    <w:uiPriority w:val="99"/>
    <w:unhideWhenUsed/>
    <w:rsid w:val="007B6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question@mi-is.be" TargetMode="External"/><Relationship Id="rId13" Type="http://schemas.openxmlformats.org/officeDocument/2006/relationships/hyperlink" Target="http://www.mi-is.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estion@mi-is.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i-is.be" TargetMode="External"/><Relationship Id="rId4" Type="http://schemas.openxmlformats.org/officeDocument/2006/relationships/webSettings" Target="webSettings.xml"/><Relationship Id="rId9" Type="http://schemas.openxmlformats.org/officeDocument/2006/relationships/hyperlink" Target="mailto:question@mi-is.be" TargetMode="External"/><Relationship Id="rId14" Type="http://schemas.openxmlformats.org/officeDocument/2006/relationships/hyperlink" Target="mailto:question@mi-is.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nisa.europa.eu/activities/risk-management/files/deliverables/cloud-computing-risk-assessment" TargetMode="External"/><Relationship Id="rId3" Type="http://schemas.openxmlformats.org/officeDocument/2006/relationships/hyperlink" Target="https://www.smals.be/sites/default/files/assets/rapportsmalsfrweb11-06-2014.pdf" TargetMode="External"/><Relationship Id="rId7" Type="http://schemas.openxmlformats.org/officeDocument/2006/relationships/hyperlink" Target="http://www.lemonde.fr/technologies/article/2014/03/19/google-critique-pour-avoir-scanne-les-mails-de-millions-d-etudiants_4385358_651865.html" TargetMode="External"/><Relationship Id="rId2" Type="http://schemas.openxmlformats.org/officeDocument/2006/relationships/hyperlink" Target="https://www.bcss.fgov.be/binaries/documentation/fr/securite/policies/isms_050_cloud_computing_policy_fr.pdf" TargetMode="External"/><Relationship Id="rId1" Type="http://schemas.openxmlformats.org/officeDocument/2006/relationships/hyperlink" Target="http://www.privacycommission.be/fr/node/3790" TargetMode="External"/><Relationship Id="rId6" Type="http://schemas.openxmlformats.org/officeDocument/2006/relationships/hyperlink" Target="http://www.lecho.be/actualite/entreprises_finance/Qui_achete_quoi_ING_va_devoiler_les_donnees_clients.9476021-3028.art?ckc=1" TargetMode="External"/><Relationship Id="rId11" Type="http://schemas.openxmlformats.org/officeDocument/2006/relationships/hyperlink" Target="http://www.01net.com/editorial/584637/comment-les-etats-unis-legitiment-la-cybersurveillance-mondiale/" TargetMode="External"/><Relationship Id="rId5" Type="http://schemas.openxmlformats.org/officeDocument/2006/relationships/hyperlink" Target="http://www.enisa.europa.eu/activities/risk-management/emerging-and-future-risk/deliverables/security-and-resilience-in-governmental-clouds" TargetMode="External"/><Relationship Id="rId10" Type="http://schemas.openxmlformats.org/officeDocument/2006/relationships/hyperlink" Target="http://business.lesechos.fr/directions-numeriques/0203680050698-le-cloud-europeen-de-microsoft-reste-sous-loi-americaine-102117.php" TargetMode="External"/><Relationship Id="rId4" Type="http://schemas.openxmlformats.org/officeDocument/2006/relationships/hyperlink" Target="http://datanews.levif.be/ict/actualite/le-nuage-public-sera-en-fin-de-compte-developpe-en-interne/article-4000580731852.htm" TargetMode="External"/><Relationship Id="rId9" Type="http://schemas.openxmlformats.org/officeDocument/2006/relationships/hyperlink" Target="http://www.reuters.com/article/2014/04/25/us-usa-tech-warrants-idUSBREA3O24P20140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Conservation des données dans le cloud</Template>
  <TotalTime>0</TotalTime>
  <Pages>3</Pages>
  <Words>777</Words>
  <Characters>4430</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MASSPE</Company>
  <LinksUpToDate>false</LinksUpToDate>
  <CharactersWithSpaces>5197</CharactersWithSpaces>
  <SharedDoc>false</SharedDoc>
  <HLinks>
    <vt:vector size="84" baseType="variant">
      <vt:variant>
        <vt:i4>2752568</vt:i4>
      </vt:variant>
      <vt:variant>
        <vt:i4>30</vt:i4>
      </vt:variant>
      <vt:variant>
        <vt:i4>0</vt:i4>
      </vt:variant>
      <vt:variant>
        <vt:i4>5</vt:i4>
      </vt:variant>
      <vt:variant>
        <vt:lpwstr>http://www.01net.com/editorial/584637/comment-les-etats-unis-legitiment-la-cybersurveillance-mondiale/</vt:lpwstr>
      </vt:variant>
      <vt:variant>
        <vt:lpwstr/>
      </vt:variant>
      <vt:variant>
        <vt:i4>7078003</vt:i4>
      </vt:variant>
      <vt:variant>
        <vt:i4>27</vt:i4>
      </vt:variant>
      <vt:variant>
        <vt:i4>0</vt:i4>
      </vt:variant>
      <vt:variant>
        <vt:i4>5</vt:i4>
      </vt:variant>
      <vt:variant>
        <vt:lpwstr>http://business.lesechos.fr/directions-numeriques/0203680050698-le-cloud-europeen-de-microsoft-reste-sous-loi-americaine-102117.php</vt:lpwstr>
      </vt:variant>
      <vt:variant>
        <vt:lpwstr/>
      </vt:variant>
      <vt:variant>
        <vt:i4>1966147</vt:i4>
      </vt:variant>
      <vt:variant>
        <vt:i4>24</vt:i4>
      </vt:variant>
      <vt:variant>
        <vt:i4>0</vt:i4>
      </vt:variant>
      <vt:variant>
        <vt:i4>5</vt:i4>
      </vt:variant>
      <vt:variant>
        <vt:lpwstr>http://www.reuters.com/article/2014/04/25/us-usa-tech-warrants-idUSBREA3O24P20140425</vt:lpwstr>
      </vt:variant>
      <vt:variant>
        <vt:lpwstr/>
      </vt:variant>
      <vt:variant>
        <vt:i4>1835090</vt:i4>
      </vt:variant>
      <vt:variant>
        <vt:i4>21</vt:i4>
      </vt:variant>
      <vt:variant>
        <vt:i4>0</vt:i4>
      </vt:variant>
      <vt:variant>
        <vt:i4>5</vt:i4>
      </vt:variant>
      <vt:variant>
        <vt:lpwstr>http://www.enisa.europa.eu/activities/risk-management/files/deliverables/cloud-computing-risk-assessment</vt:lpwstr>
      </vt:variant>
      <vt:variant>
        <vt:lpwstr/>
      </vt:variant>
      <vt:variant>
        <vt:i4>720989</vt:i4>
      </vt:variant>
      <vt:variant>
        <vt:i4>18</vt:i4>
      </vt:variant>
      <vt:variant>
        <vt:i4>0</vt:i4>
      </vt:variant>
      <vt:variant>
        <vt:i4>5</vt:i4>
      </vt:variant>
      <vt:variant>
        <vt:lpwstr>http://www.lemonde.fr/technologies/article/2014/03/19/google-critique-pour-avoir-scanne-les-mails-de-millions-d-etudiants_4385358_651865.html</vt:lpwstr>
      </vt:variant>
      <vt:variant>
        <vt:lpwstr/>
      </vt:variant>
      <vt:variant>
        <vt:i4>2490449</vt:i4>
      </vt:variant>
      <vt:variant>
        <vt:i4>15</vt:i4>
      </vt:variant>
      <vt:variant>
        <vt:i4>0</vt:i4>
      </vt:variant>
      <vt:variant>
        <vt:i4>5</vt:i4>
      </vt:variant>
      <vt:variant>
        <vt:lpwstr>http://www.lecho.be/actualite/entreprises_finance/Qui_achete_quoi_ING_va_devoiler_les_donnees_clients.9476021-3028.art?ckc=1</vt:lpwstr>
      </vt:variant>
      <vt:variant>
        <vt:lpwstr/>
      </vt:variant>
      <vt:variant>
        <vt:i4>7929963</vt:i4>
      </vt:variant>
      <vt:variant>
        <vt:i4>12</vt:i4>
      </vt:variant>
      <vt:variant>
        <vt:i4>0</vt:i4>
      </vt:variant>
      <vt:variant>
        <vt:i4>5</vt:i4>
      </vt:variant>
      <vt:variant>
        <vt:lpwstr>http://www.enisa.europa.eu/activities/risk-management/emerging-and-future-risk/deliverables/security-and-resilience-in-governmental-clouds</vt:lpwstr>
      </vt:variant>
      <vt:variant>
        <vt:lpwstr/>
      </vt:variant>
      <vt:variant>
        <vt:i4>3211317</vt:i4>
      </vt:variant>
      <vt:variant>
        <vt:i4>9</vt:i4>
      </vt:variant>
      <vt:variant>
        <vt:i4>0</vt:i4>
      </vt:variant>
      <vt:variant>
        <vt:i4>5</vt:i4>
      </vt:variant>
      <vt:variant>
        <vt:lpwstr>http://datanews.levif.be/ict/actualite/le-nuage-public-sera-en-fin-de-compte-developpe-en-interne/article-4000580731852.htm</vt:lpwstr>
      </vt:variant>
      <vt:variant>
        <vt:lpwstr/>
      </vt:variant>
      <vt:variant>
        <vt:i4>3342461</vt:i4>
      </vt:variant>
      <vt:variant>
        <vt:i4>6</vt:i4>
      </vt:variant>
      <vt:variant>
        <vt:i4>0</vt:i4>
      </vt:variant>
      <vt:variant>
        <vt:i4>5</vt:i4>
      </vt:variant>
      <vt:variant>
        <vt:lpwstr>https://www.smals.be/sites/default/files/assets/rapportsmalsfrweb11-06-2014.pdf</vt:lpwstr>
      </vt:variant>
      <vt:variant>
        <vt:lpwstr/>
      </vt:variant>
      <vt:variant>
        <vt:i4>3670028</vt:i4>
      </vt:variant>
      <vt:variant>
        <vt:i4>3</vt:i4>
      </vt:variant>
      <vt:variant>
        <vt:i4>0</vt:i4>
      </vt:variant>
      <vt:variant>
        <vt:i4>5</vt:i4>
      </vt:variant>
      <vt:variant>
        <vt:lpwstr>https://www.bcss.fgov.be/binaries/documentation/fr/securite/policies/isms_050_cloud_computing_policy_fr.pdf</vt:lpwstr>
      </vt:variant>
      <vt:variant>
        <vt:lpwstr/>
      </vt:variant>
      <vt:variant>
        <vt:i4>4259918</vt:i4>
      </vt:variant>
      <vt:variant>
        <vt:i4>0</vt:i4>
      </vt:variant>
      <vt:variant>
        <vt:i4>0</vt:i4>
      </vt:variant>
      <vt:variant>
        <vt:i4>5</vt:i4>
      </vt:variant>
      <vt:variant>
        <vt:lpwstr>http://www.privacycommission.be/fr/node/3790</vt:lpwstr>
      </vt:variant>
      <vt:variant>
        <vt:lpwstr/>
      </vt:variant>
      <vt:variant>
        <vt:i4>6684698</vt:i4>
      </vt:variant>
      <vt:variant>
        <vt:i4>6</vt:i4>
      </vt:variant>
      <vt:variant>
        <vt:i4>0</vt:i4>
      </vt:variant>
      <vt:variant>
        <vt:i4>5</vt:i4>
      </vt:variant>
      <vt:variant>
        <vt:lpwstr>mailto:question@mi-is.be</vt:lpwstr>
      </vt:variant>
      <vt:variant>
        <vt:lpwstr/>
      </vt:variant>
      <vt:variant>
        <vt:i4>5570587</vt:i4>
      </vt:variant>
      <vt:variant>
        <vt:i4>3</vt:i4>
      </vt:variant>
      <vt:variant>
        <vt:i4>0</vt:i4>
      </vt:variant>
      <vt:variant>
        <vt:i4>5</vt:i4>
      </vt:variant>
      <vt:variant>
        <vt:lpwstr>http://www.mi-is.be/</vt:lpwstr>
      </vt:variant>
      <vt:variant>
        <vt:lpwstr/>
      </vt:variant>
      <vt:variant>
        <vt:i4>6684698</vt:i4>
      </vt:variant>
      <vt:variant>
        <vt:i4>0</vt:i4>
      </vt:variant>
      <vt:variant>
        <vt:i4>0</vt:i4>
      </vt:variant>
      <vt:variant>
        <vt:i4>5</vt:i4>
      </vt:variant>
      <vt:variant>
        <vt:lpwstr>mailto:question@mi-is.be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Coninck Jan</dc:creator>
  <cp:keywords/>
  <cp:lastModifiedBy>De Coninck Jan</cp:lastModifiedBy>
  <cp:revision>2</cp:revision>
  <cp:lastPrinted>2008-07-29T12:51:00Z</cp:lastPrinted>
  <dcterms:created xsi:type="dcterms:W3CDTF">2015-01-27T09:52:00Z</dcterms:created>
  <dcterms:modified xsi:type="dcterms:W3CDTF">2015-01-27T09:52:00Z</dcterms:modified>
</cp:coreProperties>
</file>