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2933"/>
        <w:gridCol w:w="2601"/>
      </w:tblGrid>
      <w:tr w:rsidR="003A0379" w:rsidRPr="00B67F4D" w14:paraId="69F53200" w14:textId="77777777" w:rsidTr="005B5FE4">
        <w:trPr>
          <w:cantSplit/>
          <w:trHeight w:val="982"/>
        </w:trPr>
        <w:tc>
          <w:tcPr>
            <w:tcW w:w="5069" w:type="dxa"/>
          </w:tcPr>
          <w:p w14:paraId="5BC372CC" w14:textId="45726D06" w:rsidR="00F52394" w:rsidRDefault="006D6709" w:rsidP="003A0379">
            <w:pPr>
              <w:rPr>
                <w:lang w:val="fr-BE"/>
              </w:rPr>
            </w:pPr>
            <w:r>
              <w:rPr>
                <w:noProof/>
                <w:lang w:val="fr-BE"/>
              </w:rPr>
              <w:drawing>
                <wp:anchor distT="0" distB="0" distL="114300" distR="114300" simplePos="0" relativeHeight="251658240" behindDoc="1" locked="0" layoutInCell="1" allowOverlap="1" wp14:anchorId="21A21AA0" wp14:editId="704941E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817880</wp:posOffset>
                  </wp:positionV>
                  <wp:extent cx="2832865" cy="571500"/>
                  <wp:effectExtent l="0" t="0" r="5715" b="0"/>
                  <wp:wrapNone/>
                  <wp:docPr id="2" name="Afbeelding 2" descr="Afbeelding met tekst, Lettertype, schermopname, lij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Lettertype, schermopname, lijn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86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44" w:rsidRPr="00B67F4D">
              <w:rPr>
                <w:noProof/>
                <w:lang w:eastAsia="en-US" w:bidi="ar-SA"/>
              </w:rPr>
              <w:drawing>
                <wp:inline distT="0" distB="0" distL="0" distR="0" wp14:anchorId="79B12CAA" wp14:editId="1D0B6268">
                  <wp:extent cx="2631849" cy="87989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56" cy="89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CD4FE0" w14:textId="77777777" w:rsidR="006D6709" w:rsidRPr="006D6709" w:rsidRDefault="006D6709" w:rsidP="003A0379">
            <w:pPr>
              <w:rPr>
                <w:sz w:val="2"/>
                <w:szCs w:val="2"/>
                <w:lang w:val="fr-BE"/>
              </w:rPr>
            </w:pPr>
          </w:p>
          <w:p w14:paraId="1F9D7214" w14:textId="39E28237" w:rsidR="00F52394" w:rsidRPr="00B67F4D" w:rsidRDefault="00F52394" w:rsidP="003A0379">
            <w:pPr>
              <w:rPr>
                <w:lang w:val="fr-BE"/>
              </w:rPr>
            </w:pPr>
          </w:p>
        </w:tc>
        <w:tc>
          <w:tcPr>
            <w:tcW w:w="2933" w:type="dxa"/>
            <w:vAlign w:val="center"/>
          </w:tcPr>
          <w:p w14:paraId="762E383D" w14:textId="6383EA53" w:rsidR="00F52394" w:rsidRPr="00B67F4D" w:rsidRDefault="006D6709" w:rsidP="002C2BB2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Oproep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tot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kandidaturen</w:t>
            </w:r>
            <w:proofErr w:type="spellEnd"/>
          </w:p>
        </w:tc>
        <w:tc>
          <w:tcPr>
            <w:tcW w:w="2601" w:type="dxa"/>
            <w:vAlign w:val="center"/>
          </w:tcPr>
          <w:p w14:paraId="6630673B" w14:textId="3FB89CC8" w:rsidR="00F52394" w:rsidRPr="00B67F4D" w:rsidRDefault="006D6709" w:rsidP="003A0379">
            <w:pPr>
              <w:rPr>
                <w:b/>
                <w:bCs/>
                <w:lang w:val="fr-BE"/>
              </w:rPr>
            </w:pPr>
            <w:r>
              <w:rPr>
                <w:lang w:val="fr-BE"/>
              </w:rPr>
              <w:t xml:space="preserve">Dienst </w:t>
            </w:r>
            <w:proofErr w:type="spellStart"/>
            <w:r>
              <w:rPr>
                <w:lang w:val="fr-BE"/>
              </w:rPr>
              <w:t>Europese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Fondsen</w:t>
            </w:r>
            <w:proofErr w:type="spellEnd"/>
          </w:p>
        </w:tc>
      </w:tr>
      <w:tr w:rsidR="00F52394" w:rsidRPr="00876740" w14:paraId="65BCBE91" w14:textId="77777777" w:rsidTr="005B5FE4">
        <w:trPr>
          <w:cantSplit/>
          <w:trHeight w:val="1025"/>
        </w:trPr>
        <w:tc>
          <w:tcPr>
            <w:tcW w:w="10603" w:type="dxa"/>
            <w:gridSpan w:val="3"/>
            <w:tcBorders>
              <w:bottom w:val="single" w:sz="4" w:space="0" w:color="auto"/>
            </w:tcBorders>
          </w:tcPr>
          <w:p w14:paraId="08874D4A" w14:textId="35B6EFBF" w:rsidR="00F52394" w:rsidRDefault="006D6709" w:rsidP="001A1ADF">
            <w:pPr>
              <w:pStyle w:val="Geenafstand"/>
              <w:jc w:val="center"/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</w:pPr>
            <w:r w:rsidRPr="006D6709"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  <w:t>OPROEP TOT KANDIDATUREN VOOR D</w:t>
            </w:r>
            <w:r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  <w:t xml:space="preserve">E AANWIJZING VAN </w:t>
            </w:r>
            <w:r w:rsidR="00B54EC7"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  <w:t>RELAISORGANISATIES/ CENTRALE OPSLAGPLAATSEN</w:t>
            </w:r>
            <w:r w:rsidR="001A1ADF"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  <w:t xml:space="preserve"> </w:t>
            </w:r>
            <w:r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  <w:t xml:space="preserve">in het kader van het FEDERAAL VOEDSELHULPPROGRAMMA ONDER HET EUROPEES SOCIAAL FONDS PLUS (ESF+) </w:t>
            </w:r>
          </w:p>
          <w:p w14:paraId="06929249" w14:textId="77777777" w:rsidR="001A1ADF" w:rsidRDefault="001A1ADF" w:rsidP="001A1ADF">
            <w:pPr>
              <w:pStyle w:val="Geenafstand"/>
              <w:jc w:val="center"/>
              <w:rPr>
                <w:rFonts w:ascii="Gill Sans MT" w:hAnsi="Gill Sans MT"/>
                <w:b/>
                <w:caps/>
                <w:color w:val="548DD4"/>
                <w:kern w:val="28"/>
                <w:sz w:val="24"/>
                <w:szCs w:val="28"/>
                <w:lang w:val="nl-BE"/>
              </w:rPr>
            </w:pPr>
          </w:p>
          <w:p w14:paraId="7DC766B9" w14:textId="1947C2CD" w:rsidR="001A1ADF" w:rsidRPr="00535F66" w:rsidRDefault="00535F66" w:rsidP="001A1ADF">
            <w:pPr>
              <w:pStyle w:val="Geenafstand"/>
              <w:jc w:val="center"/>
              <w:rPr>
                <w:rFonts w:ascii="Gill Sans MT" w:hAnsi="Gill Sans MT"/>
                <w:bCs/>
                <w:caps/>
                <w:color w:val="548DD4"/>
                <w:kern w:val="28"/>
                <w:sz w:val="24"/>
                <w:szCs w:val="28"/>
                <w:lang w:val="nl-BE"/>
              </w:rPr>
            </w:pPr>
            <w:r w:rsidRPr="00535F66">
              <w:rPr>
                <w:rFonts w:ascii="Gill Sans MT" w:eastAsiaTheme="minorHAnsi" w:hAnsi="Gill Sans MT" w:cstheme="minorBidi"/>
                <w:sz w:val="24"/>
                <w:szCs w:val="24"/>
                <w:lang w:val="nl-BE"/>
              </w:rPr>
              <w:t>Van toepassing vanaf de v</w:t>
            </w:r>
            <w:r>
              <w:rPr>
                <w:rFonts w:ascii="Gill Sans MT" w:eastAsiaTheme="minorHAnsi" w:hAnsi="Gill Sans MT" w:cstheme="minorBidi"/>
                <w:sz w:val="24"/>
                <w:szCs w:val="24"/>
                <w:lang w:val="nl-BE"/>
              </w:rPr>
              <w:t>oedselhulpcampagne 2024 tot en met 2028</w:t>
            </w:r>
          </w:p>
        </w:tc>
      </w:tr>
      <w:tr w:rsidR="00EF4744" w:rsidRPr="00295E28" w14:paraId="12776516" w14:textId="77777777" w:rsidTr="005B5FE4">
        <w:trPr>
          <w:trHeight w:val="757"/>
        </w:trPr>
        <w:tc>
          <w:tcPr>
            <w:tcW w:w="8002" w:type="dxa"/>
            <w:gridSpan w:val="2"/>
          </w:tcPr>
          <w:p w14:paraId="14E7A828" w14:textId="77777777" w:rsidR="00F52394" w:rsidRPr="00B67F4D" w:rsidRDefault="00F52394" w:rsidP="003A0379">
            <w:pPr>
              <w:rPr>
                <w:lang w:val="fr-BE"/>
              </w:rPr>
            </w:pPr>
            <w:r w:rsidRPr="00B67F4D">
              <w:rPr>
                <w:lang w:val="fr-BE"/>
              </w:rPr>
              <w:t xml:space="preserve">Auteur : </w:t>
            </w:r>
            <w:r w:rsidRPr="00B67F4D">
              <w:rPr>
                <w:lang w:val="fr-BE"/>
              </w:rPr>
              <w:br/>
              <w:t>N. BOSSUYT/ B. CERRATO</w:t>
            </w:r>
          </w:p>
        </w:tc>
        <w:tc>
          <w:tcPr>
            <w:tcW w:w="2601" w:type="dxa"/>
          </w:tcPr>
          <w:p w14:paraId="162AB417" w14:textId="4F15B599" w:rsidR="00F52394" w:rsidRPr="00AA450B" w:rsidRDefault="00535F66" w:rsidP="003A0379">
            <w:pPr>
              <w:rPr>
                <w:lang w:val="fr-BE"/>
              </w:rPr>
            </w:pPr>
            <w:proofErr w:type="spellStart"/>
            <w:r w:rsidRPr="00AA450B">
              <w:rPr>
                <w:lang w:val="fr-BE"/>
              </w:rPr>
              <w:t>Datum</w:t>
            </w:r>
            <w:proofErr w:type="spellEnd"/>
            <w:r w:rsidRPr="00AA450B">
              <w:rPr>
                <w:lang w:val="fr-BE"/>
              </w:rPr>
              <w:t> :</w:t>
            </w:r>
            <w:r w:rsidR="00400E46" w:rsidRPr="00AA450B">
              <w:rPr>
                <w:lang w:val="fr-BE"/>
              </w:rPr>
              <w:t xml:space="preserve"> </w:t>
            </w:r>
            <w:r w:rsidR="00AA450B" w:rsidRPr="00AA450B">
              <w:rPr>
                <w:lang w:val="fr-BE"/>
              </w:rPr>
              <w:t>07/07/2023</w:t>
            </w:r>
          </w:p>
          <w:p w14:paraId="7F4B9A9D" w14:textId="25F3AB94" w:rsidR="00F52394" w:rsidRPr="00B67F4D" w:rsidRDefault="00FA392F" w:rsidP="003A037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Bijlage</w:t>
            </w:r>
            <w:proofErr w:type="spellEnd"/>
            <w:r>
              <w:rPr>
                <w:lang w:val="fr-BE"/>
              </w:rPr>
              <w:t xml:space="preserve"> : </w:t>
            </w:r>
            <w:proofErr w:type="spellStart"/>
            <w:r w:rsidR="00DE5D7C">
              <w:rPr>
                <w:lang w:val="fr-BE"/>
              </w:rPr>
              <w:t>formulier</w:t>
            </w:r>
            <w:proofErr w:type="spellEnd"/>
            <w:r w:rsidR="00DE5D7C">
              <w:rPr>
                <w:lang w:val="fr-BE"/>
              </w:rPr>
              <w:t xml:space="preserve"> </w:t>
            </w:r>
            <w:proofErr w:type="spellStart"/>
            <w:r w:rsidR="00DE5D7C">
              <w:rPr>
                <w:lang w:val="fr-BE"/>
              </w:rPr>
              <w:t>kandidaatstelling</w:t>
            </w:r>
            <w:proofErr w:type="spellEnd"/>
          </w:p>
        </w:tc>
      </w:tr>
    </w:tbl>
    <w:p w14:paraId="4FDADD18" w14:textId="77777777" w:rsidR="00A43570" w:rsidRDefault="00A43570" w:rsidP="00FA392F">
      <w:pPr>
        <w:spacing w:after="0" w:line="240" w:lineRule="auto"/>
        <w:jc w:val="both"/>
        <w:rPr>
          <w:lang w:val="nl-NL"/>
        </w:rPr>
      </w:pPr>
    </w:p>
    <w:p w14:paraId="0E2D35EC" w14:textId="58D36FA4" w:rsidR="00A43570" w:rsidRPr="00A43570" w:rsidRDefault="00A43570" w:rsidP="00A43570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NL"/>
        </w:rPr>
      </w:pPr>
      <w:r w:rsidRPr="00A43570">
        <w:rPr>
          <w:b/>
          <w:bCs/>
          <w:lang w:val="nl-NL"/>
        </w:rPr>
        <w:t>Context</w:t>
      </w:r>
    </w:p>
    <w:p w14:paraId="2D65741F" w14:textId="77777777" w:rsidR="00A43570" w:rsidRDefault="00A43570" w:rsidP="00FA392F">
      <w:pPr>
        <w:spacing w:after="0" w:line="240" w:lineRule="auto"/>
        <w:jc w:val="both"/>
        <w:rPr>
          <w:lang w:val="nl-NL"/>
        </w:rPr>
      </w:pPr>
    </w:p>
    <w:p w14:paraId="7F219120" w14:textId="1A60C9DF" w:rsidR="00FA392F" w:rsidRPr="00A43570" w:rsidRDefault="00FA392F" w:rsidP="00FA392F">
      <w:pPr>
        <w:spacing w:after="0" w:line="240" w:lineRule="auto"/>
        <w:jc w:val="both"/>
        <w:rPr>
          <w:lang w:val="nl-NL"/>
        </w:rPr>
      </w:pPr>
      <w:r w:rsidRPr="00A43570">
        <w:rPr>
          <w:lang w:val="nl-NL"/>
        </w:rPr>
        <w:t>Het voedselhulpprogramma onder FEAD (het Fonds voor Europese hulp aan de meest behoeftigen) die oorspronkelijk voorzien was voor de periode 2014-2020, loopt op zijn einde met de campagne 2022.</w:t>
      </w:r>
    </w:p>
    <w:p w14:paraId="45C98737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De campagne 2024 is de eerste campagne in het kader van het voedselhulpprogramma onder het ESF+.</w:t>
      </w:r>
    </w:p>
    <w:p w14:paraId="5F5515EE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</w:p>
    <w:p w14:paraId="5E373A34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ESF+ is het resultaat van de samenvoeging van verschillende fondsen en programma’s:</w:t>
      </w:r>
    </w:p>
    <w:p w14:paraId="07C0C891" w14:textId="77777777" w:rsidR="00FA392F" w:rsidRPr="00A43570" w:rsidRDefault="00FA392F" w:rsidP="00FA392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Europees Sociaal Fonds (ESF),</w:t>
      </w:r>
    </w:p>
    <w:p w14:paraId="09DB16D4" w14:textId="77777777" w:rsidR="00FA392F" w:rsidRPr="00A43570" w:rsidRDefault="00FA392F" w:rsidP="00FA392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Fonds voor Europese hulp aan de meest behoeftigen (FEAD),</w:t>
      </w:r>
    </w:p>
    <w:p w14:paraId="350786AD" w14:textId="77777777" w:rsidR="00FA392F" w:rsidRPr="00A43570" w:rsidRDefault="00FA392F" w:rsidP="00FA392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jongerenwerkgelegenheidsinitiatief (YEI),</w:t>
      </w:r>
    </w:p>
    <w:p w14:paraId="7CC67582" w14:textId="77777777" w:rsidR="00FA392F" w:rsidRPr="00A43570" w:rsidRDefault="00FA392F" w:rsidP="00FA392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Europees programma voor werkgelegenheid en sociale innovatie (</w:t>
      </w:r>
      <w:proofErr w:type="spellStart"/>
      <w:r w:rsidRPr="00A43570">
        <w:rPr>
          <w:lang w:val="nl-BE"/>
        </w:rPr>
        <w:t>EaSI</w:t>
      </w:r>
      <w:proofErr w:type="spellEnd"/>
      <w:r w:rsidRPr="00A43570">
        <w:rPr>
          <w:lang w:val="nl-BE"/>
        </w:rPr>
        <w:t>).</w:t>
      </w:r>
    </w:p>
    <w:p w14:paraId="7C7C0D55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</w:p>
    <w:p w14:paraId="3E186C1E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 xml:space="preserve">Het ESF+ investeert in 3 belangrijke sleuteldomeinen: 1) onderwijs, opleiding en een leven lang leren; 2) efficiënte arbeidsmarkten en gelijke toegang tot kwaliteitsvol werk; 3) sociale inclusie en armoedebestrijding. </w:t>
      </w:r>
    </w:p>
    <w:p w14:paraId="49F886A7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</w:p>
    <w:p w14:paraId="5E5280A5" w14:textId="77777777" w:rsidR="00FA392F" w:rsidRPr="00A43570" w:rsidRDefault="00FA392F" w:rsidP="00FA392F">
      <w:p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Het FEAD, dat tot nu toe een afzonderlijk fonds was, is voortaan een onderdeel van het ESF+. Het maakt deel uit van de specifieke doelstelling m) van het ESF+, namelijk het bestrijden van materiële deprivatie door middel van voedselhulp en/of materiële basishulp aan de meest behoeftige personen, onder meer kinderen, en aanreiken van begeleidende maatregelen voor hun sociale inclusie.</w:t>
      </w:r>
    </w:p>
    <w:p w14:paraId="446BA517" w14:textId="6494C3D5" w:rsidR="000E7DFC" w:rsidRPr="00A43570" w:rsidRDefault="00FA392F" w:rsidP="00A43570">
      <w:pPr>
        <w:spacing w:after="0" w:line="240" w:lineRule="auto"/>
        <w:jc w:val="both"/>
        <w:rPr>
          <w:lang w:val="nl-BE"/>
        </w:rPr>
      </w:pPr>
      <w:r w:rsidRPr="00A43570">
        <w:rPr>
          <w:lang w:val="nl-BE"/>
        </w:rPr>
        <w:t>In België blijft het een apart programma en is de werkwijze vergelijkbaar met het FEAD, al zijn er wel enkele wijzig</w:t>
      </w:r>
      <w:r w:rsidR="00D438F1">
        <w:rPr>
          <w:lang w:val="nl-BE"/>
        </w:rPr>
        <w:t>ing</w:t>
      </w:r>
      <w:r w:rsidRPr="00A43570">
        <w:rPr>
          <w:lang w:val="nl-BE"/>
        </w:rPr>
        <w:t>en.</w:t>
      </w:r>
    </w:p>
    <w:p w14:paraId="4F7F4A7E" w14:textId="119840F6" w:rsidR="00A43570" w:rsidRDefault="00A43570" w:rsidP="00A43570">
      <w:pPr>
        <w:spacing w:after="0" w:line="240" w:lineRule="auto"/>
        <w:jc w:val="both"/>
        <w:rPr>
          <w:lang w:val="nl-BE"/>
        </w:rPr>
      </w:pPr>
    </w:p>
    <w:p w14:paraId="1900D03F" w14:textId="30B24D38" w:rsidR="00B54EC7" w:rsidRPr="00B54EC7" w:rsidRDefault="00B54EC7" w:rsidP="00A43570">
      <w:pPr>
        <w:spacing w:after="0" w:line="240" w:lineRule="auto"/>
        <w:jc w:val="both"/>
        <w:rPr>
          <w:b/>
          <w:bCs/>
          <w:lang w:val="nl-BE"/>
        </w:rPr>
      </w:pPr>
      <w:r w:rsidRPr="00B54EC7">
        <w:rPr>
          <w:b/>
          <w:bCs/>
          <w:lang w:val="nl-BE"/>
        </w:rPr>
        <w:t xml:space="preserve">In het kader van de nieuwe programmaperiode is de POD Maatschappelijke Integratie </w:t>
      </w:r>
      <w:r w:rsidR="003F5CA7">
        <w:rPr>
          <w:b/>
          <w:bCs/>
          <w:lang w:val="nl-BE"/>
        </w:rPr>
        <w:t xml:space="preserve">als </w:t>
      </w:r>
      <w:proofErr w:type="spellStart"/>
      <w:r w:rsidR="003F5CA7">
        <w:rPr>
          <w:b/>
          <w:bCs/>
          <w:lang w:val="nl-BE"/>
        </w:rPr>
        <w:t>beheersautoriteit</w:t>
      </w:r>
      <w:proofErr w:type="spellEnd"/>
      <w:r w:rsidR="003F5CA7">
        <w:rPr>
          <w:b/>
          <w:bCs/>
          <w:lang w:val="nl-BE"/>
        </w:rPr>
        <w:t xml:space="preserve"> </w:t>
      </w:r>
      <w:r w:rsidRPr="00B54EC7">
        <w:rPr>
          <w:b/>
          <w:bCs/>
          <w:lang w:val="nl-BE"/>
        </w:rPr>
        <w:t xml:space="preserve">op zoek naar </w:t>
      </w:r>
      <w:r>
        <w:rPr>
          <w:b/>
          <w:bCs/>
          <w:lang w:val="nl-BE"/>
        </w:rPr>
        <w:t xml:space="preserve">relaisorganisaties/ </w:t>
      </w:r>
      <w:r w:rsidRPr="00B54EC7">
        <w:rPr>
          <w:b/>
          <w:bCs/>
          <w:lang w:val="nl-BE"/>
        </w:rPr>
        <w:t xml:space="preserve">centrale opslagplaatsen die de voedingsmiddelen kunnen ontvangen, stockeren en herverdelen onder de voedselhulporganisaties (vzw’s en </w:t>
      </w:r>
      <w:proofErr w:type="spellStart"/>
      <w:r w:rsidRPr="00B54EC7">
        <w:rPr>
          <w:b/>
          <w:bCs/>
          <w:lang w:val="nl-BE"/>
        </w:rPr>
        <w:t>OCMW’s</w:t>
      </w:r>
      <w:proofErr w:type="spellEnd"/>
      <w:r w:rsidRPr="00B54EC7">
        <w:rPr>
          <w:b/>
          <w:bCs/>
          <w:lang w:val="nl-BE"/>
        </w:rPr>
        <w:t>).</w:t>
      </w:r>
    </w:p>
    <w:p w14:paraId="32126255" w14:textId="076F00A1" w:rsidR="00FA392F" w:rsidRPr="00B54EC7" w:rsidRDefault="00B54EC7" w:rsidP="00FA392F">
      <w:pPr>
        <w:spacing w:after="0" w:line="240" w:lineRule="auto"/>
        <w:jc w:val="both"/>
        <w:rPr>
          <w:b/>
          <w:bCs/>
          <w:lang w:val="nl-BE"/>
        </w:rPr>
      </w:pPr>
      <w:r w:rsidRPr="00B54EC7">
        <w:rPr>
          <w:b/>
          <w:bCs/>
          <w:lang w:val="nl-BE"/>
        </w:rPr>
        <w:lastRenderedPageBreak/>
        <w:t xml:space="preserve">De </w:t>
      </w:r>
      <w:r>
        <w:rPr>
          <w:b/>
          <w:bCs/>
          <w:lang w:val="nl-BE"/>
        </w:rPr>
        <w:t>relaisorganisaties</w:t>
      </w:r>
      <w:r w:rsidRPr="00B54EC7">
        <w:rPr>
          <w:b/>
          <w:bCs/>
          <w:lang w:val="nl-BE"/>
        </w:rPr>
        <w:t xml:space="preserve"> ontvangen daarvoor in ruil een forfait van 7% voorzien in artikel 22, 1., c</w:t>
      </w:r>
      <w:r w:rsidR="00DE5D7C" w:rsidRPr="00B54EC7">
        <w:rPr>
          <w:b/>
          <w:bCs/>
          <w:lang w:val="nl-BE"/>
        </w:rPr>
        <w:t xml:space="preserve">) van de Verordening (EU) </w:t>
      </w:r>
      <w:r w:rsidR="00535F66" w:rsidRPr="00B54EC7">
        <w:rPr>
          <w:b/>
          <w:bCs/>
          <w:lang w:val="nl-BE"/>
        </w:rPr>
        <w:t xml:space="preserve">2021/1057 </w:t>
      </w:r>
      <w:r w:rsidR="00DE5D7C" w:rsidRPr="00B54EC7">
        <w:rPr>
          <w:b/>
          <w:bCs/>
          <w:lang w:val="nl-BE"/>
        </w:rPr>
        <w:t>van het Europees Parlement de Raad van 24 juni 2021 tot oprichting van het Europees Sociaal Fonds Plus (ESF+).</w:t>
      </w:r>
    </w:p>
    <w:p w14:paraId="39BADD6F" w14:textId="50CDBCD8" w:rsidR="00135F93" w:rsidRDefault="00135F93" w:rsidP="00FA392F">
      <w:pPr>
        <w:spacing w:after="0" w:line="240" w:lineRule="auto"/>
        <w:jc w:val="both"/>
        <w:rPr>
          <w:lang w:val="nl-BE"/>
        </w:rPr>
      </w:pPr>
    </w:p>
    <w:p w14:paraId="7FD29C48" w14:textId="67D845FE" w:rsidR="00135F93" w:rsidRDefault="00135F93" w:rsidP="00FA392F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In het federaal voedselhulpprogramma onder het ESF+ werd dit als volgt opgenomen:</w:t>
      </w:r>
    </w:p>
    <w:p w14:paraId="0A7FD8B4" w14:textId="1ACE061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  <w:r w:rsidRPr="00B54EC7">
        <w:rPr>
          <w:i/>
          <w:iCs/>
          <w:lang w:val="nl-BE"/>
        </w:rPr>
        <w:t>De relaisorganisaties</w:t>
      </w:r>
      <w:r>
        <w:rPr>
          <w:i/>
          <w:iCs/>
          <w:lang w:val="nl-BE"/>
        </w:rPr>
        <w:t xml:space="preserve"> (RO)</w:t>
      </w:r>
      <w:r w:rsidRPr="00B54EC7">
        <w:rPr>
          <w:i/>
          <w:iCs/>
          <w:lang w:val="nl-BE"/>
        </w:rPr>
        <w:t xml:space="preserve"> die de centrale opslagpunten opzetten, onder de voorwaarden en in overeenstemming met de hierna beschreven modaliteiten.</w:t>
      </w:r>
    </w:p>
    <w:p w14:paraId="65A928C3" w14:textId="523A45D9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  <w:r w:rsidRPr="00B54EC7">
        <w:rPr>
          <w:i/>
          <w:iCs/>
          <w:lang w:val="nl-BE"/>
        </w:rPr>
        <w:t>Elke RO moet minimaal vijftien</w:t>
      </w:r>
      <w:r w:rsidR="006B144A">
        <w:rPr>
          <w:i/>
          <w:iCs/>
          <w:lang w:val="nl-BE"/>
        </w:rPr>
        <w:t xml:space="preserve"> partnerorganisaties</w:t>
      </w:r>
      <w:r w:rsidRPr="00B54EC7">
        <w:rPr>
          <w:i/>
          <w:iCs/>
          <w:lang w:val="nl-BE"/>
        </w:rPr>
        <w:t xml:space="preserve"> </w:t>
      </w:r>
      <w:r w:rsidR="006B144A">
        <w:rPr>
          <w:i/>
          <w:iCs/>
          <w:lang w:val="nl-BE"/>
        </w:rPr>
        <w:t>(</w:t>
      </w:r>
      <w:proofErr w:type="spellStart"/>
      <w:r w:rsidRPr="00B54EC7">
        <w:rPr>
          <w:i/>
          <w:iCs/>
          <w:lang w:val="nl-BE"/>
        </w:rPr>
        <w:t>PO's</w:t>
      </w:r>
      <w:proofErr w:type="spellEnd"/>
      <w:r w:rsidR="006B144A">
        <w:rPr>
          <w:i/>
          <w:iCs/>
          <w:lang w:val="nl-BE"/>
        </w:rPr>
        <w:t>)</w:t>
      </w:r>
      <w:r w:rsidRPr="00B54EC7">
        <w:rPr>
          <w:i/>
          <w:iCs/>
          <w:lang w:val="nl-BE"/>
        </w:rPr>
        <w:t xml:space="preserve"> hebben. Op het grondgebied mogen er maximaal tien </w:t>
      </w:r>
      <w:proofErr w:type="spellStart"/>
      <w:r w:rsidRPr="00B54EC7">
        <w:rPr>
          <w:i/>
          <w:iCs/>
          <w:lang w:val="nl-BE"/>
        </w:rPr>
        <w:t>RO's</w:t>
      </w:r>
      <w:proofErr w:type="spellEnd"/>
      <w:r w:rsidRPr="00B54EC7">
        <w:rPr>
          <w:i/>
          <w:iCs/>
          <w:lang w:val="nl-BE"/>
        </w:rPr>
        <w:t xml:space="preserve"> zijn.</w:t>
      </w:r>
    </w:p>
    <w:p w14:paraId="258DA399" w14:textId="7777777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</w:p>
    <w:p w14:paraId="45C9E77E" w14:textId="7777777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  <w:r w:rsidRPr="00B54EC7">
        <w:rPr>
          <w:i/>
          <w:iCs/>
          <w:lang w:val="nl-BE"/>
        </w:rPr>
        <w:t xml:space="preserve">De </w:t>
      </w:r>
      <w:proofErr w:type="spellStart"/>
      <w:r w:rsidRPr="00B54EC7">
        <w:rPr>
          <w:i/>
          <w:iCs/>
          <w:lang w:val="nl-BE"/>
        </w:rPr>
        <w:t>RO's</w:t>
      </w:r>
      <w:proofErr w:type="spellEnd"/>
      <w:r w:rsidRPr="00B54EC7">
        <w:rPr>
          <w:i/>
          <w:iCs/>
          <w:lang w:val="nl-BE"/>
        </w:rPr>
        <w:t xml:space="preserve"> zijn overheidsinstanties of non-profitorganisaties, hebben ervaring met het ontvangen, opslaan en herverdelen van levensmiddelen en hebben zich kandidaat gesteld. Zij zullen worden geselecteerd op basis van hun ervaring op dit gebied.</w:t>
      </w:r>
    </w:p>
    <w:p w14:paraId="6DC2AE7A" w14:textId="7777777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</w:p>
    <w:p w14:paraId="60AC7920" w14:textId="7777777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  <w:r w:rsidRPr="00B54EC7">
        <w:rPr>
          <w:i/>
          <w:iCs/>
          <w:lang w:val="nl-BE"/>
        </w:rPr>
        <w:t xml:space="preserve">Deze </w:t>
      </w:r>
      <w:proofErr w:type="spellStart"/>
      <w:r w:rsidRPr="00B54EC7">
        <w:rPr>
          <w:i/>
          <w:iCs/>
          <w:lang w:val="nl-BE"/>
        </w:rPr>
        <w:t>RO's</w:t>
      </w:r>
      <w:proofErr w:type="spellEnd"/>
      <w:r w:rsidRPr="00B54EC7">
        <w:rPr>
          <w:i/>
          <w:iCs/>
          <w:lang w:val="nl-BE"/>
        </w:rPr>
        <w:t xml:space="preserve"> zullen het in artikel 22, punt c), van de ESF+-verordening bedoelde vaste tarief van 7% ontvangen.</w:t>
      </w:r>
    </w:p>
    <w:p w14:paraId="53AFB5BD" w14:textId="77777777" w:rsidR="00B54EC7" w:rsidRPr="00B54EC7" w:rsidRDefault="00B54EC7" w:rsidP="00B54EC7">
      <w:pPr>
        <w:spacing w:after="0" w:line="240" w:lineRule="auto"/>
        <w:jc w:val="both"/>
        <w:rPr>
          <w:i/>
          <w:iCs/>
          <w:lang w:val="nl-BE"/>
        </w:rPr>
      </w:pPr>
    </w:p>
    <w:p w14:paraId="378E5AA4" w14:textId="5BE6DBE7" w:rsidR="00A43570" w:rsidRDefault="00B54EC7" w:rsidP="00B54EC7">
      <w:pPr>
        <w:spacing w:after="0" w:line="240" w:lineRule="auto"/>
        <w:jc w:val="both"/>
        <w:rPr>
          <w:i/>
          <w:iCs/>
          <w:lang w:val="nl-BE"/>
        </w:rPr>
      </w:pPr>
      <w:r w:rsidRPr="00B54EC7">
        <w:rPr>
          <w:i/>
          <w:iCs/>
          <w:lang w:val="nl-BE"/>
        </w:rPr>
        <w:t xml:space="preserve">De </w:t>
      </w:r>
      <w:proofErr w:type="spellStart"/>
      <w:r w:rsidR="006B144A">
        <w:rPr>
          <w:i/>
          <w:iCs/>
          <w:lang w:val="nl-BE"/>
        </w:rPr>
        <w:t>beheersautoriteit</w:t>
      </w:r>
      <w:proofErr w:type="spellEnd"/>
      <w:r w:rsidRPr="00B54EC7">
        <w:rPr>
          <w:i/>
          <w:iCs/>
          <w:lang w:val="nl-BE"/>
        </w:rPr>
        <w:t xml:space="preserve"> en de </w:t>
      </w:r>
      <w:proofErr w:type="spellStart"/>
      <w:r w:rsidRPr="00B54EC7">
        <w:rPr>
          <w:i/>
          <w:iCs/>
          <w:lang w:val="nl-BE"/>
        </w:rPr>
        <w:t>RO's</w:t>
      </w:r>
      <w:proofErr w:type="spellEnd"/>
      <w:r w:rsidRPr="00B54EC7">
        <w:rPr>
          <w:i/>
          <w:iCs/>
          <w:lang w:val="nl-BE"/>
        </w:rPr>
        <w:t xml:space="preserve"> zullen in een overeenkomst de verschillende modaliteiten en verplichtingen uiteenzetten.</w:t>
      </w:r>
    </w:p>
    <w:p w14:paraId="7A47EF8B" w14:textId="77777777" w:rsidR="00B54EC7" w:rsidRDefault="00B54EC7" w:rsidP="00B54EC7">
      <w:pPr>
        <w:spacing w:after="0" w:line="240" w:lineRule="auto"/>
        <w:jc w:val="both"/>
        <w:rPr>
          <w:lang w:val="nl-BE"/>
        </w:rPr>
      </w:pPr>
    </w:p>
    <w:p w14:paraId="5F0C6C3A" w14:textId="1EF5CBD7" w:rsidR="00A43570" w:rsidRPr="00A43570" w:rsidRDefault="00535F66" w:rsidP="00A43570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BE"/>
        </w:rPr>
      </w:pPr>
      <w:r>
        <w:rPr>
          <w:b/>
          <w:bCs/>
          <w:lang w:val="nl-BE"/>
        </w:rPr>
        <w:t xml:space="preserve">Wat </w:t>
      </w:r>
      <w:r w:rsidR="00CD7C50">
        <w:rPr>
          <w:b/>
          <w:bCs/>
          <w:lang w:val="nl-BE"/>
        </w:rPr>
        <w:t xml:space="preserve">wordt van de </w:t>
      </w:r>
      <w:r w:rsidR="001C254C">
        <w:rPr>
          <w:b/>
          <w:bCs/>
          <w:lang w:val="nl-BE"/>
        </w:rPr>
        <w:t>relaisorganisaties/ centrale opslagplaatsen</w:t>
      </w:r>
      <w:r w:rsidR="00CD7C50">
        <w:rPr>
          <w:b/>
          <w:bCs/>
          <w:lang w:val="nl-BE"/>
        </w:rPr>
        <w:t xml:space="preserve"> verwacht?</w:t>
      </w:r>
    </w:p>
    <w:p w14:paraId="219DBD26" w14:textId="34BD8FB9" w:rsidR="00A43570" w:rsidRDefault="00A43570" w:rsidP="00FA392F">
      <w:pPr>
        <w:spacing w:after="0" w:line="240" w:lineRule="auto"/>
        <w:jc w:val="both"/>
        <w:rPr>
          <w:lang w:val="nl-BE"/>
        </w:rPr>
      </w:pPr>
    </w:p>
    <w:p w14:paraId="673F7928" w14:textId="70E152CB" w:rsidR="00B54EC7" w:rsidRDefault="00B54EC7" w:rsidP="00FA392F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De relaisorganisaties die centrale opslagpunten opzetten, worden aangeduid voor het ontvangen, stockeren en herverdelen van de voedingsmiddelen die verdeeld worden in het kader van het federaal voedselhulpprogramma onder het ESF+.</w:t>
      </w:r>
    </w:p>
    <w:p w14:paraId="74508319" w14:textId="0F32241E" w:rsidR="00B54EC7" w:rsidRDefault="00B54EC7" w:rsidP="00FA392F">
      <w:pPr>
        <w:spacing w:after="0" w:line="240" w:lineRule="auto"/>
        <w:jc w:val="both"/>
        <w:rPr>
          <w:lang w:val="nl-BE"/>
        </w:rPr>
      </w:pPr>
    </w:p>
    <w:p w14:paraId="11A05BCF" w14:textId="17F7E282" w:rsidR="00B54EC7" w:rsidRDefault="00B54EC7" w:rsidP="00FA392F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Van de relaisorganisaties/ centrale opslagpunten wordt dus het volgende verwacht:</w:t>
      </w:r>
    </w:p>
    <w:p w14:paraId="3B6F3A40" w14:textId="0C96936E" w:rsidR="001C254C" w:rsidRDefault="001C254C" w:rsidP="00B54EC7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De volumes levensmiddelen bestemd voor de </w:t>
      </w:r>
      <w:r w:rsidR="00B72EBD">
        <w:rPr>
          <w:lang w:val="nl-BE"/>
        </w:rPr>
        <w:t>aangesloten/ vertegenwoordigde</w:t>
      </w:r>
      <w:r>
        <w:rPr>
          <w:lang w:val="nl-BE"/>
        </w:rPr>
        <w:t xml:space="preserve"> organisaties te ontvangen, stockeren en herverdelen (al dan niet door het organiseren van leveringen aan huis).</w:t>
      </w:r>
    </w:p>
    <w:p w14:paraId="07A2A739" w14:textId="59F5B4F0" w:rsidR="00B72EBD" w:rsidRDefault="00B72EBD" w:rsidP="00B72EBD">
      <w:pPr>
        <w:pStyle w:val="Lijstalinea"/>
        <w:spacing w:after="0" w:line="240" w:lineRule="auto"/>
        <w:jc w:val="both"/>
        <w:rPr>
          <w:lang w:val="nl-BE"/>
        </w:rPr>
      </w:pPr>
      <w:r>
        <w:rPr>
          <w:lang w:val="nl-BE"/>
        </w:rPr>
        <w:t>De leveringen gebeuren gespreid over het hele jaar à rato van 3 à 4 producten per maand. Ook de uitleveringen dienen het hele jaar door te gebeuren.</w:t>
      </w:r>
    </w:p>
    <w:p w14:paraId="422B3062" w14:textId="10E1F226" w:rsidR="00A376FF" w:rsidRPr="00A376FF" w:rsidRDefault="00B2520C" w:rsidP="00A376F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Voldoende ruime openingsuren te verzekeren om de leveringen te ontvangen en de herverdelingen te organiseren. </w:t>
      </w:r>
    </w:p>
    <w:p w14:paraId="07033DC4" w14:textId="798408F9" w:rsidR="001C254C" w:rsidRDefault="001C254C" w:rsidP="00B54EC7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De toestand en hoeveelheden geleverde voedingsmiddelen te controleren. Elke anomalie moet op de </w:t>
      </w:r>
      <w:proofErr w:type="spellStart"/>
      <w:r>
        <w:rPr>
          <w:lang w:val="nl-BE"/>
        </w:rPr>
        <w:t>leveringsbon</w:t>
      </w:r>
      <w:proofErr w:type="spellEnd"/>
      <w:r>
        <w:rPr>
          <w:lang w:val="nl-BE"/>
        </w:rPr>
        <w:t xml:space="preserve"> worden genoteerd.</w:t>
      </w:r>
    </w:p>
    <w:p w14:paraId="59594027" w14:textId="315DCD5C" w:rsidR="001C254C" w:rsidRDefault="001C254C" w:rsidP="00B54EC7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De levering te weigeren in geval van ernstige non-</w:t>
      </w:r>
      <w:proofErr w:type="spellStart"/>
      <w:r>
        <w:rPr>
          <w:lang w:val="nl-BE"/>
        </w:rPr>
        <w:t>conformiteiten</w:t>
      </w:r>
      <w:proofErr w:type="spellEnd"/>
      <w:r>
        <w:rPr>
          <w:lang w:val="nl-BE"/>
        </w:rPr>
        <w:t xml:space="preserve">. In dergelijk geval moet de POD </w:t>
      </w:r>
      <w:r w:rsidR="00D438F1">
        <w:rPr>
          <w:lang w:val="nl-BE"/>
        </w:rPr>
        <w:t xml:space="preserve">MI </w:t>
      </w:r>
      <w:r>
        <w:rPr>
          <w:lang w:val="nl-BE"/>
        </w:rPr>
        <w:t>onmiddellijk op de hoogte worden gebracht.</w:t>
      </w:r>
    </w:p>
    <w:p w14:paraId="5706C54D" w14:textId="6D0758A1" w:rsidR="001C254C" w:rsidRDefault="001C254C" w:rsidP="001C254C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Elk verlies of vernietiging van levensmiddelen zorgvuldig te registreren en de POD </w:t>
      </w:r>
      <w:r w:rsidR="00D438F1">
        <w:rPr>
          <w:lang w:val="nl-BE"/>
        </w:rPr>
        <w:t xml:space="preserve">MI </w:t>
      </w:r>
      <w:r>
        <w:rPr>
          <w:lang w:val="nl-BE"/>
        </w:rPr>
        <w:t>hiervan op de hoogte te brengen.</w:t>
      </w:r>
    </w:p>
    <w:p w14:paraId="751CE794" w14:textId="408644DB" w:rsidR="001C254C" w:rsidRDefault="001C254C" w:rsidP="001C254C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De opslagvoorwaarden na te leven, opgelegd door de fabrikant evenals de FAVV-regelgeving.</w:t>
      </w:r>
    </w:p>
    <w:p w14:paraId="7A0C67DC" w14:textId="27B4AFA4" w:rsidR="001C254C" w:rsidRDefault="001C254C" w:rsidP="001C254C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Een systeem op te zetten waardoor de traceerbaarheid van de levensmiddelen kan worden gegarandeerd tot aan de ontvangst door de bestemmeling.</w:t>
      </w:r>
    </w:p>
    <w:p w14:paraId="03137013" w14:textId="2347C14B" w:rsidR="00B72EBD" w:rsidRDefault="001C254C" w:rsidP="00B72EBD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B72EBD">
        <w:rPr>
          <w:lang w:val="nl-BE"/>
        </w:rPr>
        <w:t>De herverdeling van de levensmiddelen te waarborgen uiterlijk binnen de 6 weken na de levering. Hier kan een uitzondering worden op gemaakt wanneer de relaisorganisatie/ centrale opslagplaats de goederen langer stockeert om de bestemmelingen te ontlasten.</w:t>
      </w:r>
    </w:p>
    <w:p w14:paraId="12CF0E19" w14:textId="0A424370" w:rsidR="00B72EBD" w:rsidRPr="00B72EBD" w:rsidRDefault="00B72EBD" w:rsidP="00B72EBD">
      <w:pPr>
        <w:pStyle w:val="Lijstalinea"/>
        <w:spacing w:after="0" w:line="240" w:lineRule="auto"/>
        <w:jc w:val="both"/>
        <w:rPr>
          <w:lang w:val="nl-BE"/>
        </w:rPr>
      </w:pPr>
      <w:r>
        <w:rPr>
          <w:lang w:val="nl-BE"/>
        </w:rPr>
        <w:lastRenderedPageBreak/>
        <w:t xml:space="preserve">Wanneer de kandidaat stockeert voor </w:t>
      </w:r>
      <w:r w:rsidR="00901EB8">
        <w:rPr>
          <w:lang w:val="nl-BE"/>
        </w:rPr>
        <w:t xml:space="preserve">haar organisaties, moet de stock actief worden opgevolgd zodat de voedingsmiddelen ruim voor het verstrijken van de houdbaarheidsdatum de verdelende organisaties bereiken. </w:t>
      </w:r>
    </w:p>
    <w:p w14:paraId="6004637A" w14:textId="7E6711D4" w:rsidR="00B72EBD" w:rsidRPr="00B72EBD" w:rsidRDefault="003B6081" w:rsidP="005D143F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B72EBD">
        <w:rPr>
          <w:lang w:val="nl-BE"/>
        </w:rPr>
        <w:t xml:space="preserve">De ontvangende organisaties een </w:t>
      </w:r>
      <w:proofErr w:type="spellStart"/>
      <w:r w:rsidRPr="00B72EBD">
        <w:rPr>
          <w:lang w:val="nl-BE"/>
        </w:rPr>
        <w:t>leverbon</w:t>
      </w:r>
      <w:proofErr w:type="spellEnd"/>
      <w:r w:rsidRPr="00B72EBD">
        <w:rPr>
          <w:lang w:val="nl-BE"/>
        </w:rPr>
        <w:t xml:space="preserve">/ </w:t>
      </w:r>
      <w:proofErr w:type="spellStart"/>
      <w:r w:rsidRPr="00B72EBD">
        <w:rPr>
          <w:lang w:val="nl-BE"/>
        </w:rPr>
        <w:t>afhaalbon</w:t>
      </w:r>
      <w:proofErr w:type="spellEnd"/>
      <w:r w:rsidRPr="00B72EBD">
        <w:rPr>
          <w:lang w:val="nl-BE"/>
        </w:rPr>
        <w:t xml:space="preserve"> te laten ondertekenen bij </w:t>
      </w:r>
      <w:r w:rsidR="00E74FCD">
        <w:rPr>
          <w:lang w:val="nl-BE"/>
        </w:rPr>
        <w:t xml:space="preserve">de </w:t>
      </w:r>
      <w:r w:rsidRPr="00B72EBD">
        <w:rPr>
          <w:lang w:val="nl-BE"/>
        </w:rPr>
        <w:t>overdracht van</w:t>
      </w:r>
      <w:r w:rsidR="00E74FCD">
        <w:rPr>
          <w:lang w:val="nl-BE"/>
        </w:rPr>
        <w:t xml:space="preserve"> de</w:t>
      </w:r>
      <w:r w:rsidRPr="00B72EBD">
        <w:rPr>
          <w:lang w:val="nl-BE"/>
        </w:rPr>
        <w:t xml:space="preserve"> levensmiddelen.</w:t>
      </w:r>
    </w:p>
    <w:p w14:paraId="60BDC602" w14:textId="7848E21C" w:rsidR="00B72EBD" w:rsidRPr="00B72EBD" w:rsidRDefault="003B6081" w:rsidP="00B72EBD">
      <w:pPr>
        <w:pStyle w:val="Lijstalinea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Een voorraadboekhouding bij te houden van de inkomende en uitgaande volumes. Deze voorraadboekhouding moet vergeleken kunnen worden (en overeenstemmen) met de fysieke stock.</w:t>
      </w:r>
    </w:p>
    <w:p w14:paraId="2CE5449F" w14:textId="77777777" w:rsidR="00535F66" w:rsidRPr="00535F66" w:rsidRDefault="00535F66" w:rsidP="00FA392F">
      <w:pPr>
        <w:spacing w:after="0" w:line="240" w:lineRule="auto"/>
        <w:jc w:val="both"/>
        <w:rPr>
          <w:lang w:val="nl-BE"/>
        </w:rPr>
      </w:pPr>
    </w:p>
    <w:p w14:paraId="321A3A40" w14:textId="65537E6E" w:rsidR="00135F93" w:rsidRPr="00535F66" w:rsidRDefault="00535F66" w:rsidP="00135F93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BE"/>
        </w:rPr>
      </w:pPr>
      <w:r w:rsidRPr="00535F66">
        <w:rPr>
          <w:b/>
          <w:bCs/>
          <w:lang w:val="nl-BE"/>
        </w:rPr>
        <w:t>De voorwaarden van de oproep tot kandidaturen</w:t>
      </w:r>
    </w:p>
    <w:p w14:paraId="4F2632BA" w14:textId="4970FE87" w:rsidR="00535F66" w:rsidRDefault="00535F66" w:rsidP="00535F66">
      <w:pPr>
        <w:spacing w:after="0" w:line="240" w:lineRule="auto"/>
        <w:jc w:val="both"/>
        <w:rPr>
          <w:lang w:val="nl-BE"/>
        </w:rPr>
      </w:pPr>
    </w:p>
    <w:p w14:paraId="2D934B9F" w14:textId="7A58CB0D" w:rsidR="003F5CA7" w:rsidRDefault="003F5CA7" w:rsidP="00FE6C2C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Een kandidaat moet voor </w:t>
      </w:r>
      <w:r w:rsidRPr="001B7EF1">
        <w:rPr>
          <w:b/>
          <w:bCs/>
          <w:lang w:val="nl-BE"/>
        </w:rPr>
        <w:t>minstens 15 partnerorganisaties</w:t>
      </w:r>
      <w:r>
        <w:rPr>
          <w:lang w:val="nl-BE"/>
        </w:rPr>
        <w:t xml:space="preserve">, organisaties actief in het kader van het ESF+, vzw’s en/ of </w:t>
      </w:r>
      <w:proofErr w:type="spellStart"/>
      <w:r>
        <w:rPr>
          <w:lang w:val="nl-BE"/>
        </w:rPr>
        <w:t>OCMW’s</w:t>
      </w:r>
      <w:proofErr w:type="spellEnd"/>
      <w:r>
        <w:rPr>
          <w:lang w:val="nl-BE"/>
        </w:rPr>
        <w:t xml:space="preserve">, de goederen ontvangen van de leveranciers. </w:t>
      </w:r>
    </w:p>
    <w:p w14:paraId="4C61F147" w14:textId="5F8E9CD1" w:rsidR="00FE6C2C" w:rsidRPr="003F5CA7" w:rsidRDefault="003F5CA7" w:rsidP="003F5CA7">
      <w:pPr>
        <w:pStyle w:val="Lijstalinea"/>
        <w:spacing w:after="0" w:line="240" w:lineRule="auto"/>
        <w:ind w:left="1080"/>
        <w:jc w:val="both"/>
        <w:rPr>
          <w:lang w:val="nl-BE"/>
        </w:rPr>
      </w:pPr>
      <w:r>
        <w:rPr>
          <w:lang w:val="nl-BE"/>
        </w:rPr>
        <w:t xml:space="preserve">Een lijst van deze organisaties moet aan de kandidatuur worden toegevoegd </w:t>
      </w:r>
      <w:r w:rsidR="00FE6C2C" w:rsidRPr="003F5CA7">
        <w:rPr>
          <w:b/>
          <w:bCs/>
          <w:lang w:val="nl-BE"/>
        </w:rPr>
        <w:t>met referentie naar de unieke identificatienummers die de POD Maatschappelijke Integratie gebruikt in het kader van de voedselhulpcampagnes.</w:t>
      </w:r>
    </w:p>
    <w:p w14:paraId="27A53CF3" w14:textId="619F79D0" w:rsidR="00FE6C2C" w:rsidRDefault="00FE6C2C" w:rsidP="00FE6C2C">
      <w:pPr>
        <w:pStyle w:val="Lijstalinea"/>
        <w:spacing w:after="0" w:line="240" w:lineRule="auto"/>
        <w:ind w:left="1080"/>
        <w:jc w:val="both"/>
        <w:rPr>
          <w:lang w:val="nl-BE"/>
        </w:rPr>
      </w:pPr>
      <w:r>
        <w:rPr>
          <w:lang w:val="nl-BE"/>
        </w:rPr>
        <w:t xml:space="preserve">De organisaties die actief waren in het kader van het FEAD zijn </w:t>
      </w:r>
      <w:hyperlink r:id="rId10" w:history="1">
        <w:r w:rsidRPr="00FE6C2C">
          <w:rPr>
            <w:rStyle w:val="Hyperlink"/>
            <w:lang w:val="nl-BE"/>
          </w:rPr>
          <w:t>hier</w:t>
        </w:r>
      </w:hyperlink>
      <w:r>
        <w:rPr>
          <w:lang w:val="nl-BE"/>
        </w:rPr>
        <w:t xml:space="preserve"> terug te vinden.</w:t>
      </w:r>
    </w:p>
    <w:p w14:paraId="40694136" w14:textId="754A3DA1" w:rsidR="00B2520C" w:rsidRDefault="00CD7C50" w:rsidP="00B2520C">
      <w:pPr>
        <w:pStyle w:val="Lijstalinea"/>
        <w:spacing w:after="0" w:line="240" w:lineRule="auto"/>
        <w:ind w:left="1080"/>
        <w:jc w:val="both"/>
        <w:rPr>
          <w:lang w:val="nl-BE"/>
        </w:rPr>
      </w:pPr>
      <w:r>
        <w:rPr>
          <w:lang w:val="nl-BE"/>
        </w:rPr>
        <w:t xml:space="preserve">De financiering zal worden toegewezen aan de hand van een forfait van 7% van de waarde van </w:t>
      </w:r>
      <w:r w:rsidR="00481FAA">
        <w:rPr>
          <w:lang w:val="nl-BE"/>
        </w:rPr>
        <w:t>de ESF+-</w:t>
      </w:r>
      <w:r>
        <w:rPr>
          <w:lang w:val="nl-BE"/>
        </w:rPr>
        <w:t>voedingsmiddelen toegewezen aan de vertegenwoordigde organisaties.</w:t>
      </w:r>
    </w:p>
    <w:p w14:paraId="3C2B5036" w14:textId="75170223" w:rsidR="00B2520C" w:rsidRPr="00B2520C" w:rsidRDefault="00B2520C" w:rsidP="00B2520C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Voor het organiseren van de herverdelingen mogen geen kosten worden aangerekend wanneer de voedselhulporganisaties de producten</w:t>
      </w:r>
      <w:r w:rsidR="003F5CA7">
        <w:rPr>
          <w:lang w:val="nl-BE"/>
        </w:rPr>
        <w:t xml:space="preserve"> tijdig</w:t>
      </w:r>
      <w:r>
        <w:rPr>
          <w:lang w:val="nl-BE"/>
        </w:rPr>
        <w:t xml:space="preserve"> komen afhalen. </w:t>
      </w:r>
    </w:p>
    <w:p w14:paraId="37A5A6BE" w14:textId="3931A3E4" w:rsidR="002F1941" w:rsidRDefault="00B85B4B" w:rsidP="002F1941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Enkel kandidaturen van overheidsinstanties of non-profitorganisaties </w:t>
      </w:r>
      <w:r w:rsidR="002F1941">
        <w:rPr>
          <w:lang w:val="nl-BE"/>
        </w:rPr>
        <w:t>worden in aanmerking genomen.</w:t>
      </w:r>
      <w:r w:rsidR="00C258F3">
        <w:rPr>
          <w:lang w:val="nl-BE"/>
        </w:rPr>
        <w:t xml:space="preserve"> </w:t>
      </w:r>
    </w:p>
    <w:p w14:paraId="63F3B651" w14:textId="3FD38C9E" w:rsidR="002F1941" w:rsidRDefault="00FE6C2C" w:rsidP="002F1941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Een kandidaat moet ervaring hebben met de sector van de voedselhulp.</w:t>
      </w:r>
    </w:p>
    <w:p w14:paraId="31C66EA1" w14:textId="28FC6779" w:rsidR="0091323F" w:rsidRDefault="0091323F" w:rsidP="002F1941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Een kandidaat moet ervaring hebben met het ontvangen, stockeren en herverdelen van grote volumes levensmiddelen</w:t>
      </w:r>
      <w:r w:rsidR="006B144A">
        <w:rPr>
          <w:lang w:val="nl-BE"/>
        </w:rPr>
        <w:t xml:space="preserve"> en dient over een beproefd voorraadbeheersysteem te beschikken. </w:t>
      </w:r>
    </w:p>
    <w:p w14:paraId="08B86095" w14:textId="60BC78BC" w:rsidR="003B6081" w:rsidRPr="00901EB8" w:rsidRDefault="0091323F" w:rsidP="003B6081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De kandidaat moet over voldoende stockageruimte beschikken, in functie van het aantal te bevoorraden organisaties</w:t>
      </w:r>
      <w:r w:rsidR="00901EB8">
        <w:rPr>
          <w:lang w:val="nl-BE"/>
        </w:rPr>
        <w:t>.</w:t>
      </w:r>
    </w:p>
    <w:p w14:paraId="48C7FF16" w14:textId="02CE1B07" w:rsidR="00901EB8" w:rsidRPr="00901EB8" w:rsidRDefault="00901EB8" w:rsidP="00901EB8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De opslagruimte </w:t>
      </w:r>
      <w:r w:rsidR="003F5CA7">
        <w:rPr>
          <w:lang w:val="nl-BE"/>
        </w:rPr>
        <w:t xml:space="preserve">en omgeving </w:t>
      </w:r>
      <w:r>
        <w:rPr>
          <w:lang w:val="nl-BE"/>
        </w:rPr>
        <w:t>van de kandidaat moet geschikt zijn om standaardvrachtwagens van 30-33 paletten te ontvangen.</w:t>
      </w:r>
    </w:p>
    <w:p w14:paraId="5E8A9716" w14:textId="420BFC29" w:rsidR="00901EB8" w:rsidRPr="00901EB8" w:rsidRDefault="00901EB8" w:rsidP="00901EB8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De opslagruimte van de </w:t>
      </w:r>
      <w:r w:rsidRPr="00D20921">
        <w:rPr>
          <w:lang w:val="nl-BE"/>
        </w:rPr>
        <w:t>kandidaat moet logistiek zijn uitgerust om grote volumes levensmiddelen te verwerken (</w:t>
      </w:r>
      <w:r w:rsidR="00D20921" w:rsidRPr="00D20921">
        <w:rPr>
          <w:lang w:val="nl-BE"/>
        </w:rPr>
        <w:t>transpalet, heftruck</w:t>
      </w:r>
      <w:r w:rsidR="006B144A">
        <w:rPr>
          <w:lang w:val="nl-BE"/>
        </w:rPr>
        <w:t xml:space="preserve">, laad- en loskade, voldoende vervoerscapaciteit). </w:t>
      </w:r>
    </w:p>
    <w:p w14:paraId="33718B25" w14:textId="69A86806" w:rsidR="004C264F" w:rsidRDefault="00481FAA" w:rsidP="004C264F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Enkel volledig ingevulde formulieren voor kandidaatstelling worden in aanmerking genomen.</w:t>
      </w:r>
    </w:p>
    <w:p w14:paraId="47DF8CB2" w14:textId="2850A660" w:rsidR="004C264F" w:rsidRPr="004C264F" w:rsidRDefault="004C264F" w:rsidP="004C264F">
      <w:pPr>
        <w:pStyle w:val="Lijstalinea"/>
        <w:numPr>
          <w:ilvl w:val="1"/>
          <w:numId w:val="28"/>
        </w:numPr>
        <w:spacing w:after="0" w:line="240" w:lineRule="auto"/>
        <w:jc w:val="both"/>
        <w:rPr>
          <w:lang w:val="nl-BE"/>
        </w:rPr>
      </w:pPr>
      <w:r w:rsidRPr="004C264F">
        <w:rPr>
          <w:lang w:val="nl-BE"/>
        </w:rPr>
        <w:t xml:space="preserve">Na een positieve evaluatie van de kandidatuur wordt de </w:t>
      </w:r>
      <w:r w:rsidR="003F5CA7">
        <w:rPr>
          <w:lang w:val="nl-BE"/>
        </w:rPr>
        <w:t>relaisorganisatie/ centrale opslagplaats in principe</w:t>
      </w:r>
      <w:r w:rsidRPr="004C264F">
        <w:rPr>
          <w:lang w:val="nl-BE"/>
        </w:rPr>
        <w:t xml:space="preserve"> aangeduid voor de hele duur van de programmaperiode, hetzij van de campagne 2024 (start einde 2023) tot en met de voedselhulpcampagne 2028 (hetzij einde 2028). De geselectee</w:t>
      </w:r>
      <w:r>
        <w:rPr>
          <w:lang w:val="nl-BE"/>
        </w:rPr>
        <w:t xml:space="preserve">rde </w:t>
      </w:r>
      <w:r w:rsidRPr="004C264F">
        <w:rPr>
          <w:lang w:val="nl-BE"/>
        </w:rPr>
        <w:t xml:space="preserve">kandidaten nemen dus een engagement op tot einde 2028. </w:t>
      </w:r>
    </w:p>
    <w:p w14:paraId="4BBF1CC8" w14:textId="77777777" w:rsidR="00FE6C2C" w:rsidRDefault="00FE6C2C" w:rsidP="00135F93">
      <w:pPr>
        <w:spacing w:after="0" w:line="240" w:lineRule="auto"/>
        <w:jc w:val="both"/>
        <w:rPr>
          <w:lang w:val="nl-BE"/>
        </w:rPr>
      </w:pPr>
    </w:p>
    <w:p w14:paraId="21A482D6" w14:textId="77777777" w:rsidR="00FE6C2C" w:rsidRPr="00B85B4B" w:rsidRDefault="00FE6C2C" w:rsidP="00FE6C2C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BE"/>
        </w:rPr>
      </w:pPr>
      <w:r w:rsidRPr="00B85B4B">
        <w:rPr>
          <w:b/>
          <w:bCs/>
          <w:lang w:val="nl-BE"/>
        </w:rPr>
        <w:t>Beoordeling van de kandidaturen</w:t>
      </w:r>
    </w:p>
    <w:p w14:paraId="3F3C0AAF" w14:textId="77777777" w:rsidR="00FE6C2C" w:rsidRDefault="00FE6C2C" w:rsidP="00FE6C2C">
      <w:pPr>
        <w:spacing w:after="0" w:line="240" w:lineRule="auto"/>
        <w:jc w:val="both"/>
        <w:rPr>
          <w:lang w:val="nl-BE"/>
        </w:rPr>
      </w:pPr>
    </w:p>
    <w:p w14:paraId="5A68F544" w14:textId="55A290E4" w:rsidR="00CB2280" w:rsidRDefault="00FE6C2C" w:rsidP="00CB2280">
      <w:pPr>
        <w:spacing w:after="0" w:line="240" w:lineRule="auto"/>
        <w:jc w:val="both"/>
        <w:rPr>
          <w:lang w:val="nl-BE"/>
        </w:rPr>
      </w:pPr>
      <w:r w:rsidRPr="00CB2280">
        <w:rPr>
          <w:lang w:val="nl-BE"/>
        </w:rPr>
        <w:t xml:space="preserve">Er zullen maximum </w:t>
      </w:r>
      <w:r w:rsidRPr="00CB2280">
        <w:rPr>
          <w:b/>
          <w:bCs/>
          <w:lang w:val="nl-BE"/>
        </w:rPr>
        <w:t xml:space="preserve">10 </w:t>
      </w:r>
      <w:r w:rsidR="003B6081">
        <w:rPr>
          <w:b/>
          <w:bCs/>
          <w:lang w:val="nl-BE"/>
        </w:rPr>
        <w:t>relais</w:t>
      </w:r>
      <w:r w:rsidRPr="00CB2280">
        <w:rPr>
          <w:b/>
          <w:bCs/>
          <w:lang w:val="nl-BE"/>
        </w:rPr>
        <w:t>organisaties</w:t>
      </w:r>
      <w:r w:rsidR="003B6081">
        <w:rPr>
          <w:b/>
          <w:bCs/>
          <w:lang w:val="nl-BE"/>
        </w:rPr>
        <w:t>/ centrale opslagplaatsen</w:t>
      </w:r>
      <w:r w:rsidRPr="00CB2280">
        <w:rPr>
          <w:lang w:val="nl-BE"/>
        </w:rPr>
        <w:t xml:space="preserve"> op het grondgebied erkend worden. De </w:t>
      </w:r>
      <w:r w:rsidR="001B7EF1">
        <w:rPr>
          <w:lang w:val="nl-BE"/>
        </w:rPr>
        <w:t>relais</w:t>
      </w:r>
      <w:r w:rsidRPr="00CB2280">
        <w:rPr>
          <w:lang w:val="nl-BE"/>
        </w:rPr>
        <w:t>organisaties</w:t>
      </w:r>
      <w:r w:rsidR="001B7EF1">
        <w:rPr>
          <w:lang w:val="nl-BE"/>
        </w:rPr>
        <w:t>/ centrale opslagplaatsen</w:t>
      </w:r>
      <w:r w:rsidRPr="00CB2280">
        <w:rPr>
          <w:lang w:val="nl-BE"/>
        </w:rPr>
        <w:t xml:space="preserve"> zullen worden geselecteerd op </w:t>
      </w:r>
      <w:r w:rsidRPr="00CB2280">
        <w:rPr>
          <w:lang w:val="nl-BE"/>
        </w:rPr>
        <w:lastRenderedPageBreak/>
        <w:t>basis van hun ervaring in dit gebied.</w:t>
      </w:r>
      <w:r w:rsidR="00B72EBD">
        <w:rPr>
          <w:lang w:val="nl-BE"/>
        </w:rPr>
        <w:tab/>
      </w:r>
      <w:r w:rsidR="00B72EBD">
        <w:rPr>
          <w:lang w:val="nl-BE"/>
        </w:rPr>
        <w:br/>
        <w:t>De expertise van de kandidaat moet voldoende overtuigend zijn gezien de verstrekkende gevolgen wanneer een relaisorganisatie/ centrale opslagplaats niet goed functioneert.</w:t>
      </w:r>
    </w:p>
    <w:p w14:paraId="2187F92B" w14:textId="77777777" w:rsidR="00CB2280" w:rsidRDefault="00CB2280" w:rsidP="00CB2280">
      <w:pPr>
        <w:spacing w:after="0" w:line="240" w:lineRule="auto"/>
        <w:jc w:val="both"/>
        <w:rPr>
          <w:lang w:val="nl-BE"/>
        </w:rPr>
      </w:pPr>
    </w:p>
    <w:p w14:paraId="569AE9FD" w14:textId="77777777" w:rsidR="00CD7C50" w:rsidRPr="00CD7C50" w:rsidRDefault="00E66BE1" w:rsidP="00CB2280">
      <w:pPr>
        <w:spacing w:after="0" w:line="240" w:lineRule="auto"/>
        <w:jc w:val="both"/>
        <w:rPr>
          <w:b/>
          <w:bCs/>
          <w:lang w:val="nl-BE"/>
        </w:rPr>
      </w:pPr>
      <w:r w:rsidRPr="00CD7C50">
        <w:rPr>
          <w:b/>
          <w:bCs/>
          <w:lang w:val="nl-BE"/>
        </w:rPr>
        <w:t xml:space="preserve">Wanneer er meer dan 10 kandidaturen worden ingediend zal een beslissing worden genomen in functie van de ervaring </w:t>
      </w:r>
      <w:r w:rsidR="00CB2280" w:rsidRPr="00CD7C50">
        <w:rPr>
          <w:b/>
          <w:bCs/>
          <w:lang w:val="nl-BE"/>
        </w:rPr>
        <w:t xml:space="preserve">van de kandidaat </w:t>
      </w:r>
      <w:r w:rsidR="009E1E92" w:rsidRPr="00CD7C50">
        <w:rPr>
          <w:b/>
          <w:bCs/>
          <w:lang w:val="nl-BE"/>
        </w:rPr>
        <w:t xml:space="preserve">en de plannen met de forfait </w:t>
      </w:r>
      <w:r w:rsidR="00CB2280" w:rsidRPr="00CD7C50">
        <w:rPr>
          <w:b/>
          <w:bCs/>
          <w:lang w:val="nl-BE"/>
        </w:rPr>
        <w:t>enerzijds en anderzijds het aantal partnerorganisaties die de kandidaat vertegenwoordigt.</w:t>
      </w:r>
      <w:r w:rsidR="00BF7898" w:rsidRPr="00CD7C50">
        <w:rPr>
          <w:b/>
          <w:bCs/>
          <w:lang w:val="nl-BE"/>
        </w:rPr>
        <w:t xml:space="preserve"> </w:t>
      </w:r>
    </w:p>
    <w:p w14:paraId="305C0F70" w14:textId="33B8FA3D" w:rsidR="00B72EBD" w:rsidRDefault="00CD7C50" w:rsidP="00CB2280">
      <w:pPr>
        <w:spacing w:after="0" w:line="240" w:lineRule="auto"/>
        <w:jc w:val="both"/>
        <w:rPr>
          <w:b/>
          <w:bCs/>
          <w:lang w:val="nl-BE"/>
        </w:rPr>
      </w:pPr>
      <w:r w:rsidRPr="00CD7C50">
        <w:rPr>
          <w:b/>
          <w:bCs/>
          <w:lang w:val="nl-BE"/>
        </w:rPr>
        <w:t>Het doel van deze oproep is immers dat alle organisaties actief in het kader van het voedselhulpprogramma worden vertegenwoordigd</w:t>
      </w:r>
      <w:r w:rsidR="00481FAA">
        <w:rPr>
          <w:b/>
          <w:bCs/>
          <w:lang w:val="nl-BE"/>
        </w:rPr>
        <w:t>.</w:t>
      </w:r>
    </w:p>
    <w:p w14:paraId="337B9179" w14:textId="26888D39" w:rsidR="00CD7C50" w:rsidRPr="00CD7C50" w:rsidRDefault="00CD7C50" w:rsidP="00CB2280">
      <w:pPr>
        <w:spacing w:after="0" w:line="240" w:lineRule="auto"/>
        <w:jc w:val="both"/>
        <w:rPr>
          <w:b/>
          <w:bCs/>
          <w:lang w:val="nl-BE"/>
        </w:rPr>
      </w:pPr>
    </w:p>
    <w:p w14:paraId="5F9E9B5F" w14:textId="7421F4D1" w:rsidR="00CD7C50" w:rsidRPr="00CD7C50" w:rsidRDefault="00CD7C50" w:rsidP="00CD7C50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BE"/>
        </w:rPr>
      </w:pPr>
      <w:r w:rsidRPr="00CD7C50">
        <w:rPr>
          <w:b/>
          <w:bCs/>
          <w:lang w:val="nl-BE"/>
        </w:rPr>
        <w:t>Controle</w:t>
      </w:r>
    </w:p>
    <w:p w14:paraId="2D83D1E0" w14:textId="77777777" w:rsidR="00CD7C50" w:rsidRDefault="00CD7C50" w:rsidP="00CB2280">
      <w:pPr>
        <w:spacing w:after="0" w:line="240" w:lineRule="auto"/>
        <w:jc w:val="both"/>
        <w:rPr>
          <w:lang w:val="nl-BE"/>
        </w:rPr>
      </w:pPr>
    </w:p>
    <w:p w14:paraId="3E5101DC" w14:textId="70A844E3" w:rsidR="003B6081" w:rsidRDefault="003B6081" w:rsidP="00135F93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Er zal jaarlijks een controle ter plaatse worden uitgevoerd met als doel te verifiëren of de modaliteiten van de overeenkomst werden gerespecteerd.</w:t>
      </w:r>
    </w:p>
    <w:p w14:paraId="2DD31855" w14:textId="16592EA7" w:rsidR="00481FAA" w:rsidRPr="004C264F" w:rsidRDefault="00481FAA" w:rsidP="00135F93">
      <w:pPr>
        <w:spacing w:after="0" w:line="240" w:lineRule="auto"/>
        <w:jc w:val="both"/>
        <w:rPr>
          <w:b/>
          <w:bCs/>
          <w:lang w:val="nl-BE"/>
        </w:rPr>
      </w:pPr>
    </w:p>
    <w:p w14:paraId="765F71DD" w14:textId="29CC2418" w:rsidR="00481FAA" w:rsidRPr="004C264F" w:rsidRDefault="004C264F" w:rsidP="004C264F">
      <w:pPr>
        <w:pStyle w:val="Lijstalinea"/>
        <w:numPr>
          <w:ilvl w:val="0"/>
          <w:numId w:val="28"/>
        </w:numPr>
        <w:spacing w:after="0" w:line="240" w:lineRule="auto"/>
        <w:jc w:val="both"/>
        <w:rPr>
          <w:b/>
          <w:bCs/>
          <w:lang w:val="nl-BE"/>
        </w:rPr>
      </w:pPr>
      <w:r w:rsidRPr="004C264F">
        <w:rPr>
          <w:b/>
          <w:bCs/>
          <w:lang w:val="nl-BE"/>
        </w:rPr>
        <w:t>H</w:t>
      </w:r>
      <w:r w:rsidR="00C76B02">
        <w:rPr>
          <w:b/>
          <w:bCs/>
          <w:lang w:val="nl-BE"/>
        </w:rPr>
        <w:t>oe</w:t>
      </w:r>
      <w:r w:rsidRPr="004C264F">
        <w:rPr>
          <w:b/>
          <w:bCs/>
          <w:lang w:val="nl-BE"/>
        </w:rPr>
        <w:t xml:space="preserve"> zich kandidaat stellen?</w:t>
      </w:r>
    </w:p>
    <w:p w14:paraId="0BFB861C" w14:textId="4B54960C" w:rsidR="00DE5D7C" w:rsidRDefault="00DE5D7C" w:rsidP="00FA392F">
      <w:pPr>
        <w:spacing w:after="0" w:line="240" w:lineRule="auto"/>
        <w:jc w:val="both"/>
        <w:rPr>
          <w:lang w:val="nl-BE"/>
        </w:rPr>
      </w:pPr>
    </w:p>
    <w:p w14:paraId="75668017" w14:textId="7EA4E49B" w:rsidR="00C258F3" w:rsidRDefault="00DE5D7C" w:rsidP="00FA392F">
      <w:pPr>
        <w:spacing w:after="0" w:line="240" w:lineRule="auto"/>
        <w:jc w:val="both"/>
        <w:rPr>
          <w:rStyle w:val="Hyperlink"/>
          <w:b/>
          <w:bCs/>
          <w:lang w:val="nl-BE"/>
        </w:rPr>
      </w:pPr>
      <w:r>
        <w:rPr>
          <w:lang w:val="nl-BE"/>
        </w:rPr>
        <w:t xml:space="preserve">Wenst u graag uw kandidatuur in te dienen als </w:t>
      </w:r>
      <w:r w:rsidR="00E55933">
        <w:rPr>
          <w:lang w:val="nl-BE"/>
        </w:rPr>
        <w:t>relaisorganisatie/ centrale opslagplaats</w:t>
      </w:r>
      <w:r>
        <w:rPr>
          <w:lang w:val="nl-BE"/>
        </w:rPr>
        <w:t>? Vul dan het formulier in bijlage nauwkeurig in en bezorg ons alle gevraagd informatie.</w:t>
      </w:r>
      <w:r>
        <w:rPr>
          <w:lang w:val="nl-BE"/>
        </w:rPr>
        <w:tab/>
      </w:r>
      <w:r>
        <w:rPr>
          <w:lang w:val="nl-BE"/>
        </w:rPr>
        <w:br/>
        <w:t>Enkel volledig ingevulde formulieren zullen in aanmerking genomen worden.</w:t>
      </w:r>
      <w:r>
        <w:rPr>
          <w:lang w:val="nl-BE"/>
        </w:rPr>
        <w:tab/>
      </w:r>
      <w:r>
        <w:rPr>
          <w:lang w:val="nl-BE"/>
        </w:rPr>
        <w:br/>
      </w:r>
      <w:r w:rsidRPr="00A43570">
        <w:rPr>
          <w:b/>
          <w:bCs/>
          <w:lang w:val="nl-BE"/>
        </w:rPr>
        <w:t xml:space="preserve">Ingevulde formulieren moeten uiterlijk op </w:t>
      </w:r>
      <w:r w:rsidR="00FE6C2C">
        <w:rPr>
          <w:b/>
          <w:bCs/>
          <w:lang w:val="nl-BE"/>
        </w:rPr>
        <w:t>20/</w:t>
      </w:r>
      <w:r w:rsidRPr="00A43570">
        <w:rPr>
          <w:b/>
          <w:bCs/>
          <w:lang w:val="nl-BE"/>
        </w:rPr>
        <w:t xml:space="preserve">09/2023 via mail worden gestuurd naar </w:t>
      </w:r>
      <w:hyperlink r:id="rId11" w:history="1">
        <w:r w:rsidR="00A43570" w:rsidRPr="00A43570">
          <w:rPr>
            <w:rStyle w:val="Hyperlink"/>
            <w:b/>
            <w:bCs/>
            <w:lang w:val="nl-BE"/>
          </w:rPr>
          <w:t>voeding@mi-is.be</w:t>
        </w:r>
      </w:hyperlink>
    </w:p>
    <w:p w14:paraId="134AB1BD" w14:textId="3391621F" w:rsidR="00C258F3" w:rsidRPr="00B54EC7" w:rsidRDefault="00C258F3" w:rsidP="00FA392F">
      <w:pPr>
        <w:spacing w:after="0" w:line="240" w:lineRule="auto"/>
        <w:jc w:val="both"/>
        <w:rPr>
          <w:lang w:val="nl-BE"/>
        </w:rPr>
      </w:pPr>
    </w:p>
    <w:p w14:paraId="6B6E1D85" w14:textId="0F885A25" w:rsidR="00C258F3" w:rsidRPr="00C258F3" w:rsidRDefault="00C258F3" w:rsidP="00FA392F">
      <w:pPr>
        <w:spacing w:after="0" w:line="240" w:lineRule="auto"/>
        <w:jc w:val="both"/>
        <w:rPr>
          <w:b/>
          <w:bCs/>
          <w:lang w:val="nl-BE"/>
        </w:rPr>
      </w:pPr>
      <w:r w:rsidRPr="00C258F3">
        <w:rPr>
          <w:b/>
          <w:bCs/>
          <w:lang w:val="nl-BE"/>
        </w:rPr>
        <w:t xml:space="preserve">Vragen over de oproep of over het invullen van het formulier kunnen via mail gesteld worden via </w:t>
      </w:r>
      <w:hyperlink r:id="rId12" w:history="1">
        <w:r w:rsidRPr="00C258F3">
          <w:rPr>
            <w:rStyle w:val="Hyperlink"/>
            <w:b/>
            <w:bCs/>
            <w:lang w:val="nl-BE"/>
          </w:rPr>
          <w:t>voeding@mi-is.be</w:t>
        </w:r>
      </w:hyperlink>
      <w:r w:rsidRPr="00C258F3">
        <w:rPr>
          <w:b/>
          <w:bCs/>
          <w:lang w:val="nl-BE"/>
        </w:rPr>
        <w:t xml:space="preserve"> en dit tot en met 13/09/2023. </w:t>
      </w:r>
    </w:p>
    <w:p w14:paraId="42280C37" w14:textId="77777777" w:rsidR="00A43570" w:rsidRDefault="00A43570">
      <w:pPr>
        <w:rPr>
          <w:lang w:val="nl-BE"/>
        </w:rPr>
      </w:pPr>
      <w:r>
        <w:rPr>
          <w:lang w:val="nl-BE"/>
        </w:rPr>
        <w:br w:type="page"/>
      </w:r>
    </w:p>
    <w:p w14:paraId="00230538" w14:textId="5891B748" w:rsidR="00DE5D7C" w:rsidRPr="00A43570" w:rsidRDefault="00A43570" w:rsidP="00A43570">
      <w:pPr>
        <w:pStyle w:val="Geenafstand"/>
        <w:jc w:val="both"/>
        <w:rPr>
          <w:rFonts w:ascii="Gill Sans MT" w:hAnsi="Gill Sans MT"/>
          <w:b/>
          <w:caps/>
          <w:color w:val="548DD4"/>
          <w:kern w:val="28"/>
          <w:sz w:val="24"/>
          <w:szCs w:val="28"/>
          <w:lang w:val="nl-BE"/>
        </w:rPr>
      </w:pPr>
      <w:r>
        <w:rPr>
          <w:b/>
          <w:bCs/>
          <w:noProof/>
          <w:lang w:val="nl-BE"/>
        </w:rPr>
        <w:lastRenderedPageBreak/>
        <w:drawing>
          <wp:anchor distT="0" distB="0" distL="114300" distR="114300" simplePos="0" relativeHeight="251659264" behindDoc="1" locked="0" layoutInCell="1" allowOverlap="1" wp14:anchorId="252F855E" wp14:editId="4ACB85E3">
            <wp:simplePos x="0" y="0"/>
            <wp:positionH relativeFrom="margin">
              <wp:align>right</wp:align>
            </wp:positionH>
            <wp:positionV relativeFrom="paragraph">
              <wp:posOffset>-658952</wp:posOffset>
            </wp:positionV>
            <wp:extent cx="2611526" cy="526847"/>
            <wp:effectExtent l="0" t="0" r="0" b="6985"/>
            <wp:wrapNone/>
            <wp:docPr id="3" name="Afbeelding 3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schermopname, lij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6" cy="52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570">
        <w:rPr>
          <w:rFonts w:ascii="Gill Sans MT" w:hAnsi="Gill Sans MT"/>
          <w:b/>
          <w:caps/>
          <w:color w:val="548DD4"/>
          <w:kern w:val="28"/>
          <w:sz w:val="24"/>
          <w:szCs w:val="28"/>
          <w:lang w:val="nl-BE"/>
        </w:rPr>
        <w:t xml:space="preserve">Formulier kandidaatstelling als </w:t>
      </w:r>
      <w:r w:rsidR="00901EB8">
        <w:rPr>
          <w:rFonts w:ascii="Gill Sans MT" w:hAnsi="Gill Sans MT"/>
          <w:b/>
          <w:caps/>
          <w:color w:val="548DD4"/>
          <w:kern w:val="28"/>
          <w:sz w:val="24"/>
          <w:szCs w:val="28"/>
          <w:lang w:val="nl-BE"/>
        </w:rPr>
        <w:t>RELAISOPRGANISATIE/ Centrale opslagplaats</w:t>
      </w:r>
      <w:r w:rsidRPr="00A43570">
        <w:rPr>
          <w:rFonts w:ascii="Gill Sans MT" w:hAnsi="Gill Sans MT"/>
          <w:b/>
          <w:caps/>
          <w:color w:val="548DD4"/>
          <w:kern w:val="28"/>
          <w:sz w:val="24"/>
          <w:szCs w:val="28"/>
          <w:lang w:val="nl-BE"/>
        </w:rPr>
        <w:t xml:space="preserve"> in het kader van het federaal voedselhulpprogramma onder het Europees Sociaal Fonds Plus (ESF+)</w:t>
      </w:r>
    </w:p>
    <w:p w14:paraId="2A7B298D" w14:textId="71C2F028" w:rsidR="00A43570" w:rsidRDefault="00A43570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43570" w:rsidRPr="00876740" w14:paraId="5DAD8AD5" w14:textId="77777777" w:rsidTr="00A43570">
        <w:tc>
          <w:tcPr>
            <w:tcW w:w="9062" w:type="dxa"/>
            <w:gridSpan w:val="2"/>
            <w:shd w:val="clear" w:color="auto" w:fill="DBE5F1" w:themeFill="accent1" w:themeFillTint="33"/>
          </w:tcPr>
          <w:p w14:paraId="3448889C" w14:textId="684DE924" w:rsidR="00A43570" w:rsidRPr="00A43570" w:rsidRDefault="00A43570" w:rsidP="00A43570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 organisatie die zich kandidaat stelt</w:t>
            </w:r>
            <w:r w:rsidR="003F0108">
              <w:rPr>
                <w:b/>
                <w:bCs/>
                <w:lang w:val="nl-BE"/>
              </w:rPr>
              <w:t>:</w:t>
            </w:r>
          </w:p>
        </w:tc>
      </w:tr>
      <w:tr w:rsidR="00A43570" w:rsidRPr="00876740" w14:paraId="554DC015" w14:textId="77777777" w:rsidTr="00C258F3">
        <w:tc>
          <w:tcPr>
            <w:tcW w:w="3681" w:type="dxa"/>
          </w:tcPr>
          <w:p w14:paraId="65B3F620" w14:textId="332FF859" w:rsidR="00A43570" w:rsidRPr="00C96461" w:rsidRDefault="00A43570" w:rsidP="00FA392F">
            <w:pPr>
              <w:jc w:val="both"/>
              <w:rPr>
                <w:b/>
                <w:bCs/>
                <w:lang w:val="nl-BE"/>
              </w:rPr>
            </w:pPr>
            <w:r w:rsidRPr="00C96461">
              <w:rPr>
                <w:b/>
                <w:bCs/>
                <w:lang w:val="nl-BE"/>
              </w:rPr>
              <w:t>Officiële naam van de organisatie:</w:t>
            </w:r>
          </w:p>
        </w:tc>
        <w:tc>
          <w:tcPr>
            <w:tcW w:w="5381" w:type="dxa"/>
          </w:tcPr>
          <w:p w14:paraId="43F62748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4A44263B" w14:textId="77777777" w:rsidTr="00C258F3">
        <w:tc>
          <w:tcPr>
            <w:tcW w:w="3681" w:type="dxa"/>
          </w:tcPr>
          <w:p w14:paraId="22CED80C" w14:textId="74DE0ACD" w:rsidR="00A43570" w:rsidRDefault="00A43570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Adres:</w:t>
            </w:r>
          </w:p>
        </w:tc>
        <w:tc>
          <w:tcPr>
            <w:tcW w:w="5381" w:type="dxa"/>
          </w:tcPr>
          <w:p w14:paraId="744305D8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383B7A4D" w14:textId="77777777" w:rsidTr="00C258F3">
        <w:tc>
          <w:tcPr>
            <w:tcW w:w="3681" w:type="dxa"/>
          </w:tcPr>
          <w:p w14:paraId="337B7B87" w14:textId="33DBB97A" w:rsidR="00A43570" w:rsidRDefault="00A43570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Website:</w:t>
            </w:r>
          </w:p>
        </w:tc>
        <w:tc>
          <w:tcPr>
            <w:tcW w:w="5381" w:type="dxa"/>
          </w:tcPr>
          <w:p w14:paraId="233EB892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5BC31F7C" w14:textId="77777777" w:rsidTr="00C258F3">
        <w:tc>
          <w:tcPr>
            <w:tcW w:w="3681" w:type="dxa"/>
          </w:tcPr>
          <w:p w14:paraId="5CCFBDD4" w14:textId="6BE59128" w:rsidR="00A43570" w:rsidRDefault="00A43570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Contactpersoon:</w:t>
            </w:r>
          </w:p>
        </w:tc>
        <w:tc>
          <w:tcPr>
            <w:tcW w:w="5381" w:type="dxa"/>
          </w:tcPr>
          <w:p w14:paraId="28B25066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7949FD8E" w14:textId="77777777" w:rsidTr="00C258F3">
        <w:tc>
          <w:tcPr>
            <w:tcW w:w="3681" w:type="dxa"/>
          </w:tcPr>
          <w:p w14:paraId="679BCE5B" w14:textId="770EA039" w:rsidR="00A43570" w:rsidRDefault="00A43570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Email:</w:t>
            </w:r>
          </w:p>
        </w:tc>
        <w:tc>
          <w:tcPr>
            <w:tcW w:w="5381" w:type="dxa"/>
          </w:tcPr>
          <w:p w14:paraId="5F4871FE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2237A89B" w14:textId="77777777" w:rsidTr="00C258F3">
        <w:tc>
          <w:tcPr>
            <w:tcW w:w="3681" w:type="dxa"/>
          </w:tcPr>
          <w:p w14:paraId="26911A16" w14:textId="232CBC46" w:rsidR="00A43570" w:rsidRDefault="00A43570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Telefoon:</w:t>
            </w:r>
          </w:p>
        </w:tc>
        <w:tc>
          <w:tcPr>
            <w:tcW w:w="5381" w:type="dxa"/>
          </w:tcPr>
          <w:p w14:paraId="27A28E3E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A43570" w14:paraId="73DD475C" w14:textId="77777777" w:rsidTr="00C258F3">
        <w:tc>
          <w:tcPr>
            <w:tcW w:w="3681" w:type="dxa"/>
          </w:tcPr>
          <w:p w14:paraId="4C4C121B" w14:textId="63F9100A" w:rsidR="00A43570" w:rsidRDefault="00C96461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Rechtsvorm</w:t>
            </w:r>
            <w:r w:rsidR="003F0108">
              <w:rPr>
                <w:b/>
                <w:bCs/>
                <w:lang w:val="nl-BE"/>
              </w:rPr>
              <w:t xml:space="preserve"> van de organisatie:</w:t>
            </w:r>
          </w:p>
        </w:tc>
        <w:tc>
          <w:tcPr>
            <w:tcW w:w="5381" w:type="dxa"/>
          </w:tcPr>
          <w:p w14:paraId="1D5F80CF" w14:textId="77777777" w:rsidR="00A43570" w:rsidRPr="00C96461" w:rsidRDefault="00A43570" w:rsidP="00FA392F">
            <w:pPr>
              <w:jc w:val="both"/>
              <w:rPr>
                <w:lang w:val="nl-BE"/>
              </w:rPr>
            </w:pPr>
          </w:p>
        </w:tc>
      </w:tr>
      <w:tr w:rsidR="00901EB8" w14:paraId="1E1A68FE" w14:textId="77777777" w:rsidTr="00C258F3">
        <w:tc>
          <w:tcPr>
            <w:tcW w:w="3681" w:type="dxa"/>
          </w:tcPr>
          <w:p w14:paraId="778BD0B2" w14:textId="59955D62" w:rsidR="00901EB8" w:rsidRDefault="00901EB8" w:rsidP="00FA392F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FAVV-registratie:</w:t>
            </w:r>
          </w:p>
        </w:tc>
        <w:tc>
          <w:tcPr>
            <w:tcW w:w="5381" w:type="dxa"/>
          </w:tcPr>
          <w:p w14:paraId="49D22676" w14:textId="77777777" w:rsidR="00901EB8" w:rsidRPr="00C96461" w:rsidRDefault="00901EB8" w:rsidP="00FA392F">
            <w:pPr>
              <w:jc w:val="both"/>
              <w:rPr>
                <w:lang w:val="nl-BE"/>
              </w:rPr>
            </w:pPr>
          </w:p>
        </w:tc>
      </w:tr>
    </w:tbl>
    <w:p w14:paraId="5F6E0552" w14:textId="3F51FE3A" w:rsidR="00A43570" w:rsidRDefault="00A43570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C5E" w:rsidRPr="00876740" w14:paraId="07F9C364" w14:textId="77777777" w:rsidTr="00C96461">
        <w:tc>
          <w:tcPr>
            <w:tcW w:w="9062" w:type="dxa"/>
            <w:shd w:val="clear" w:color="auto" w:fill="DBE5F1" w:themeFill="accent1" w:themeFillTint="33"/>
          </w:tcPr>
          <w:p w14:paraId="06D59E55" w14:textId="4F4D9041" w:rsidR="00885C5E" w:rsidRDefault="00C96461" w:rsidP="00C96461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Lijst van organisaties die zullen worden </w:t>
            </w:r>
            <w:r w:rsidR="00901EB8">
              <w:rPr>
                <w:b/>
                <w:bCs/>
                <w:lang w:val="nl-BE"/>
              </w:rPr>
              <w:t>bevoorraad.</w:t>
            </w:r>
          </w:p>
          <w:p w14:paraId="3EB7EEF0" w14:textId="77777777" w:rsidR="00C96461" w:rsidRDefault="00C96461" w:rsidP="00C96461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Deze lijst mag ook als bijlage worden toegevoegd.</w:t>
            </w:r>
          </w:p>
          <w:p w14:paraId="67DF98E7" w14:textId="1B2E98B0" w:rsidR="00C96461" w:rsidRPr="00C96461" w:rsidRDefault="00C96461" w:rsidP="00C96461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Opgelet! Het is verplicht de unieke identificatienummers in het kader van het FEAD/ ESF+  te vermelden.</w:t>
            </w:r>
          </w:p>
        </w:tc>
      </w:tr>
      <w:tr w:rsidR="00C96461" w:rsidRPr="00876740" w14:paraId="645D4F83" w14:textId="77777777" w:rsidTr="00E137FA">
        <w:tc>
          <w:tcPr>
            <w:tcW w:w="9062" w:type="dxa"/>
          </w:tcPr>
          <w:p w14:paraId="4844AFAC" w14:textId="77777777" w:rsidR="00C96461" w:rsidRPr="00C96461" w:rsidRDefault="00C96461" w:rsidP="00FA392F">
            <w:pPr>
              <w:jc w:val="both"/>
              <w:rPr>
                <w:lang w:val="nl-BE"/>
              </w:rPr>
            </w:pPr>
          </w:p>
          <w:p w14:paraId="361BFEAE" w14:textId="77777777" w:rsidR="00C96461" w:rsidRPr="00C96461" w:rsidRDefault="00C96461" w:rsidP="00FA392F">
            <w:pPr>
              <w:jc w:val="both"/>
              <w:rPr>
                <w:lang w:val="nl-BE"/>
              </w:rPr>
            </w:pPr>
          </w:p>
          <w:p w14:paraId="3770258C" w14:textId="0E1426AA" w:rsidR="00C96461" w:rsidRDefault="00C96461" w:rsidP="00FA392F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4792D076" w14:textId="66540D17" w:rsidR="00885C5E" w:rsidRDefault="00885C5E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1" w:rsidRPr="00876740" w14:paraId="40F1AAF6" w14:textId="77777777" w:rsidTr="00C72542">
        <w:tc>
          <w:tcPr>
            <w:tcW w:w="9062" w:type="dxa"/>
            <w:shd w:val="clear" w:color="auto" w:fill="DBE5F1" w:themeFill="accent1" w:themeFillTint="33"/>
          </w:tcPr>
          <w:p w14:paraId="1FFD6869" w14:textId="03647F85" w:rsidR="00C96461" w:rsidRDefault="00C96461" w:rsidP="00C96461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Toelichting algemene werking van de organisatie.</w:t>
            </w:r>
          </w:p>
          <w:p w14:paraId="1E6FC552" w14:textId="6752D539" w:rsidR="00C96461" w:rsidRPr="00C96461" w:rsidRDefault="00C96461" w:rsidP="00C96461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Wat is de link tussen </w:t>
            </w:r>
            <w:r w:rsidR="00901EB8">
              <w:rPr>
                <w:b/>
                <w:bCs/>
                <w:lang w:val="nl-BE"/>
              </w:rPr>
              <w:t xml:space="preserve">de te </w:t>
            </w:r>
            <w:r w:rsidR="00E74FCD">
              <w:rPr>
                <w:b/>
                <w:bCs/>
                <w:lang w:val="nl-BE"/>
              </w:rPr>
              <w:t>bevoorraden</w:t>
            </w:r>
            <w:r>
              <w:rPr>
                <w:b/>
                <w:bCs/>
                <w:lang w:val="nl-BE"/>
              </w:rPr>
              <w:t xml:space="preserve"> organisaties en de kandidaat?</w:t>
            </w:r>
          </w:p>
        </w:tc>
      </w:tr>
      <w:tr w:rsidR="00C96461" w:rsidRPr="00876740" w14:paraId="0AE9068B" w14:textId="77777777" w:rsidTr="00C72542">
        <w:tc>
          <w:tcPr>
            <w:tcW w:w="9062" w:type="dxa"/>
          </w:tcPr>
          <w:p w14:paraId="123886D9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1D99E064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33422097" w14:textId="77777777" w:rsidR="00C96461" w:rsidRDefault="00C96461" w:rsidP="00C72542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41871D79" w14:textId="3B9BD247" w:rsidR="00885C5E" w:rsidRDefault="00885C5E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1" w:rsidRPr="00876740" w14:paraId="3EFD53E2" w14:textId="77777777" w:rsidTr="00C72542">
        <w:tc>
          <w:tcPr>
            <w:tcW w:w="9062" w:type="dxa"/>
            <w:shd w:val="clear" w:color="auto" w:fill="DBE5F1" w:themeFill="accent1" w:themeFillTint="33"/>
          </w:tcPr>
          <w:p w14:paraId="6C34C1D7" w14:textId="77226FD3" w:rsidR="00C96461" w:rsidRPr="00C96461" w:rsidRDefault="00C96461" w:rsidP="00C96461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Toelichting ervaring met de sector van de voedselhulp</w:t>
            </w:r>
          </w:p>
        </w:tc>
      </w:tr>
      <w:tr w:rsidR="00C96461" w:rsidRPr="00876740" w14:paraId="35E9C12F" w14:textId="77777777" w:rsidTr="00C72542">
        <w:tc>
          <w:tcPr>
            <w:tcW w:w="9062" w:type="dxa"/>
          </w:tcPr>
          <w:p w14:paraId="1787EBD5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546EFEFA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4138AA4A" w14:textId="77777777" w:rsidR="00C96461" w:rsidRDefault="00C96461" w:rsidP="00C72542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63DEC1C9" w14:textId="73BD2D9C" w:rsidR="00C96461" w:rsidRDefault="00C96461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1" w:rsidRPr="00876740" w14:paraId="1F4F3DCC" w14:textId="77777777" w:rsidTr="00C72542">
        <w:tc>
          <w:tcPr>
            <w:tcW w:w="9062" w:type="dxa"/>
            <w:shd w:val="clear" w:color="auto" w:fill="DBE5F1" w:themeFill="accent1" w:themeFillTint="33"/>
          </w:tcPr>
          <w:p w14:paraId="3A5D1083" w14:textId="5AB4B3AD" w:rsidR="00C96461" w:rsidRPr="00C96461" w:rsidRDefault="00C96461" w:rsidP="00C72542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Toelichting ervaring </w:t>
            </w:r>
            <w:r w:rsidR="001B7EF1">
              <w:rPr>
                <w:b/>
                <w:bCs/>
                <w:lang w:val="nl-BE"/>
              </w:rPr>
              <w:t xml:space="preserve">met </w:t>
            </w:r>
            <w:r w:rsidR="002C6A72">
              <w:rPr>
                <w:b/>
                <w:bCs/>
                <w:lang w:val="nl-BE"/>
              </w:rPr>
              <w:t>het ontvangen, stockeren en herverdelen van levensmiddelen</w:t>
            </w:r>
          </w:p>
        </w:tc>
      </w:tr>
      <w:tr w:rsidR="00C96461" w:rsidRPr="00876740" w14:paraId="4E6CF771" w14:textId="77777777" w:rsidTr="00C72542">
        <w:tc>
          <w:tcPr>
            <w:tcW w:w="9062" w:type="dxa"/>
          </w:tcPr>
          <w:p w14:paraId="3E026FA2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7E81805A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4925E91E" w14:textId="77777777" w:rsidR="00C96461" w:rsidRDefault="00C96461" w:rsidP="00C72542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3B8BA199" w14:textId="038DE054" w:rsidR="00C96461" w:rsidRDefault="00C96461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1" w:rsidRPr="00876740" w14:paraId="1A851D7E" w14:textId="77777777" w:rsidTr="00C72542">
        <w:tc>
          <w:tcPr>
            <w:tcW w:w="9062" w:type="dxa"/>
            <w:shd w:val="clear" w:color="auto" w:fill="DBE5F1" w:themeFill="accent1" w:themeFillTint="33"/>
          </w:tcPr>
          <w:p w14:paraId="61901BE3" w14:textId="77777777" w:rsidR="00901EB8" w:rsidRDefault="00901EB8" w:rsidP="00C72542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Toelichting organisatie relaisorganisatie/ centrale opslagplaats</w:t>
            </w:r>
          </w:p>
          <w:p w14:paraId="71A060B0" w14:textId="77777777" w:rsidR="00901EB8" w:rsidRDefault="00901EB8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zullen de aanleveringen worden georganiseerd?</w:t>
            </w:r>
          </w:p>
          <w:p w14:paraId="4A83238D" w14:textId="77777777" w:rsidR="00901EB8" w:rsidRDefault="00901EB8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zal er gestockeerd worden?</w:t>
            </w:r>
          </w:p>
          <w:p w14:paraId="37F5EF6E" w14:textId="77777777" w:rsidR="00901EB8" w:rsidRDefault="00901EB8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zullen de uitleveringen worden georganiseerd?</w:t>
            </w:r>
          </w:p>
          <w:p w14:paraId="4CE916E7" w14:textId="77777777" w:rsidR="00C96461" w:rsidRDefault="00901EB8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Zijn er leveringen aan huis voorzien?</w:t>
            </w:r>
            <w:r w:rsidR="00C96461" w:rsidRPr="00901EB8">
              <w:rPr>
                <w:b/>
                <w:bCs/>
                <w:lang w:val="nl-BE"/>
              </w:rPr>
              <w:t xml:space="preserve"> </w:t>
            </w:r>
            <w:r w:rsidR="00A376FF">
              <w:rPr>
                <w:b/>
                <w:bCs/>
                <w:lang w:val="nl-BE"/>
              </w:rPr>
              <w:t>In welk geval ?</w:t>
            </w:r>
          </w:p>
          <w:p w14:paraId="050B388D" w14:textId="0B0AD247" w:rsidR="00B2520C" w:rsidRPr="00901EB8" w:rsidRDefault="00B2520C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Wat zijn de openingsuren van voor het organiseren van de leveringen/ herverdelingen?</w:t>
            </w:r>
          </w:p>
        </w:tc>
      </w:tr>
      <w:tr w:rsidR="00C96461" w:rsidRPr="00876740" w14:paraId="5264C9AB" w14:textId="77777777" w:rsidTr="00C72542">
        <w:tc>
          <w:tcPr>
            <w:tcW w:w="9062" w:type="dxa"/>
          </w:tcPr>
          <w:p w14:paraId="7FC91AF3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611BD49C" w14:textId="77777777" w:rsidR="00C96461" w:rsidRPr="00C96461" w:rsidRDefault="00C96461" w:rsidP="00C72542">
            <w:pPr>
              <w:jc w:val="both"/>
              <w:rPr>
                <w:lang w:val="nl-BE"/>
              </w:rPr>
            </w:pPr>
          </w:p>
          <w:p w14:paraId="03B85A17" w14:textId="77777777" w:rsidR="00C96461" w:rsidRDefault="00C96461" w:rsidP="00C72542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74E3B6F3" w14:textId="5EEE9092" w:rsidR="00C96461" w:rsidRDefault="00C96461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48D" w:rsidRPr="00876740" w14:paraId="4A63C7D4" w14:textId="77777777" w:rsidTr="00C72542">
        <w:tc>
          <w:tcPr>
            <w:tcW w:w="9062" w:type="dxa"/>
            <w:shd w:val="clear" w:color="auto" w:fill="DBE5F1" w:themeFill="accent1" w:themeFillTint="33"/>
          </w:tcPr>
          <w:p w14:paraId="5FC9BF66" w14:textId="77777777" w:rsidR="003D448D" w:rsidRDefault="00901EB8" w:rsidP="00C72542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Beschrijving van de opslagplaats(en)</w:t>
            </w:r>
          </w:p>
          <w:p w14:paraId="78E96D86" w14:textId="77777777" w:rsidR="00901EB8" w:rsidRDefault="00901EB8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Oppervlakte en logistieke uitrusting</w:t>
            </w:r>
            <w:r w:rsidR="001B7EF1">
              <w:rPr>
                <w:b/>
                <w:bCs/>
                <w:lang w:val="nl-BE"/>
              </w:rPr>
              <w:t xml:space="preserve"> (</w:t>
            </w:r>
            <w:r w:rsidR="001B7EF1" w:rsidRPr="001B7EF1">
              <w:rPr>
                <w:b/>
                <w:bCs/>
                <w:lang w:val="nl-BE"/>
              </w:rPr>
              <w:t>transpalet, heftruck, laad- en loskade, voldoende vervoerscapaciteit).</w:t>
            </w:r>
          </w:p>
          <w:p w14:paraId="63262B9B" w14:textId="4E8D97D8" w:rsidR="000455DF" w:rsidRPr="00901EB8" w:rsidRDefault="000455DF" w:rsidP="00901EB8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Adres van de opslagplaats(en).</w:t>
            </w:r>
          </w:p>
        </w:tc>
      </w:tr>
      <w:tr w:rsidR="003D448D" w:rsidRPr="00876740" w14:paraId="25F8EC70" w14:textId="77777777" w:rsidTr="00C72542">
        <w:tc>
          <w:tcPr>
            <w:tcW w:w="9062" w:type="dxa"/>
          </w:tcPr>
          <w:p w14:paraId="70F5E6C8" w14:textId="77777777" w:rsidR="003D448D" w:rsidRPr="00C96461" w:rsidRDefault="003D448D" w:rsidP="00C72542">
            <w:pPr>
              <w:jc w:val="both"/>
              <w:rPr>
                <w:lang w:val="nl-BE"/>
              </w:rPr>
            </w:pPr>
          </w:p>
          <w:p w14:paraId="24A36D89" w14:textId="77777777" w:rsidR="003D448D" w:rsidRPr="00C96461" w:rsidRDefault="003D448D" w:rsidP="00C72542">
            <w:pPr>
              <w:jc w:val="both"/>
              <w:rPr>
                <w:lang w:val="nl-BE"/>
              </w:rPr>
            </w:pPr>
          </w:p>
          <w:p w14:paraId="2CADE362" w14:textId="77777777" w:rsidR="003D448D" w:rsidRDefault="003D448D" w:rsidP="00C72542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3B09570E" w14:textId="696B9F3C" w:rsidR="009E1E92" w:rsidRDefault="009E1E92" w:rsidP="00FA392F">
      <w:pPr>
        <w:spacing w:after="0" w:line="240" w:lineRule="auto"/>
        <w:jc w:val="both"/>
        <w:rPr>
          <w:b/>
          <w:bCs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EB8" w:rsidRPr="00876740" w14:paraId="5B112296" w14:textId="77777777" w:rsidTr="00983B87">
        <w:tc>
          <w:tcPr>
            <w:tcW w:w="9062" w:type="dxa"/>
            <w:shd w:val="clear" w:color="auto" w:fill="DBE5F1" w:themeFill="accent1" w:themeFillTint="33"/>
          </w:tcPr>
          <w:p w14:paraId="57A7CA85" w14:textId="5ED7F8F3" w:rsidR="00901EB8" w:rsidRPr="00901EB8" w:rsidRDefault="00901EB8" w:rsidP="00901EB8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zal de traceerbaarheid van de levensmiddelen worden gegarandeerd?</w:t>
            </w:r>
          </w:p>
        </w:tc>
      </w:tr>
      <w:tr w:rsidR="00901EB8" w:rsidRPr="00876740" w14:paraId="5CD8D916" w14:textId="77777777" w:rsidTr="00983B87">
        <w:tc>
          <w:tcPr>
            <w:tcW w:w="9062" w:type="dxa"/>
          </w:tcPr>
          <w:p w14:paraId="3B68BF44" w14:textId="77777777" w:rsidR="00901EB8" w:rsidRPr="00C96461" w:rsidRDefault="00901EB8" w:rsidP="00983B87">
            <w:pPr>
              <w:jc w:val="both"/>
              <w:rPr>
                <w:lang w:val="nl-BE"/>
              </w:rPr>
            </w:pPr>
          </w:p>
          <w:p w14:paraId="3C7E6753" w14:textId="77777777" w:rsidR="00901EB8" w:rsidRPr="00C96461" w:rsidRDefault="00901EB8" w:rsidP="00983B87">
            <w:pPr>
              <w:jc w:val="both"/>
              <w:rPr>
                <w:lang w:val="nl-BE"/>
              </w:rPr>
            </w:pPr>
          </w:p>
          <w:p w14:paraId="584EA9E7" w14:textId="77777777" w:rsidR="00901EB8" w:rsidRDefault="00901EB8" w:rsidP="00983B87">
            <w:pPr>
              <w:jc w:val="both"/>
              <w:rPr>
                <w:b/>
                <w:bCs/>
                <w:lang w:val="nl-BE"/>
              </w:rPr>
            </w:pPr>
          </w:p>
        </w:tc>
      </w:tr>
    </w:tbl>
    <w:p w14:paraId="446E15EE" w14:textId="77777777" w:rsidR="00901EB8" w:rsidRDefault="00901EB8" w:rsidP="00FA392F">
      <w:pPr>
        <w:spacing w:after="0" w:line="240" w:lineRule="auto"/>
        <w:jc w:val="both"/>
        <w:rPr>
          <w:b/>
          <w:bCs/>
          <w:lang w:val="nl-BE"/>
        </w:rPr>
      </w:pPr>
    </w:p>
    <w:p w14:paraId="30D28308" w14:textId="4DC7A314" w:rsidR="003D448D" w:rsidRDefault="003D448D" w:rsidP="00FA392F">
      <w:pPr>
        <w:spacing w:after="0" w:line="240" w:lineRule="auto"/>
        <w:jc w:val="both"/>
        <w:rPr>
          <w:b/>
          <w:bCs/>
          <w:lang w:val="nl-BE"/>
        </w:rPr>
      </w:pPr>
      <w:r>
        <w:rPr>
          <w:b/>
          <w:bCs/>
          <w:lang w:val="nl-BE"/>
        </w:rPr>
        <w:t>Toe te voegen aan de kandidatuur:</w:t>
      </w:r>
    </w:p>
    <w:p w14:paraId="3ADC76A7" w14:textId="63C74443" w:rsidR="003D448D" w:rsidRPr="003D448D" w:rsidRDefault="003D448D" w:rsidP="003D448D">
      <w:pPr>
        <w:pStyle w:val="Lijstalinea"/>
        <w:numPr>
          <w:ilvl w:val="0"/>
          <w:numId w:val="26"/>
        </w:numPr>
        <w:spacing w:after="0" w:line="240" w:lineRule="auto"/>
        <w:jc w:val="both"/>
        <w:rPr>
          <w:b/>
          <w:bCs/>
          <w:lang w:val="nl-BE"/>
        </w:rPr>
      </w:pPr>
      <w:r>
        <w:rPr>
          <w:lang w:val="nl-BE"/>
        </w:rPr>
        <w:t>Een kopie van de statuten van de organisatie</w:t>
      </w:r>
      <w:r w:rsidR="00C258F3">
        <w:rPr>
          <w:lang w:val="nl-BE"/>
        </w:rPr>
        <w:t xml:space="preserve">. </w:t>
      </w:r>
    </w:p>
    <w:sectPr w:rsidR="003D448D" w:rsidRPr="003D448D" w:rsidSect="00175101">
      <w:footerReference w:type="defaul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C36E" w14:textId="77777777" w:rsidR="00DE11DD" w:rsidRDefault="00DE11DD" w:rsidP="003A0379">
      <w:r>
        <w:separator/>
      </w:r>
    </w:p>
  </w:endnote>
  <w:endnote w:type="continuationSeparator" w:id="0">
    <w:p w14:paraId="1D7C86C8" w14:textId="77777777" w:rsidR="00DE11DD" w:rsidRDefault="00DE11DD" w:rsidP="003A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1488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4F7548" w14:textId="1E76324D" w:rsidR="003E2CF5" w:rsidRDefault="003E2CF5" w:rsidP="003A0379">
            <w:pPr>
              <w:pStyle w:val="Voettekst"/>
            </w:pPr>
            <w:proofErr w:type="spellStart"/>
            <w:r>
              <w:t>Pag</w:t>
            </w:r>
            <w:r w:rsidR="000E7DFC">
              <w:t>ina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FF658E">
              <w:rPr>
                <w:noProof/>
              </w:rPr>
              <w:t>5</w:t>
            </w:r>
            <w:r>
              <w:fldChar w:fldCharType="end"/>
            </w:r>
            <w:r>
              <w:t xml:space="preserve"> </w:t>
            </w:r>
            <w:r w:rsidR="000E7DFC">
              <w:t>van</w:t>
            </w:r>
            <w:r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FF658E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  <w:p w14:paraId="7F5320F2" w14:textId="77777777" w:rsidR="003E2CF5" w:rsidRDefault="003E2CF5" w:rsidP="003A03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C873" w14:textId="77777777" w:rsidR="00DE11DD" w:rsidRDefault="00DE11DD" w:rsidP="003A0379">
      <w:r>
        <w:separator/>
      </w:r>
    </w:p>
  </w:footnote>
  <w:footnote w:type="continuationSeparator" w:id="0">
    <w:p w14:paraId="011452AA" w14:textId="77777777" w:rsidR="00DE11DD" w:rsidRDefault="00DE11DD" w:rsidP="003A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68B"/>
    <w:multiLevelType w:val="hybridMultilevel"/>
    <w:tmpl w:val="9C783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43B"/>
    <w:multiLevelType w:val="hybridMultilevel"/>
    <w:tmpl w:val="95BE0E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440F"/>
    <w:multiLevelType w:val="hybridMultilevel"/>
    <w:tmpl w:val="DDDCC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71DC"/>
    <w:multiLevelType w:val="hybridMultilevel"/>
    <w:tmpl w:val="53DA3CAC"/>
    <w:lvl w:ilvl="0" w:tplc="75C8F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1D30"/>
    <w:multiLevelType w:val="hybridMultilevel"/>
    <w:tmpl w:val="9C783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612"/>
    <w:multiLevelType w:val="hybridMultilevel"/>
    <w:tmpl w:val="B29C8A10"/>
    <w:lvl w:ilvl="0" w:tplc="6F32538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4D87"/>
    <w:multiLevelType w:val="hybridMultilevel"/>
    <w:tmpl w:val="1F3A651C"/>
    <w:lvl w:ilvl="0" w:tplc="387A322C">
      <w:start w:val="1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840A5"/>
    <w:multiLevelType w:val="hybridMultilevel"/>
    <w:tmpl w:val="29B67400"/>
    <w:lvl w:ilvl="0" w:tplc="007C03CC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412468"/>
    <w:multiLevelType w:val="hybridMultilevel"/>
    <w:tmpl w:val="DDDCC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6A77"/>
    <w:multiLevelType w:val="hybridMultilevel"/>
    <w:tmpl w:val="DDDCC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4AC"/>
    <w:multiLevelType w:val="hybridMultilevel"/>
    <w:tmpl w:val="DE4A7C14"/>
    <w:lvl w:ilvl="0" w:tplc="0E183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41C4"/>
    <w:multiLevelType w:val="hybridMultilevel"/>
    <w:tmpl w:val="585EA694"/>
    <w:lvl w:ilvl="0" w:tplc="43D0FE8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32F"/>
    <w:multiLevelType w:val="hybridMultilevel"/>
    <w:tmpl w:val="6E7ABE24"/>
    <w:lvl w:ilvl="0" w:tplc="CA70AC66">
      <w:start w:val="1"/>
      <w:numFmt w:val="decimal"/>
      <w:lvlText w:val="%1.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B79E8"/>
    <w:multiLevelType w:val="hybridMultilevel"/>
    <w:tmpl w:val="84A67464"/>
    <w:lvl w:ilvl="0" w:tplc="C5223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0BA4"/>
    <w:multiLevelType w:val="hybridMultilevel"/>
    <w:tmpl w:val="D3EEF8F6"/>
    <w:lvl w:ilvl="0" w:tplc="7ACED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E4B85"/>
    <w:multiLevelType w:val="hybridMultilevel"/>
    <w:tmpl w:val="DDDCC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A1756"/>
    <w:multiLevelType w:val="multilevel"/>
    <w:tmpl w:val="77AE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D569E9"/>
    <w:multiLevelType w:val="hybridMultilevel"/>
    <w:tmpl w:val="9C783B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4E1"/>
    <w:multiLevelType w:val="hybridMultilevel"/>
    <w:tmpl w:val="E64C8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82154"/>
    <w:multiLevelType w:val="hybridMultilevel"/>
    <w:tmpl w:val="93D25268"/>
    <w:lvl w:ilvl="0" w:tplc="CAB8A1BE">
      <w:start w:val="2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558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61799A"/>
    <w:multiLevelType w:val="hybridMultilevel"/>
    <w:tmpl w:val="3C30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B0F"/>
    <w:multiLevelType w:val="hybridMultilevel"/>
    <w:tmpl w:val="DDDCCC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2B0C"/>
    <w:multiLevelType w:val="multilevel"/>
    <w:tmpl w:val="28BC196A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A977F6"/>
    <w:multiLevelType w:val="hybridMultilevel"/>
    <w:tmpl w:val="A17EF6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608A"/>
    <w:multiLevelType w:val="hybridMultilevel"/>
    <w:tmpl w:val="D3BA1100"/>
    <w:lvl w:ilvl="0" w:tplc="96F6EA7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1E52"/>
    <w:multiLevelType w:val="hybridMultilevel"/>
    <w:tmpl w:val="296C9718"/>
    <w:lvl w:ilvl="0" w:tplc="DE865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C55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E3B28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3" w:tplc="BE78725C">
      <w:numFmt w:val="bullet"/>
      <w:lvlText w:val="•"/>
      <w:lvlJc w:val="left"/>
      <w:pPr>
        <w:ind w:left="2880" w:hanging="720"/>
      </w:pPr>
      <w:rPr>
        <w:rFonts w:ascii="Verdana" w:eastAsia="Times New Roman" w:hAnsi="Verdana" w:cs="Times New Roman" w:hint="default"/>
      </w:rPr>
    </w:lvl>
    <w:lvl w:ilvl="4" w:tplc="8FD2E4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B4ED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A06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626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1C47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36787"/>
    <w:multiLevelType w:val="hybridMultilevel"/>
    <w:tmpl w:val="AAF85B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56D"/>
    <w:multiLevelType w:val="hybridMultilevel"/>
    <w:tmpl w:val="EFE2763A"/>
    <w:lvl w:ilvl="0" w:tplc="A42A6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D34"/>
    <w:multiLevelType w:val="hybridMultilevel"/>
    <w:tmpl w:val="9C783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C46DD"/>
    <w:multiLevelType w:val="hybridMultilevel"/>
    <w:tmpl w:val="7F24FC04"/>
    <w:lvl w:ilvl="0" w:tplc="24DC55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8883">
    <w:abstractNumId w:val="1"/>
  </w:num>
  <w:num w:numId="2" w16cid:durableId="941185594">
    <w:abstractNumId w:val="13"/>
  </w:num>
  <w:num w:numId="3" w16cid:durableId="1221479603">
    <w:abstractNumId w:val="18"/>
  </w:num>
  <w:num w:numId="4" w16cid:durableId="1967009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514171">
    <w:abstractNumId w:val="10"/>
  </w:num>
  <w:num w:numId="6" w16cid:durableId="314189223">
    <w:abstractNumId w:val="27"/>
  </w:num>
  <w:num w:numId="7" w16cid:durableId="905922340">
    <w:abstractNumId w:val="19"/>
  </w:num>
  <w:num w:numId="8" w16cid:durableId="714089194">
    <w:abstractNumId w:val="2"/>
  </w:num>
  <w:num w:numId="9" w16cid:durableId="1023824831">
    <w:abstractNumId w:val="22"/>
  </w:num>
  <w:num w:numId="10" w16cid:durableId="1016468254">
    <w:abstractNumId w:val="8"/>
  </w:num>
  <w:num w:numId="11" w16cid:durableId="948388323">
    <w:abstractNumId w:val="26"/>
  </w:num>
  <w:num w:numId="12" w16cid:durableId="386269312">
    <w:abstractNumId w:val="30"/>
  </w:num>
  <w:num w:numId="13" w16cid:durableId="591087357">
    <w:abstractNumId w:val="9"/>
  </w:num>
  <w:num w:numId="14" w16cid:durableId="706180472">
    <w:abstractNumId w:val="15"/>
  </w:num>
  <w:num w:numId="15" w16cid:durableId="1820221656">
    <w:abstractNumId w:val="14"/>
  </w:num>
  <w:num w:numId="16" w16cid:durableId="266475309">
    <w:abstractNumId w:val="7"/>
  </w:num>
  <w:num w:numId="17" w16cid:durableId="492573390">
    <w:abstractNumId w:val="28"/>
  </w:num>
  <w:num w:numId="18" w16cid:durableId="484442448">
    <w:abstractNumId w:val="20"/>
  </w:num>
  <w:num w:numId="19" w16cid:durableId="323320094">
    <w:abstractNumId w:val="23"/>
  </w:num>
  <w:num w:numId="20" w16cid:durableId="2108574679">
    <w:abstractNumId w:val="24"/>
  </w:num>
  <w:num w:numId="21" w16cid:durableId="802118509">
    <w:abstractNumId w:val="6"/>
  </w:num>
  <w:num w:numId="22" w16cid:durableId="1117915206">
    <w:abstractNumId w:val="25"/>
  </w:num>
  <w:num w:numId="23" w16cid:durableId="16654742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9673862">
    <w:abstractNumId w:val="5"/>
  </w:num>
  <w:num w:numId="25" w16cid:durableId="1267159091">
    <w:abstractNumId w:val="11"/>
  </w:num>
  <w:num w:numId="26" w16cid:durableId="1975089799">
    <w:abstractNumId w:val="3"/>
  </w:num>
  <w:num w:numId="27" w16cid:durableId="1804693309">
    <w:abstractNumId w:val="17"/>
  </w:num>
  <w:num w:numId="28" w16cid:durableId="445198983">
    <w:abstractNumId w:val="16"/>
  </w:num>
  <w:num w:numId="29" w16cid:durableId="1436364351">
    <w:abstractNumId w:val="21"/>
  </w:num>
  <w:num w:numId="30" w16cid:durableId="1998461864">
    <w:abstractNumId w:val="4"/>
  </w:num>
  <w:num w:numId="31" w16cid:durableId="260795189">
    <w:abstractNumId w:val="0"/>
  </w:num>
  <w:num w:numId="32" w16cid:durableId="410272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84966"/>
    <w:rsid w:val="00003A7B"/>
    <w:rsid w:val="00014DAA"/>
    <w:rsid w:val="00027389"/>
    <w:rsid w:val="00030DBA"/>
    <w:rsid w:val="0003651E"/>
    <w:rsid w:val="000455DF"/>
    <w:rsid w:val="00051DCB"/>
    <w:rsid w:val="000524F3"/>
    <w:rsid w:val="00080F83"/>
    <w:rsid w:val="000A58DD"/>
    <w:rsid w:val="000B3075"/>
    <w:rsid w:val="000C1BB0"/>
    <w:rsid w:val="000C40AD"/>
    <w:rsid w:val="000E3B94"/>
    <w:rsid w:val="000E7DFC"/>
    <w:rsid w:val="001020A1"/>
    <w:rsid w:val="00104B02"/>
    <w:rsid w:val="00104FD7"/>
    <w:rsid w:val="00106DF7"/>
    <w:rsid w:val="001116E3"/>
    <w:rsid w:val="00133954"/>
    <w:rsid w:val="00135827"/>
    <w:rsid w:val="00135F93"/>
    <w:rsid w:val="001413C4"/>
    <w:rsid w:val="00154F39"/>
    <w:rsid w:val="00157731"/>
    <w:rsid w:val="00164B2E"/>
    <w:rsid w:val="0016680D"/>
    <w:rsid w:val="00175101"/>
    <w:rsid w:val="00176FEE"/>
    <w:rsid w:val="00177022"/>
    <w:rsid w:val="00186459"/>
    <w:rsid w:val="00187577"/>
    <w:rsid w:val="001A1ADF"/>
    <w:rsid w:val="001B2D59"/>
    <w:rsid w:val="001B46C3"/>
    <w:rsid w:val="001B7EF1"/>
    <w:rsid w:val="001C254C"/>
    <w:rsid w:val="001E00EA"/>
    <w:rsid w:val="001F2DDF"/>
    <w:rsid w:val="00213060"/>
    <w:rsid w:val="00227948"/>
    <w:rsid w:val="0024301C"/>
    <w:rsid w:val="0024600A"/>
    <w:rsid w:val="00246550"/>
    <w:rsid w:val="00250F23"/>
    <w:rsid w:val="0028655A"/>
    <w:rsid w:val="00292067"/>
    <w:rsid w:val="00295E28"/>
    <w:rsid w:val="002A3486"/>
    <w:rsid w:val="002A5A81"/>
    <w:rsid w:val="002A6DF7"/>
    <w:rsid w:val="002C2BB2"/>
    <w:rsid w:val="002C6A72"/>
    <w:rsid w:val="002E301A"/>
    <w:rsid w:val="002E4D45"/>
    <w:rsid w:val="002F14EB"/>
    <w:rsid w:val="002F1941"/>
    <w:rsid w:val="002F3473"/>
    <w:rsid w:val="0030243D"/>
    <w:rsid w:val="003332B8"/>
    <w:rsid w:val="0033567D"/>
    <w:rsid w:val="003468D3"/>
    <w:rsid w:val="003642ED"/>
    <w:rsid w:val="00380CDE"/>
    <w:rsid w:val="003843E6"/>
    <w:rsid w:val="003850E0"/>
    <w:rsid w:val="0039673F"/>
    <w:rsid w:val="003A0379"/>
    <w:rsid w:val="003A3D50"/>
    <w:rsid w:val="003A7972"/>
    <w:rsid w:val="003B00D5"/>
    <w:rsid w:val="003B1BD6"/>
    <w:rsid w:val="003B3F34"/>
    <w:rsid w:val="003B5C3D"/>
    <w:rsid w:val="003B6001"/>
    <w:rsid w:val="003B6081"/>
    <w:rsid w:val="003C213D"/>
    <w:rsid w:val="003D054F"/>
    <w:rsid w:val="003D448D"/>
    <w:rsid w:val="003E2CF5"/>
    <w:rsid w:val="003E5A68"/>
    <w:rsid w:val="003F0108"/>
    <w:rsid w:val="003F1D9C"/>
    <w:rsid w:val="003F5CA7"/>
    <w:rsid w:val="003F66C6"/>
    <w:rsid w:val="00400E46"/>
    <w:rsid w:val="00413D38"/>
    <w:rsid w:val="00420A57"/>
    <w:rsid w:val="00432558"/>
    <w:rsid w:val="00470093"/>
    <w:rsid w:val="00470DCE"/>
    <w:rsid w:val="00481FAA"/>
    <w:rsid w:val="00492402"/>
    <w:rsid w:val="00495A17"/>
    <w:rsid w:val="004A52FA"/>
    <w:rsid w:val="004B0E55"/>
    <w:rsid w:val="004B6C7E"/>
    <w:rsid w:val="004C264F"/>
    <w:rsid w:val="004C4587"/>
    <w:rsid w:val="004C5CE6"/>
    <w:rsid w:val="004D5B1A"/>
    <w:rsid w:val="004E465C"/>
    <w:rsid w:val="004F15C9"/>
    <w:rsid w:val="004F23EF"/>
    <w:rsid w:val="004F68CB"/>
    <w:rsid w:val="00505B06"/>
    <w:rsid w:val="005212FE"/>
    <w:rsid w:val="00521CA7"/>
    <w:rsid w:val="005220BA"/>
    <w:rsid w:val="005278B6"/>
    <w:rsid w:val="00535F66"/>
    <w:rsid w:val="0054170F"/>
    <w:rsid w:val="00554F85"/>
    <w:rsid w:val="0056065D"/>
    <w:rsid w:val="00566BE3"/>
    <w:rsid w:val="00567831"/>
    <w:rsid w:val="00567AC1"/>
    <w:rsid w:val="00591F3E"/>
    <w:rsid w:val="005B5FE4"/>
    <w:rsid w:val="005C187D"/>
    <w:rsid w:val="005C49C6"/>
    <w:rsid w:val="005C5CC1"/>
    <w:rsid w:val="005D5162"/>
    <w:rsid w:val="005E5297"/>
    <w:rsid w:val="005F6E1E"/>
    <w:rsid w:val="006023F0"/>
    <w:rsid w:val="00605A96"/>
    <w:rsid w:val="00641683"/>
    <w:rsid w:val="00643684"/>
    <w:rsid w:val="00646BFC"/>
    <w:rsid w:val="006676E5"/>
    <w:rsid w:val="00674CCA"/>
    <w:rsid w:val="006807EE"/>
    <w:rsid w:val="00684966"/>
    <w:rsid w:val="006935D6"/>
    <w:rsid w:val="006B144A"/>
    <w:rsid w:val="006B26BA"/>
    <w:rsid w:val="006C114E"/>
    <w:rsid w:val="006C527C"/>
    <w:rsid w:val="006C5869"/>
    <w:rsid w:val="006D00F5"/>
    <w:rsid w:val="006D6709"/>
    <w:rsid w:val="006D7DFB"/>
    <w:rsid w:val="006E2625"/>
    <w:rsid w:val="007178A5"/>
    <w:rsid w:val="00766B4E"/>
    <w:rsid w:val="0076795D"/>
    <w:rsid w:val="00776211"/>
    <w:rsid w:val="0078094F"/>
    <w:rsid w:val="007950CE"/>
    <w:rsid w:val="007C070C"/>
    <w:rsid w:val="007E33BD"/>
    <w:rsid w:val="007E6723"/>
    <w:rsid w:val="007F09A3"/>
    <w:rsid w:val="007F1EAA"/>
    <w:rsid w:val="007F2C87"/>
    <w:rsid w:val="007F57A0"/>
    <w:rsid w:val="008010C9"/>
    <w:rsid w:val="00807B78"/>
    <w:rsid w:val="00827F05"/>
    <w:rsid w:val="008306E5"/>
    <w:rsid w:val="00833151"/>
    <w:rsid w:val="008348E7"/>
    <w:rsid w:val="00840708"/>
    <w:rsid w:val="00842A6C"/>
    <w:rsid w:val="00850CB1"/>
    <w:rsid w:val="008531E1"/>
    <w:rsid w:val="00855D7C"/>
    <w:rsid w:val="00860122"/>
    <w:rsid w:val="00872C43"/>
    <w:rsid w:val="00875E08"/>
    <w:rsid w:val="00876740"/>
    <w:rsid w:val="00880569"/>
    <w:rsid w:val="00885C5E"/>
    <w:rsid w:val="008A2917"/>
    <w:rsid w:val="008B1887"/>
    <w:rsid w:val="008B5689"/>
    <w:rsid w:val="008B629B"/>
    <w:rsid w:val="008C1FC9"/>
    <w:rsid w:val="008C4068"/>
    <w:rsid w:val="008F3915"/>
    <w:rsid w:val="008F73EA"/>
    <w:rsid w:val="008F74A1"/>
    <w:rsid w:val="00901EB8"/>
    <w:rsid w:val="0091323F"/>
    <w:rsid w:val="009159F9"/>
    <w:rsid w:val="00916F2C"/>
    <w:rsid w:val="0093010E"/>
    <w:rsid w:val="009372F7"/>
    <w:rsid w:val="009528A2"/>
    <w:rsid w:val="00956A95"/>
    <w:rsid w:val="00962635"/>
    <w:rsid w:val="0096644D"/>
    <w:rsid w:val="009704E6"/>
    <w:rsid w:val="00973974"/>
    <w:rsid w:val="00976EE5"/>
    <w:rsid w:val="0098714D"/>
    <w:rsid w:val="009965FA"/>
    <w:rsid w:val="009B2F95"/>
    <w:rsid w:val="009C031C"/>
    <w:rsid w:val="009C2E95"/>
    <w:rsid w:val="009C732D"/>
    <w:rsid w:val="009D521F"/>
    <w:rsid w:val="009D5929"/>
    <w:rsid w:val="009E1E92"/>
    <w:rsid w:val="009E408B"/>
    <w:rsid w:val="00A0117F"/>
    <w:rsid w:val="00A11DFB"/>
    <w:rsid w:val="00A1473F"/>
    <w:rsid w:val="00A27E5C"/>
    <w:rsid w:val="00A31FFB"/>
    <w:rsid w:val="00A35CEA"/>
    <w:rsid w:val="00A376FF"/>
    <w:rsid w:val="00A43570"/>
    <w:rsid w:val="00A5520B"/>
    <w:rsid w:val="00A75BDF"/>
    <w:rsid w:val="00A81163"/>
    <w:rsid w:val="00AA450B"/>
    <w:rsid w:val="00AB3477"/>
    <w:rsid w:val="00AD39F0"/>
    <w:rsid w:val="00AD6372"/>
    <w:rsid w:val="00AE07AF"/>
    <w:rsid w:val="00AE5397"/>
    <w:rsid w:val="00AF74D5"/>
    <w:rsid w:val="00B0185A"/>
    <w:rsid w:val="00B06A98"/>
    <w:rsid w:val="00B24668"/>
    <w:rsid w:val="00B2520C"/>
    <w:rsid w:val="00B30297"/>
    <w:rsid w:val="00B320CD"/>
    <w:rsid w:val="00B324BE"/>
    <w:rsid w:val="00B4110D"/>
    <w:rsid w:val="00B428B1"/>
    <w:rsid w:val="00B4565D"/>
    <w:rsid w:val="00B54EC7"/>
    <w:rsid w:val="00B54EDF"/>
    <w:rsid w:val="00B6050B"/>
    <w:rsid w:val="00B606DF"/>
    <w:rsid w:val="00B67F4D"/>
    <w:rsid w:val="00B72EBD"/>
    <w:rsid w:val="00B74D2A"/>
    <w:rsid w:val="00B85B4B"/>
    <w:rsid w:val="00B86F5A"/>
    <w:rsid w:val="00BB1571"/>
    <w:rsid w:val="00BD6B15"/>
    <w:rsid w:val="00BF7898"/>
    <w:rsid w:val="00C14D6A"/>
    <w:rsid w:val="00C23609"/>
    <w:rsid w:val="00C258F3"/>
    <w:rsid w:val="00C26F8E"/>
    <w:rsid w:val="00C2784C"/>
    <w:rsid w:val="00C37D67"/>
    <w:rsid w:val="00C4483B"/>
    <w:rsid w:val="00C55926"/>
    <w:rsid w:val="00C5798F"/>
    <w:rsid w:val="00C66104"/>
    <w:rsid w:val="00C72D2D"/>
    <w:rsid w:val="00C76B02"/>
    <w:rsid w:val="00C770AF"/>
    <w:rsid w:val="00C77CDB"/>
    <w:rsid w:val="00C96461"/>
    <w:rsid w:val="00C96E01"/>
    <w:rsid w:val="00CA4132"/>
    <w:rsid w:val="00CA5C4C"/>
    <w:rsid w:val="00CB010D"/>
    <w:rsid w:val="00CB2280"/>
    <w:rsid w:val="00CB4601"/>
    <w:rsid w:val="00CC7CDF"/>
    <w:rsid w:val="00CD7C50"/>
    <w:rsid w:val="00CE7CBD"/>
    <w:rsid w:val="00CF38F4"/>
    <w:rsid w:val="00CF6236"/>
    <w:rsid w:val="00D0779E"/>
    <w:rsid w:val="00D20921"/>
    <w:rsid w:val="00D22B96"/>
    <w:rsid w:val="00D25020"/>
    <w:rsid w:val="00D423B6"/>
    <w:rsid w:val="00D438F1"/>
    <w:rsid w:val="00D50A84"/>
    <w:rsid w:val="00D558E1"/>
    <w:rsid w:val="00D570F1"/>
    <w:rsid w:val="00D638F0"/>
    <w:rsid w:val="00D9273C"/>
    <w:rsid w:val="00D92FFC"/>
    <w:rsid w:val="00DA27BC"/>
    <w:rsid w:val="00DB51E8"/>
    <w:rsid w:val="00DB57AE"/>
    <w:rsid w:val="00DD37C2"/>
    <w:rsid w:val="00DD61DC"/>
    <w:rsid w:val="00DE11DD"/>
    <w:rsid w:val="00DE464D"/>
    <w:rsid w:val="00DE4FC8"/>
    <w:rsid w:val="00DE5D7C"/>
    <w:rsid w:val="00DF0FCA"/>
    <w:rsid w:val="00DF3B4C"/>
    <w:rsid w:val="00DF4CAE"/>
    <w:rsid w:val="00E11251"/>
    <w:rsid w:val="00E13F12"/>
    <w:rsid w:val="00E21DC8"/>
    <w:rsid w:val="00E263A2"/>
    <w:rsid w:val="00E4374B"/>
    <w:rsid w:val="00E47596"/>
    <w:rsid w:val="00E55933"/>
    <w:rsid w:val="00E6249B"/>
    <w:rsid w:val="00E66BE1"/>
    <w:rsid w:val="00E7349E"/>
    <w:rsid w:val="00E74FCD"/>
    <w:rsid w:val="00E80DE9"/>
    <w:rsid w:val="00E9730F"/>
    <w:rsid w:val="00EB4FFA"/>
    <w:rsid w:val="00EC553C"/>
    <w:rsid w:val="00ED643E"/>
    <w:rsid w:val="00EE2809"/>
    <w:rsid w:val="00EE4316"/>
    <w:rsid w:val="00EF1E12"/>
    <w:rsid w:val="00EF4744"/>
    <w:rsid w:val="00EF7ED6"/>
    <w:rsid w:val="00F26464"/>
    <w:rsid w:val="00F31A6A"/>
    <w:rsid w:val="00F41D69"/>
    <w:rsid w:val="00F42826"/>
    <w:rsid w:val="00F5143C"/>
    <w:rsid w:val="00F52394"/>
    <w:rsid w:val="00F6165D"/>
    <w:rsid w:val="00F672FA"/>
    <w:rsid w:val="00F779ED"/>
    <w:rsid w:val="00F828E0"/>
    <w:rsid w:val="00F95CE9"/>
    <w:rsid w:val="00FA130C"/>
    <w:rsid w:val="00FA392F"/>
    <w:rsid w:val="00FA65E2"/>
    <w:rsid w:val="00FB5A0B"/>
    <w:rsid w:val="00FC4B83"/>
    <w:rsid w:val="00FD03B9"/>
    <w:rsid w:val="00FD3110"/>
    <w:rsid w:val="00FD726E"/>
    <w:rsid w:val="00FE61F6"/>
    <w:rsid w:val="00FE6C2C"/>
    <w:rsid w:val="00FF2BE7"/>
    <w:rsid w:val="00FF3E0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6922"/>
  <w15:docId w15:val="{FEC0B9D7-C76A-4B15-BE63-3C79E9B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379"/>
    <w:rPr>
      <w:rFonts w:ascii="Gill Sans MT" w:hAnsi="Gill Sans MT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67F4D"/>
    <w:pPr>
      <w:keepNext/>
      <w:keepLines/>
      <w:numPr>
        <w:numId w:val="19"/>
      </w:numPr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6EE5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4966"/>
    <w:pPr>
      <w:ind w:left="720"/>
      <w:contextualSpacing/>
    </w:pPr>
  </w:style>
  <w:style w:type="paragraph" w:styleId="Geenafstand">
    <w:name w:val="No Spacing"/>
    <w:uiPriority w:val="1"/>
    <w:qFormat/>
    <w:rsid w:val="00F52394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3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CF5"/>
  </w:style>
  <w:style w:type="paragraph" w:styleId="Voettekst">
    <w:name w:val="footer"/>
    <w:basedOn w:val="Standaard"/>
    <w:link w:val="VoettekstChar"/>
    <w:uiPriority w:val="99"/>
    <w:unhideWhenUsed/>
    <w:rsid w:val="003E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CF5"/>
  </w:style>
  <w:style w:type="character" w:styleId="Verwijzingopmerking">
    <w:name w:val="annotation reference"/>
    <w:basedOn w:val="Standaardalinea-lettertype"/>
    <w:uiPriority w:val="99"/>
    <w:semiHidden/>
    <w:unhideWhenUsed/>
    <w:rsid w:val="00C448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48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48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8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83B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FD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67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6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6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20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0BA"/>
    <w:rPr>
      <w:rFonts w:ascii="Gill Sans MT" w:hAnsi="Gill Sans MT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220B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4357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eding@mi-i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eding@mi-is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-is.be/sites/default/files/documents/lijst_van_verenigingen_en_ontvangen_producten_2014_2015_2016_2017_2018_2019_2020_2021_2022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05B2-FC27-4A93-AC2D-BC25C656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1629</Words>
  <Characters>8961</Characters>
  <Application>Microsoft Office Word</Application>
  <DocSecurity>0</DocSecurity>
  <Lines>74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Bossuyt Nele</dc:creator>
  <cp:lastModifiedBy>bossuyt nele</cp:lastModifiedBy>
  <cp:revision>12</cp:revision>
  <cp:lastPrinted>2023-07-07T12:08:00Z</cp:lastPrinted>
  <dcterms:created xsi:type="dcterms:W3CDTF">2023-07-03T19:06:00Z</dcterms:created>
  <dcterms:modified xsi:type="dcterms:W3CDTF">2023-07-07T12:08:00Z</dcterms:modified>
</cp:coreProperties>
</file>