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69" w:rsidRDefault="009B4B7A" w:rsidP="00C27177">
      <w:pPr>
        <w:tabs>
          <w:tab w:val="center" w:pos="4536"/>
        </w:tabs>
        <w:jc w:val="left"/>
        <w:rPr>
          <w:sz w:val="44"/>
          <w:lang w:val="nl-NL" w:eastAsia="fr-BE"/>
        </w:rPr>
      </w:pPr>
      <w:r>
        <w:rPr>
          <w:noProof/>
          <w:sz w:val="44"/>
          <w:lang w:eastAsia="nl-BE"/>
        </w:rPr>
        <w:drawing>
          <wp:anchor distT="0" distB="0" distL="114300" distR="114300" simplePos="0" relativeHeight="251658240" behindDoc="1" locked="0" layoutInCell="1" allowOverlap="1" wp14:anchorId="796D466B" wp14:editId="703361DE">
            <wp:simplePos x="0" y="0"/>
            <wp:positionH relativeFrom="column">
              <wp:posOffset>3862070</wp:posOffset>
            </wp:positionH>
            <wp:positionV relativeFrom="paragraph">
              <wp:posOffset>-318724</wp:posOffset>
            </wp:positionV>
            <wp:extent cx="1875790" cy="95059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mi_logo.jpg"/>
                    <pic:cNvPicPr/>
                  </pic:nvPicPr>
                  <pic:blipFill>
                    <a:blip r:embed="rId9">
                      <a:extLst>
                        <a:ext uri="{28A0092B-C50C-407E-A947-70E740481C1C}">
                          <a14:useLocalDpi xmlns:a14="http://schemas.microsoft.com/office/drawing/2010/main" val="0"/>
                        </a:ext>
                      </a:extLst>
                    </a:blip>
                    <a:stretch>
                      <a:fillRect/>
                    </a:stretch>
                  </pic:blipFill>
                  <pic:spPr>
                    <a:xfrm>
                      <a:off x="0" y="0"/>
                      <a:ext cx="1875790" cy="950595"/>
                    </a:xfrm>
                    <a:prstGeom prst="rect">
                      <a:avLst/>
                    </a:prstGeom>
                  </pic:spPr>
                </pic:pic>
              </a:graphicData>
            </a:graphic>
            <wp14:sizeRelH relativeFrom="page">
              <wp14:pctWidth>0</wp14:pctWidth>
            </wp14:sizeRelH>
            <wp14:sizeRelV relativeFrom="page">
              <wp14:pctHeight>0</wp14:pctHeight>
            </wp14:sizeRelV>
          </wp:anchor>
        </w:drawing>
      </w:r>
      <w:r>
        <w:rPr>
          <w:noProof/>
          <w:sz w:val="44"/>
          <w:lang w:eastAsia="nl-BE"/>
        </w:rPr>
        <w:drawing>
          <wp:anchor distT="0" distB="0" distL="114300" distR="114300" simplePos="0" relativeHeight="251659264" behindDoc="1" locked="0" layoutInCell="1" allowOverlap="1" wp14:anchorId="18AE080E" wp14:editId="6777C92A">
            <wp:simplePos x="0" y="0"/>
            <wp:positionH relativeFrom="column">
              <wp:posOffset>-433705</wp:posOffset>
            </wp:positionH>
            <wp:positionV relativeFrom="paragraph">
              <wp:posOffset>-275590</wp:posOffset>
            </wp:positionV>
            <wp:extent cx="4125595" cy="948690"/>
            <wp:effectExtent l="0" t="0" r="8255" b="381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DNL+FR.png"/>
                    <pic:cNvPicPr/>
                  </pic:nvPicPr>
                  <pic:blipFill>
                    <a:blip r:embed="rId10">
                      <a:extLst>
                        <a:ext uri="{28A0092B-C50C-407E-A947-70E740481C1C}">
                          <a14:useLocalDpi xmlns:a14="http://schemas.microsoft.com/office/drawing/2010/main" val="0"/>
                        </a:ext>
                      </a:extLst>
                    </a:blip>
                    <a:stretch>
                      <a:fillRect/>
                    </a:stretch>
                  </pic:blipFill>
                  <pic:spPr>
                    <a:xfrm>
                      <a:off x="0" y="0"/>
                      <a:ext cx="4125595" cy="948690"/>
                    </a:xfrm>
                    <a:prstGeom prst="rect">
                      <a:avLst/>
                    </a:prstGeom>
                  </pic:spPr>
                </pic:pic>
              </a:graphicData>
            </a:graphic>
            <wp14:sizeRelH relativeFrom="page">
              <wp14:pctWidth>0</wp14:pctWidth>
            </wp14:sizeRelH>
            <wp14:sizeRelV relativeFrom="page">
              <wp14:pctHeight>0</wp14:pctHeight>
            </wp14:sizeRelV>
          </wp:anchor>
        </w:drawing>
      </w:r>
      <w:r>
        <w:rPr>
          <w:sz w:val="44"/>
          <w:lang w:val="nl-NL" w:eastAsia="fr-BE"/>
        </w:rPr>
        <w:tab/>
      </w:r>
    </w:p>
    <w:p w:rsidR="00446C69" w:rsidRDefault="00446C69" w:rsidP="00C27177">
      <w:pPr>
        <w:jc w:val="center"/>
        <w:rPr>
          <w:sz w:val="44"/>
          <w:lang w:val="nl-NL" w:eastAsia="fr-BE"/>
        </w:rPr>
      </w:pPr>
    </w:p>
    <w:p w:rsidR="00446C69" w:rsidRPr="00AB0894" w:rsidRDefault="00446C69" w:rsidP="00C27177">
      <w:pPr>
        <w:jc w:val="center"/>
        <w:rPr>
          <w:rFonts w:asciiTheme="majorHAnsi" w:hAnsiTheme="majorHAnsi"/>
          <w:sz w:val="44"/>
          <w:lang w:val="nl-NL" w:eastAsia="fr-BE"/>
        </w:rPr>
      </w:pPr>
    </w:p>
    <w:p w:rsidR="00446C69" w:rsidRPr="00AB0894" w:rsidRDefault="00446C69" w:rsidP="00C27177">
      <w:pPr>
        <w:jc w:val="center"/>
        <w:rPr>
          <w:rFonts w:asciiTheme="majorHAnsi" w:hAnsiTheme="majorHAnsi"/>
          <w:sz w:val="44"/>
          <w:lang w:val="nl-NL" w:eastAsia="fr-BE"/>
        </w:rPr>
      </w:pPr>
    </w:p>
    <w:p w:rsidR="00C53DDD" w:rsidRPr="00AB0894" w:rsidRDefault="00446C69" w:rsidP="00C27177">
      <w:pPr>
        <w:jc w:val="center"/>
        <w:rPr>
          <w:rFonts w:asciiTheme="majorHAnsi" w:hAnsiTheme="majorHAnsi"/>
          <w:sz w:val="48"/>
          <w:lang w:val="nl-NL" w:eastAsia="fr-BE"/>
        </w:rPr>
      </w:pPr>
      <w:r w:rsidRPr="00AB0894">
        <w:rPr>
          <w:rFonts w:asciiTheme="majorHAnsi" w:hAnsiTheme="majorHAnsi"/>
          <w:sz w:val="48"/>
          <w:lang w:val="nl-NL" w:eastAsia="fr-BE"/>
        </w:rPr>
        <w:t>Belgisch Operationeel Programma voor het Fonds voor Europese Hulp aan de meest behoeftigen: voedselhulp, materiële hulp en begeleidende maatregelen.</w:t>
      </w:r>
    </w:p>
    <w:p w:rsidR="009B4B7A" w:rsidRPr="00AB0894" w:rsidRDefault="009B4B7A" w:rsidP="00C27177">
      <w:pPr>
        <w:jc w:val="center"/>
        <w:rPr>
          <w:rFonts w:asciiTheme="majorHAnsi" w:hAnsiTheme="majorHAnsi"/>
          <w:b/>
          <w:sz w:val="56"/>
          <w:lang w:val="nl-NL" w:eastAsia="fr-BE"/>
        </w:rPr>
      </w:pPr>
      <w:r w:rsidRPr="00AB0894">
        <w:rPr>
          <w:rFonts w:asciiTheme="majorHAnsi" w:hAnsiTheme="majorHAnsi"/>
          <w:b/>
          <w:sz w:val="56"/>
          <w:lang w:val="nl-NL" w:eastAsia="fr-BE"/>
        </w:rPr>
        <w:t>2014 – 2020</w:t>
      </w:r>
    </w:p>
    <w:p w:rsidR="009B4B7A" w:rsidRPr="00AB0894" w:rsidRDefault="009B4B7A" w:rsidP="00C27177">
      <w:pPr>
        <w:jc w:val="center"/>
        <w:rPr>
          <w:rFonts w:asciiTheme="majorHAnsi" w:hAnsiTheme="majorHAnsi"/>
          <w:b/>
          <w:sz w:val="18"/>
        </w:rPr>
      </w:pPr>
    </w:p>
    <w:p w:rsidR="009B4B7A" w:rsidRPr="00AB0894" w:rsidRDefault="009B4B7A" w:rsidP="00C27177">
      <w:pPr>
        <w:pStyle w:val="Duidelijkcitaat"/>
        <w:spacing w:line="276" w:lineRule="auto"/>
        <w:jc w:val="center"/>
        <w:rPr>
          <w:rFonts w:asciiTheme="majorHAnsi" w:hAnsiTheme="majorHAnsi"/>
          <w:sz w:val="48"/>
          <w:szCs w:val="48"/>
        </w:rPr>
      </w:pPr>
      <w:r w:rsidRPr="00AB0894">
        <w:rPr>
          <w:rFonts w:asciiTheme="majorHAnsi" w:hAnsiTheme="majorHAnsi"/>
          <w:sz w:val="48"/>
          <w:szCs w:val="48"/>
        </w:rPr>
        <w:t>JAARRAPPORT 2014</w:t>
      </w:r>
    </w:p>
    <w:p w:rsidR="00446C69" w:rsidRPr="00AB0894" w:rsidRDefault="009B4B7A" w:rsidP="00C27177">
      <w:pPr>
        <w:jc w:val="center"/>
        <w:rPr>
          <w:rFonts w:asciiTheme="majorHAnsi" w:hAnsiTheme="majorHAnsi"/>
          <w:i/>
        </w:rPr>
      </w:pPr>
      <w:r w:rsidRPr="00AB0894">
        <w:rPr>
          <w:rFonts w:asciiTheme="majorHAnsi" w:hAnsiTheme="majorHAnsi"/>
          <w:i/>
        </w:rPr>
        <w:t>Verordening (EU) nr. 223/2014 van het Europees Parlement en de Raad van 11 maart 2014 betreffende het Fonds voor Europese hulp aan de meest behoeftigen</w:t>
      </w:r>
    </w:p>
    <w:p w:rsidR="009B4B7A" w:rsidRPr="00AB0894" w:rsidRDefault="009B4B7A" w:rsidP="00C27177">
      <w:pPr>
        <w:jc w:val="center"/>
        <w:rPr>
          <w:rFonts w:asciiTheme="majorHAnsi" w:hAnsiTheme="majorHAnsi"/>
          <w:i/>
        </w:rPr>
      </w:pPr>
    </w:p>
    <w:p w:rsidR="009B4B7A" w:rsidRPr="00AB0894" w:rsidRDefault="009B4B7A" w:rsidP="00C27177">
      <w:pPr>
        <w:jc w:val="center"/>
        <w:rPr>
          <w:rFonts w:asciiTheme="majorHAnsi" w:hAnsiTheme="majorHAnsi"/>
          <w:i/>
        </w:rPr>
      </w:pPr>
    </w:p>
    <w:p w:rsidR="009B4B7A" w:rsidRPr="00AB0894" w:rsidRDefault="009B4B7A" w:rsidP="00C27177">
      <w:pPr>
        <w:jc w:val="center"/>
        <w:rPr>
          <w:rFonts w:asciiTheme="majorHAnsi" w:hAnsiTheme="majorHAnsi"/>
          <w:i/>
        </w:rPr>
      </w:pPr>
    </w:p>
    <w:p w:rsidR="009B4B7A" w:rsidRPr="00AB0894" w:rsidRDefault="009B4B7A" w:rsidP="00C27177">
      <w:pPr>
        <w:jc w:val="center"/>
        <w:rPr>
          <w:rFonts w:asciiTheme="majorHAnsi" w:hAnsiTheme="majorHAnsi"/>
          <w:i/>
        </w:rPr>
      </w:pPr>
    </w:p>
    <w:p w:rsidR="009B4B7A" w:rsidRPr="00AB0894" w:rsidRDefault="009B4B7A" w:rsidP="00C27177">
      <w:pPr>
        <w:jc w:val="center"/>
        <w:rPr>
          <w:rFonts w:asciiTheme="majorHAnsi" w:hAnsiTheme="majorHAnsi"/>
          <w:i/>
        </w:rPr>
      </w:pPr>
    </w:p>
    <w:p w:rsidR="009B4B7A" w:rsidRPr="00AB0894" w:rsidRDefault="009B4B7A" w:rsidP="00C27177">
      <w:pPr>
        <w:jc w:val="center"/>
        <w:rPr>
          <w:rFonts w:asciiTheme="majorHAnsi" w:hAnsiTheme="majorHAnsi"/>
          <w:i/>
        </w:rPr>
      </w:pPr>
    </w:p>
    <w:p w:rsidR="005614FE" w:rsidRPr="00AB0894" w:rsidRDefault="005614FE" w:rsidP="00C27177">
      <w:pPr>
        <w:jc w:val="center"/>
        <w:rPr>
          <w:rFonts w:asciiTheme="majorHAnsi" w:hAnsiTheme="majorHAnsi"/>
          <w:i/>
        </w:rPr>
      </w:pPr>
    </w:p>
    <w:p w:rsidR="005614FE" w:rsidRDefault="009B4B7A" w:rsidP="00C27177">
      <w:r w:rsidRPr="00AB0894">
        <w:rPr>
          <w:rFonts w:asciiTheme="majorHAnsi" w:hAnsiTheme="majorHAnsi"/>
        </w:rPr>
        <w:t>Redactie: POD Maatschappelijke Integratie, Armoedebestrijdi</w:t>
      </w:r>
      <w:r w:rsidR="005614FE" w:rsidRPr="00AB0894">
        <w:rPr>
          <w:rFonts w:asciiTheme="majorHAnsi" w:hAnsiTheme="majorHAnsi"/>
        </w:rPr>
        <w:t>ng en Grootstedenbeleid.</w:t>
      </w:r>
      <w:r w:rsidR="005614FE">
        <w:br w:type="page"/>
      </w:r>
    </w:p>
    <w:sdt>
      <w:sdtPr>
        <w:rPr>
          <w:smallCaps w:val="0"/>
          <w:spacing w:val="0"/>
          <w:sz w:val="24"/>
          <w:szCs w:val="22"/>
          <w:lang w:val="nl-NL" w:bidi="ar-SA"/>
        </w:rPr>
        <w:id w:val="226116611"/>
        <w:docPartObj>
          <w:docPartGallery w:val="Table of Contents"/>
          <w:docPartUnique/>
        </w:docPartObj>
      </w:sdtPr>
      <w:sdtEndPr>
        <w:rPr>
          <w:b/>
          <w:bCs/>
        </w:rPr>
      </w:sdtEndPr>
      <w:sdtContent>
        <w:p w:rsidR="00FB0AE2" w:rsidRDefault="00FB0AE2">
          <w:pPr>
            <w:pStyle w:val="Kopvaninhoudsopgave"/>
          </w:pPr>
          <w:r>
            <w:rPr>
              <w:lang w:val="nl-NL"/>
            </w:rPr>
            <w:t>Inhoud</w:t>
          </w:r>
        </w:p>
        <w:p w:rsidR="00736B01" w:rsidRDefault="00FB0AE2">
          <w:pPr>
            <w:pStyle w:val="Inhopg1"/>
            <w:tabs>
              <w:tab w:val="left" w:pos="480"/>
              <w:tab w:val="right" w:leader="dot" w:pos="9062"/>
            </w:tabs>
            <w:rPr>
              <w:rFonts w:asciiTheme="minorHAnsi" w:eastAsiaTheme="minorEastAsia" w:hAnsiTheme="minorHAnsi" w:cstheme="minorBidi"/>
              <w:noProof/>
              <w:sz w:val="22"/>
              <w:lang w:eastAsia="nl-BE"/>
            </w:rPr>
          </w:pPr>
          <w:r>
            <w:fldChar w:fldCharType="begin"/>
          </w:r>
          <w:r>
            <w:instrText xml:space="preserve"> TOC \o "1-3" \h \z \u </w:instrText>
          </w:r>
          <w:r>
            <w:fldChar w:fldCharType="separate"/>
          </w:r>
          <w:hyperlink w:anchor="_Toc422390644" w:history="1">
            <w:r w:rsidR="00736B01" w:rsidRPr="007F6203">
              <w:rPr>
                <w:rStyle w:val="Hyperlink"/>
                <w:noProof/>
              </w:rPr>
              <w:t>I.</w:t>
            </w:r>
            <w:r w:rsidR="00736B01">
              <w:rPr>
                <w:rFonts w:asciiTheme="minorHAnsi" w:eastAsiaTheme="minorEastAsia" w:hAnsiTheme="minorHAnsi" w:cstheme="minorBidi"/>
                <w:noProof/>
                <w:sz w:val="22"/>
                <w:lang w:eastAsia="nl-BE"/>
              </w:rPr>
              <w:tab/>
            </w:r>
            <w:r w:rsidR="00736B01" w:rsidRPr="007F6203">
              <w:rPr>
                <w:rStyle w:val="Hyperlink"/>
                <w:noProof/>
              </w:rPr>
              <w:t>Data vereist voor elk jaar</w:t>
            </w:r>
            <w:r w:rsidR="00736B01">
              <w:rPr>
                <w:noProof/>
                <w:webHidden/>
              </w:rPr>
              <w:tab/>
            </w:r>
            <w:r w:rsidR="00736B01">
              <w:rPr>
                <w:noProof/>
                <w:webHidden/>
              </w:rPr>
              <w:fldChar w:fldCharType="begin"/>
            </w:r>
            <w:r w:rsidR="00736B01">
              <w:rPr>
                <w:noProof/>
                <w:webHidden/>
              </w:rPr>
              <w:instrText xml:space="preserve"> PAGEREF _Toc422390644 \h </w:instrText>
            </w:r>
            <w:r w:rsidR="00736B01">
              <w:rPr>
                <w:noProof/>
                <w:webHidden/>
              </w:rPr>
            </w:r>
            <w:r w:rsidR="00736B01">
              <w:rPr>
                <w:noProof/>
                <w:webHidden/>
              </w:rPr>
              <w:fldChar w:fldCharType="separate"/>
            </w:r>
            <w:r w:rsidR="006478ED">
              <w:rPr>
                <w:noProof/>
                <w:webHidden/>
              </w:rPr>
              <w:t>3</w:t>
            </w:r>
            <w:r w:rsidR="00736B01">
              <w:rPr>
                <w:noProof/>
                <w:webHidden/>
              </w:rPr>
              <w:fldChar w:fldCharType="end"/>
            </w:r>
          </w:hyperlink>
        </w:p>
        <w:p w:rsidR="00736B01" w:rsidRDefault="006478ED">
          <w:pPr>
            <w:pStyle w:val="Inhopg2"/>
            <w:tabs>
              <w:tab w:val="left" w:pos="660"/>
              <w:tab w:val="right" w:leader="dot" w:pos="9062"/>
            </w:tabs>
            <w:rPr>
              <w:rFonts w:asciiTheme="minorHAnsi" w:eastAsiaTheme="minorEastAsia" w:hAnsiTheme="minorHAnsi" w:cstheme="minorBidi"/>
              <w:noProof/>
              <w:sz w:val="22"/>
              <w:lang w:eastAsia="nl-BE"/>
            </w:rPr>
          </w:pPr>
          <w:hyperlink w:anchor="_Toc422390645" w:history="1">
            <w:r w:rsidR="00736B01" w:rsidRPr="007F6203">
              <w:rPr>
                <w:rStyle w:val="Hyperlink"/>
                <w:noProof/>
              </w:rPr>
              <w:t>1.</w:t>
            </w:r>
            <w:r w:rsidR="00736B01">
              <w:rPr>
                <w:rFonts w:asciiTheme="minorHAnsi" w:eastAsiaTheme="minorEastAsia" w:hAnsiTheme="minorHAnsi" w:cstheme="minorBidi"/>
                <w:noProof/>
                <w:sz w:val="22"/>
                <w:lang w:eastAsia="nl-BE"/>
              </w:rPr>
              <w:tab/>
            </w:r>
            <w:r w:rsidR="00736B01" w:rsidRPr="007F6203">
              <w:rPr>
                <w:rStyle w:val="Hyperlink"/>
                <w:noProof/>
              </w:rPr>
              <w:t>Identificatie van het jaarrapport</w:t>
            </w:r>
            <w:r w:rsidR="00736B01">
              <w:rPr>
                <w:noProof/>
                <w:webHidden/>
              </w:rPr>
              <w:tab/>
            </w:r>
            <w:r w:rsidR="00736B01">
              <w:rPr>
                <w:noProof/>
                <w:webHidden/>
              </w:rPr>
              <w:fldChar w:fldCharType="begin"/>
            </w:r>
            <w:r w:rsidR="00736B01">
              <w:rPr>
                <w:noProof/>
                <w:webHidden/>
              </w:rPr>
              <w:instrText xml:space="preserve"> PAGEREF _Toc422390645 \h </w:instrText>
            </w:r>
            <w:r w:rsidR="00736B01">
              <w:rPr>
                <w:noProof/>
                <w:webHidden/>
              </w:rPr>
            </w:r>
            <w:r w:rsidR="00736B01">
              <w:rPr>
                <w:noProof/>
                <w:webHidden/>
              </w:rPr>
              <w:fldChar w:fldCharType="separate"/>
            </w:r>
            <w:r>
              <w:rPr>
                <w:noProof/>
                <w:webHidden/>
              </w:rPr>
              <w:t>3</w:t>
            </w:r>
            <w:r w:rsidR="00736B01">
              <w:rPr>
                <w:noProof/>
                <w:webHidden/>
              </w:rPr>
              <w:fldChar w:fldCharType="end"/>
            </w:r>
          </w:hyperlink>
        </w:p>
        <w:p w:rsidR="00736B01" w:rsidRDefault="006478ED">
          <w:pPr>
            <w:pStyle w:val="Inhopg2"/>
            <w:tabs>
              <w:tab w:val="left" w:pos="660"/>
              <w:tab w:val="right" w:leader="dot" w:pos="9062"/>
            </w:tabs>
            <w:rPr>
              <w:rFonts w:asciiTheme="minorHAnsi" w:eastAsiaTheme="minorEastAsia" w:hAnsiTheme="minorHAnsi" w:cstheme="minorBidi"/>
              <w:noProof/>
              <w:sz w:val="22"/>
              <w:lang w:eastAsia="nl-BE"/>
            </w:rPr>
          </w:pPr>
          <w:hyperlink w:anchor="_Toc422390646" w:history="1">
            <w:r w:rsidR="00736B01" w:rsidRPr="007F6203">
              <w:rPr>
                <w:rStyle w:val="Hyperlink"/>
                <w:noProof/>
              </w:rPr>
              <w:t>2.</w:t>
            </w:r>
            <w:r w:rsidR="00736B01">
              <w:rPr>
                <w:rFonts w:asciiTheme="minorHAnsi" w:eastAsiaTheme="minorEastAsia" w:hAnsiTheme="minorHAnsi" w:cstheme="minorBidi"/>
                <w:noProof/>
                <w:sz w:val="22"/>
                <w:lang w:eastAsia="nl-BE"/>
              </w:rPr>
              <w:tab/>
            </w:r>
            <w:r w:rsidR="00736B01" w:rsidRPr="007F6203">
              <w:rPr>
                <w:rStyle w:val="Hyperlink"/>
                <w:noProof/>
              </w:rPr>
              <w:t>Overzicht van de uitvoering van het operationeel programma</w:t>
            </w:r>
            <w:r w:rsidR="00736B01">
              <w:rPr>
                <w:noProof/>
                <w:webHidden/>
              </w:rPr>
              <w:tab/>
            </w:r>
            <w:r w:rsidR="00736B01">
              <w:rPr>
                <w:noProof/>
                <w:webHidden/>
              </w:rPr>
              <w:fldChar w:fldCharType="begin"/>
            </w:r>
            <w:r w:rsidR="00736B01">
              <w:rPr>
                <w:noProof/>
                <w:webHidden/>
              </w:rPr>
              <w:instrText xml:space="preserve"> PAGEREF _Toc422390646 \h </w:instrText>
            </w:r>
            <w:r w:rsidR="00736B01">
              <w:rPr>
                <w:noProof/>
                <w:webHidden/>
              </w:rPr>
            </w:r>
            <w:r w:rsidR="00736B01">
              <w:rPr>
                <w:noProof/>
                <w:webHidden/>
              </w:rPr>
              <w:fldChar w:fldCharType="separate"/>
            </w:r>
            <w:r>
              <w:rPr>
                <w:noProof/>
                <w:webHidden/>
              </w:rPr>
              <w:t>3</w:t>
            </w:r>
            <w:r w:rsidR="00736B01">
              <w:rPr>
                <w:noProof/>
                <w:webHidden/>
              </w:rPr>
              <w:fldChar w:fldCharType="end"/>
            </w:r>
          </w:hyperlink>
        </w:p>
        <w:p w:rsidR="00736B01" w:rsidRPr="00736B01" w:rsidRDefault="006478ED" w:rsidP="00736B01">
          <w:pPr>
            <w:pStyle w:val="Inhopg3"/>
            <w:rPr>
              <w:rFonts w:asciiTheme="minorHAnsi" w:eastAsiaTheme="minorEastAsia" w:hAnsiTheme="minorHAnsi" w:cstheme="minorBidi"/>
              <w:sz w:val="22"/>
              <w:lang w:eastAsia="nl-BE"/>
            </w:rPr>
          </w:pPr>
          <w:hyperlink w:anchor="_Toc422390647" w:history="1">
            <w:r w:rsidR="00736B01" w:rsidRPr="00736B01">
              <w:rPr>
                <w:rStyle w:val="Hyperlink"/>
                <w:b/>
              </w:rPr>
              <w:t>2.1.</w:t>
            </w:r>
            <w:r w:rsidR="00736B01" w:rsidRPr="00736B01">
              <w:rPr>
                <w:rFonts w:asciiTheme="minorHAnsi" w:eastAsiaTheme="minorEastAsia" w:hAnsiTheme="minorHAnsi" w:cstheme="minorBidi"/>
                <w:sz w:val="22"/>
                <w:lang w:eastAsia="nl-BE"/>
              </w:rPr>
              <w:tab/>
            </w:r>
            <w:r w:rsidR="00736B01" w:rsidRPr="00736B01">
              <w:rPr>
                <w:rStyle w:val="Hyperlink"/>
                <w:b/>
              </w:rPr>
              <w:t>Informatie over de implementatie van het programma met referentie naar de gemeenschappelijke indicatoren</w:t>
            </w:r>
            <w:r w:rsidR="00736B01" w:rsidRPr="00736B01">
              <w:rPr>
                <w:webHidden/>
              </w:rPr>
              <w:tab/>
            </w:r>
            <w:r w:rsidR="00736B01" w:rsidRPr="00736B01">
              <w:rPr>
                <w:webHidden/>
              </w:rPr>
              <w:fldChar w:fldCharType="begin"/>
            </w:r>
            <w:r w:rsidR="00736B01" w:rsidRPr="00736B01">
              <w:rPr>
                <w:webHidden/>
              </w:rPr>
              <w:instrText xml:space="preserve"> PAGEREF _Toc422390647 \h </w:instrText>
            </w:r>
            <w:r w:rsidR="00736B01" w:rsidRPr="00736B01">
              <w:rPr>
                <w:webHidden/>
              </w:rPr>
            </w:r>
            <w:r w:rsidR="00736B01" w:rsidRPr="00736B01">
              <w:rPr>
                <w:webHidden/>
              </w:rPr>
              <w:fldChar w:fldCharType="separate"/>
            </w:r>
            <w:r>
              <w:rPr>
                <w:webHidden/>
              </w:rPr>
              <w:t>3</w:t>
            </w:r>
            <w:r w:rsidR="00736B01" w:rsidRPr="00736B01">
              <w:rPr>
                <w:webHidden/>
              </w:rPr>
              <w:fldChar w:fldCharType="end"/>
            </w:r>
          </w:hyperlink>
        </w:p>
        <w:p w:rsidR="00736B01" w:rsidRDefault="006478ED" w:rsidP="00736B01">
          <w:pPr>
            <w:pStyle w:val="Inhopg3"/>
            <w:rPr>
              <w:rFonts w:asciiTheme="minorHAnsi" w:eastAsiaTheme="minorEastAsia" w:hAnsiTheme="minorHAnsi" w:cstheme="minorBidi"/>
              <w:sz w:val="22"/>
              <w:lang w:eastAsia="nl-BE"/>
            </w:rPr>
          </w:pPr>
          <w:hyperlink w:anchor="_Toc422390648" w:history="1">
            <w:r w:rsidR="00736B01" w:rsidRPr="007F6203">
              <w:rPr>
                <w:rStyle w:val="Hyperlink"/>
              </w:rPr>
              <w:t>2.1.1.</w:t>
            </w:r>
            <w:r w:rsidR="00736B01">
              <w:rPr>
                <w:rFonts w:asciiTheme="minorHAnsi" w:eastAsiaTheme="minorEastAsia" w:hAnsiTheme="minorHAnsi" w:cstheme="minorBidi"/>
                <w:sz w:val="22"/>
                <w:lang w:eastAsia="nl-BE"/>
              </w:rPr>
              <w:tab/>
            </w:r>
            <w:r w:rsidR="00736B01" w:rsidRPr="007F6203">
              <w:rPr>
                <w:rStyle w:val="Hyperlink"/>
              </w:rPr>
              <w:t>Inleiding</w:t>
            </w:r>
            <w:r w:rsidR="00736B01">
              <w:rPr>
                <w:webHidden/>
              </w:rPr>
              <w:tab/>
            </w:r>
            <w:r w:rsidR="00736B01">
              <w:rPr>
                <w:webHidden/>
              </w:rPr>
              <w:fldChar w:fldCharType="begin"/>
            </w:r>
            <w:r w:rsidR="00736B01">
              <w:rPr>
                <w:webHidden/>
              </w:rPr>
              <w:instrText xml:space="preserve"> PAGEREF _Toc422390648 \h </w:instrText>
            </w:r>
            <w:r w:rsidR="00736B01">
              <w:rPr>
                <w:webHidden/>
              </w:rPr>
            </w:r>
            <w:r w:rsidR="00736B01">
              <w:rPr>
                <w:webHidden/>
              </w:rPr>
              <w:fldChar w:fldCharType="separate"/>
            </w:r>
            <w:r>
              <w:rPr>
                <w:webHidden/>
              </w:rPr>
              <w:t>3</w:t>
            </w:r>
            <w:r w:rsidR="00736B01">
              <w:rPr>
                <w:webHidden/>
              </w:rPr>
              <w:fldChar w:fldCharType="end"/>
            </w:r>
          </w:hyperlink>
        </w:p>
        <w:p w:rsidR="00736B01" w:rsidRDefault="006478ED" w:rsidP="00736B01">
          <w:pPr>
            <w:pStyle w:val="Inhopg3"/>
            <w:rPr>
              <w:rFonts w:asciiTheme="minorHAnsi" w:eastAsiaTheme="minorEastAsia" w:hAnsiTheme="minorHAnsi" w:cstheme="minorBidi"/>
              <w:sz w:val="22"/>
              <w:lang w:eastAsia="nl-BE"/>
            </w:rPr>
          </w:pPr>
          <w:hyperlink w:anchor="_Toc422390649" w:history="1">
            <w:r w:rsidR="00736B01" w:rsidRPr="007F6203">
              <w:rPr>
                <w:rStyle w:val="Hyperlink"/>
              </w:rPr>
              <w:t>2.1.2.</w:t>
            </w:r>
            <w:r w:rsidR="00736B01">
              <w:rPr>
                <w:rFonts w:asciiTheme="minorHAnsi" w:eastAsiaTheme="minorEastAsia" w:hAnsiTheme="minorHAnsi" w:cstheme="minorBidi"/>
                <w:sz w:val="22"/>
                <w:lang w:eastAsia="nl-BE"/>
              </w:rPr>
              <w:tab/>
            </w:r>
            <w:r w:rsidR="00736B01" w:rsidRPr="007F6203">
              <w:rPr>
                <w:rStyle w:val="Hyperlink"/>
              </w:rPr>
              <w:t>Opstart</w:t>
            </w:r>
            <w:r w:rsidR="00736B01">
              <w:rPr>
                <w:webHidden/>
              </w:rPr>
              <w:tab/>
            </w:r>
            <w:r w:rsidR="00736B01">
              <w:rPr>
                <w:webHidden/>
              </w:rPr>
              <w:fldChar w:fldCharType="begin"/>
            </w:r>
            <w:r w:rsidR="00736B01">
              <w:rPr>
                <w:webHidden/>
              </w:rPr>
              <w:instrText xml:space="preserve"> PAGEREF _Toc422390649 \h </w:instrText>
            </w:r>
            <w:r w:rsidR="00736B01">
              <w:rPr>
                <w:webHidden/>
              </w:rPr>
            </w:r>
            <w:r w:rsidR="00736B01">
              <w:rPr>
                <w:webHidden/>
              </w:rPr>
              <w:fldChar w:fldCharType="separate"/>
            </w:r>
            <w:r>
              <w:rPr>
                <w:webHidden/>
              </w:rPr>
              <w:t>3</w:t>
            </w:r>
            <w:r w:rsidR="00736B01">
              <w:rPr>
                <w:webHidden/>
              </w:rPr>
              <w:fldChar w:fldCharType="end"/>
            </w:r>
          </w:hyperlink>
        </w:p>
        <w:p w:rsidR="00736B01" w:rsidRDefault="006478ED" w:rsidP="00736B01">
          <w:pPr>
            <w:pStyle w:val="Inhopg3"/>
            <w:rPr>
              <w:rFonts w:asciiTheme="minorHAnsi" w:eastAsiaTheme="minorEastAsia" w:hAnsiTheme="minorHAnsi" w:cstheme="minorBidi"/>
              <w:sz w:val="22"/>
              <w:lang w:eastAsia="nl-BE"/>
            </w:rPr>
          </w:pPr>
          <w:hyperlink w:anchor="_Toc422390650" w:history="1">
            <w:r w:rsidR="00736B01" w:rsidRPr="007F6203">
              <w:rPr>
                <w:rStyle w:val="Hyperlink"/>
              </w:rPr>
              <w:t>2.1.3.</w:t>
            </w:r>
            <w:r w:rsidR="00736B01">
              <w:rPr>
                <w:rFonts w:asciiTheme="minorHAnsi" w:eastAsiaTheme="minorEastAsia" w:hAnsiTheme="minorHAnsi" w:cstheme="minorBidi"/>
                <w:sz w:val="22"/>
                <w:lang w:eastAsia="nl-BE"/>
              </w:rPr>
              <w:tab/>
            </w:r>
            <w:r w:rsidR="00736B01" w:rsidRPr="007F6203">
              <w:rPr>
                <w:rStyle w:val="Hyperlink"/>
              </w:rPr>
              <w:t>Aangepakte materiële ontbering: voedseltekort</w:t>
            </w:r>
            <w:r w:rsidR="00736B01">
              <w:rPr>
                <w:webHidden/>
              </w:rPr>
              <w:tab/>
            </w:r>
            <w:r w:rsidR="00736B01">
              <w:rPr>
                <w:webHidden/>
              </w:rPr>
              <w:fldChar w:fldCharType="begin"/>
            </w:r>
            <w:r w:rsidR="00736B01">
              <w:rPr>
                <w:webHidden/>
              </w:rPr>
              <w:instrText xml:space="preserve"> PAGEREF _Toc422390650 \h </w:instrText>
            </w:r>
            <w:r w:rsidR="00736B01">
              <w:rPr>
                <w:webHidden/>
              </w:rPr>
            </w:r>
            <w:r w:rsidR="00736B01">
              <w:rPr>
                <w:webHidden/>
              </w:rPr>
              <w:fldChar w:fldCharType="separate"/>
            </w:r>
            <w:r>
              <w:rPr>
                <w:webHidden/>
              </w:rPr>
              <w:t>4</w:t>
            </w:r>
            <w:r w:rsidR="00736B01">
              <w:rPr>
                <w:webHidden/>
              </w:rPr>
              <w:fldChar w:fldCharType="end"/>
            </w:r>
          </w:hyperlink>
        </w:p>
        <w:p w:rsidR="00736B01" w:rsidRDefault="006478ED" w:rsidP="00736B01">
          <w:pPr>
            <w:pStyle w:val="Inhopg3"/>
            <w:rPr>
              <w:rFonts w:asciiTheme="minorHAnsi" w:eastAsiaTheme="minorEastAsia" w:hAnsiTheme="minorHAnsi" w:cstheme="minorBidi"/>
              <w:sz w:val="22"/>
              <w:lang w:eastAsia="nl-BE"/>
            </w:rPr>
          </w:pPr>
          <w:hyperlink w:anchor="_Toc422390651" w:history="1">
            <w:r w:rsidR="00736B01" w:rsidRPr="007F6203">
              <w:rPr>
                <w:rStyle w:val="Hyperlink"/>
              </w:rPr>
              <w:t>2.1.4.</w:t>
            </w:r>
            <w:r w:rsidR="00736B01">
              <w:rPr>
                <w:rFonts w:asciiTheme="minorHAnsi" w:eastAsiaTheme="minorEastAsia" w:hAnsiTheme="minorHAnsi" w:cstheme="minorBidi"/>
                <w:sz w:val="22"/>
                <w:lang w:eastAsia="nl-BE"/>
              </w:rPr>
              <w:tab/>
            </w:r>
            <w:r w:rsidR="00736B01" w:rsidRPr="007F6203">
              <w:rPr>
                <w:rStyle w:val="Hyperlink"/>
              </w:rPr>
              <w:t>Identificatie van de meest behoeftigen</w:t>
            </w:r>
            <w:r w:rsidR="00736B01">
              <w:rPr>
                <w:webHidden/>
              </w:rPr>
              <w:tab/>
            </w:r>
            <w:r w:rsidR="00736B01">
              <w:rPr>
                <w:webHidden/>
              </w:rPr>
              <w:fldChar w:fldCharType="begin"/>
            </w:r>
            <w:r w:rsidR="00736B01">
              <w:rPr>
                <w:webHidden/>
              </w:rPr>
              <w:instrText xml:space="preserve"> PAGEREF _Toc422390651 \h </w:instrText>
            </w:r>
            <w:r w:rsidR="00736B01">
              <w:rPr>
                <w:webHidden/>
              </w:rPr>
            </w:r>
            <w:r w:rsidR="00736B01">
              <w:rPr>
                <w:webHidden/>
              </w:rPr>
              <w:fldChar w:fldCharType="separate"/>
            </w:r>
            <w:r>
              <w:rPr>
                <w:webHidden/>
              </w:rPr>
              <w:t>5</w:t>
            </w:r>
            <w:r w:rsidR="00736B01">
              <w:rPr>
                <w:webHidden/>
              </w:rPr>
              <w:fldChar w:fldCharType="end"/>
            </w:r>
          </w:hyperlink>
        </w:p>
        <w:p w:rsidR="00736B01" w:rsidRDefault="006478ED" w:rsidP="00736B01">
          <w:pPr>
            <w:pStyle w:val="Inhopg3"/>
            <w:rPr>
              <w:rFonts w:asciiTheme="minorHAnsi" w:eastAsiaTheme="minorEastAsia" w:hAnsiTheme="minorHAnsi" w:cstheme="minorBidi"/>
              <w:sz w:val="22"/>
              <w:lang w:eastAsia="nl-BE"/>
            </w:rPr>
          </w:pPr>
          <w:hyperlink w:anchor="_Toc422390652" w:history="1">
            <w:r w:rsidR="00736B01" w:rsidRPr="007F6203">
              <w:rPr>
                <w:rStyle w:val="Hyperlink"/>
              </w:rPr>
              <w:t>2.1.5.</w:t>
            </w:r>
            <w:r w:rsidR="00736B01">
              <w:rPr>
                <w:rFonts w:asciiTheme="minorHAnsi" w:eastAsiaTheme="minorEastAsia" w:hAnsiTheme="minorHAnsi" w:cstheme="minorBidi"/>
                <w:sz w:val="22"/>
                <w:lang w:eastAsia="nl-BE"/>
              </w:rPr>
              <w:tab/>
            </w:r>
            <w:r w:rsidR="00736B01" w:rsidRPr="007F6203">
              <w:rPr>
                <w:rStyle w:val="Hyperlink"/>
              </w:rPr>
              <w:t>Selectie van acties</w:t>
            </w:r>
            <w:r w:rsidR="00736B01">
              <w:rPr>
                <w:webHidden/>
              </w:rPr>
              <w:tab/>
            </w:r>
            <w:r w:rsidR="00736B01">
              <w:rPr>
                <w:webHidden/>
              </w:rPr>
              <w:fldChar w:fldCharType="begin"/>
            </w:r>
            <w:r w:rsidR="00736B01">
              <w:rPr>
                <w:webHidden/>
              </w:rPr>
              <w:instrText xml:space="preserve"> PAGEREF _Toc422390652 \h </w:instrText>
            </w:r>
            <w:r w:rsidR="00736B01">
              <w:rPr>
                <w:webHidden/>
              </w:rPr>
            </w:r>
            <w:r w:rsidR="00736B01">
              <w:rPr>
                <w:webHidden/>
              </w:rPr>
              <w:fldChar w:fldCharType="separate"/>
            </w:r>
            <w:r>
              <w:rPr>
                <w:webHidden/>
              </w:rPr>
              <w:t>7</w:t>
            </w:r>
            <w:r w:rsidR="00736B01">
              <w:rPr>
                <w:webHidden/>
              </w:rPr>
              <w:fldChar w:fldCharType="end"/>
            </w:r>
          </w:hyperlink>
        </w:p>
        <w:p w:rsidR="00736B01" w:rsidRDefault="006478ED" w:rsidP="00736B01">
          <w:pPr>
            <w:pStyle w:val="Inhopg3"/>
            <w:rPr>
              <w:rFonts w:asciiTheme="minorHAnsi" w:eastAsiaTheme="minorEastAsia" w:hAnsiTheme="minorHAnsi" w:cstheme="minorBidi"/>
              <w:sz w:val="22"/>
              <w:lang w:eastAsia="nl-BE"/>
            </w:rPr>
          </w:pPr>
          <w:hyperlink w:anchor="_Toc422390653" w:history="1">
            <w:r w:rsidR="00736B01" w:rsidRPr="007F6203">
              <w:rPr>
                <w:rStyle w:val="Hyperlink"/>
              </w:rPr>
              <w:t>2.1.6.</w:t>
            </w:r>
            <w:r w:rsidR="00736B01">
              <w:rPr>
                <w:rFonts w:asciiTheme="minorHAnsi" w:eastAsiaTheme="minorEastAsia" w:hAnsiTheme="minorHAnsi" w:cstheme="minorBidi"/>
                <w:sz w:val="22"/>
                <w:lang w:eastAsia="nl-BE"/>
              </w:rPr>
              <w:tab/>
            </w:r>
            <w:r w:rsidR="00736B01" w:rsidRPr="007F6203">
              <w:rPr>
                <w:rStyle w:val="Hyperlink"/>
              </w:rPr>
              <w:t>Selectie van partnerorganisaties</w:t>
            </w:r>
            <w:r w:rsidR="00736B01">
              <w:rPr>
                <w:webHidden/>
              </w:rPr>
              <w:tab/>
            </w:r>
            <w:r w:rsidR="00736B01">
              <w:rPr>
                <w:webHidden/>
              </w:rPr>
              <w:fldChar w:fldCharType="begin"/>
            </w:r>
            <w:r w:rsidR="00736B01">
              <w:rPr>
                <w:webHidden/>
              </w:rPr>
              <w:instrText xml:space="preserve"> PAGEREF _Toc422390653 \h </w:instrText>
            </w:r>
            <w:r w:rsidR="00736B01">
              <w:rPr>
                <w:webHidden/>
              </w:rPr>
            </w:r>
            <w:r w:rsidR="00736B01">
              <w:rPr>
                <w:webHidden/>
              </w:rPr>
              <w:fldChar w:fldCharType="separate"/>
            </w:r>
            <w:r>
              <w:rPr>
                <w:webHidden/>
              </w:rPr>
              <w:t>11</w:t>
            </w:r>
            <w:r w:rsidR="00736B01">
              <w:rPr>
                <w:webHidden/>
              </w:rPr>
              <w:fldChar w:fldCharType="end"/>
            </w:r>
          </w:hyperlink>
        </w:p>
        <w:p w:rsidR="00736B01" w:rsidRDefault="006478ED" w:rsidP="00736B01">
          <w:pPr>
            <w:pStyle w:val="Inhopg3"/>
            <w:rPr>
              <w:rFonts w:asciiTheme="minorHAnsi" w:eastAsiaTheme="minorEastAsia" w:hAnsiTheme="minorHAnsi" w:cstheme="minorBidi"/>
              <w:sz w:val="22"/>
              <w:lang w:eastAsia="nl-BE"/>
            </w:rPr>
          </w:pPr>
          <w:hyperlink w:anchor="_Toc422390654" w:history="1">
            <w:r w:rsidR="00736B01" w:rsidRPr="007F6203">
              <w:rPr>
                <w:rStyle w:val="Hyperlink"/>
              </w:rPr>
              <w:t>2.1.7.</w:t>
            </w:r>
            <w:r w:rsidR="00736B01">
              <w:rPr>
                <w:rFonts w:asciiTheme="minorHAnsi" w:eastAsiaTheme="minorEastAsia" w:hAnsiTheme="minorHAnsi" w:cstheme="minorBidi"/>
                <w:sz w:val="22"/>
                <w:lang w:eastAsia="nl-BE"/>
              </w:rPr>
              <w:tab/>
            </w:r>
            <w:r w:rsidR="00736B01" w:rsidRPr="007F6203">
              <w:rPr>
                <w:rStyle w:val="Hyperlink"/>
              </w:rPr>
              <w:t>Opstart beheers- en controlesystemen</w:t>
            </w:r>
            <w:r w:rsidR="00736B01">
              <w:rPr>
                <w:webHidden/>
              </w:rPr>
              <w:tab/>
            </w:r>
            <w:r w:rsidR="00736B01">
              <w:rPr>
                <w:webHidden/>
              </w:rPr>
              <w:fldChar w:fldCharType="begin"/>
            </w:r>
            <w:r w:rsidR="00736B01">
              <w:rPr>
                <w:webHidden/>
              </w:rPr>
              <w:instrText xml:space="preserve"> PAGEREF _Toc422390654 \h </w:instrText>
            </w:r>
            <w:r w:rsidR="00736B01">
              <w:rPr>
                <w:webHidden/>
              </w:rPr>
            </w:r>
            <w:r w:rsidR="00736B01">
              <w:rPr>
                <w:webHidden/>
              </w:rPr>
              <w:fldChar w:fldCharType="separate"/>
            </w:r>
            <w:r>
              <w:rPr>
                <w:webHidden/>
              </w:rPr>
              <w:t>12</w:t>
            </w:r>
            <w:r w:rsidR="00736B01">
              <w:rPr>
                <w:webHidden/>
              </w:rPr>
              <w:fldChar w:fldCharType="end"/>
            </w:r>
          </w:hyperlink>
        </w:p>
        <w:p w:rsidR="00736B01" w:rsidRDefault="006478ED" w:rsidP="00736B01">
          <w:pPr>
            <w:pStyle w:val="Inhopg3"/>
            <w:rPr>
              <w:rFonts w:asciiTheme="minorHAnsi" w:eastAsiaTheme="minorEastAsia" w:hAnsiTheme="minorHAnsi" w:cstheme="minorBidi"/>
              <w:sz w:val="22"/>
              <w:lang w:eastAsia="nl-BE"/>
            </w:rPr>
          </w:pPr>
          <w:hyperlink w:anchor="_Toc422390655" w:history="1">
            <w:r w:rsidR="00736B01" w:rsidRPr="007F6203">
              <w:rPr>
                <w:rStyle w:val="Hyperlink"/>
              </w:rPr>
              <w:t>2.1.8.</w:t>
            </w:r>
            <w:r w:rsidR="00736B01">
              <w:rPr>
                <w:rFonts w:asciiTheme="minorHAnsi" w:eastAsiaTheme="minorEastAsia" w:hAnsiTheme="minorHAnsi" w:cstheme="minorBidi"/>
                <w:sz w:val="22"/>
                <w:lang w:eastAsia="nl-BE"/>
              </w:rPr>
              <w:tab/>
            </w:r>
            <w:r w:rsidR="00736B01" w:rsidRPr="007F6203">
              <w:rPr>
                <w:rStyle w:val="Hyperlink"/>
              </w:rPr>
              <w:t>Informatie en communicatie</w:t>
            </w:r>
            <w:r w:rsidR="00736B01">
              <w:rPr>
                <w:webHidden/>
              </w:rPr>
              <w:tab/>
            </w:r>
            <w:r w:rsidR="00736B01">
              <w:rPr>
                <w:webHidden/>
              </w:rPr>
              <w:fldChar w:fldCharType="begin"/>
            </w:r>
            <w:r w:rsidR="00736B01">
              <w:rPr>
                <w:webHidden/>
              </w:rPr>
              <w:instrText xml:space="preserve"> PAGEREF _Toc422390655 \h </w:instrText>
            </w:r>
            <w:r w:rsidR="00736B01">
              <w:rPr>
                <w:webHidden/>
              </w:rPr>
            </w:r>
            <w:r w:rsidR="00736B01">
              <w:rPr>
                <w:webHidden/>
              </w:rPr>
              <w:fldChar w:fldCharType="separate"/>
            </w:r>
            <w:r>
              <w:rPr>
                <w:webHidden/>
              </w:rPr>
              <w:t>14</w:t>
            </w:r>
            <w:r w:rsidR="00736B01">
              <w:rPr>
                <w:webHidden/>
              </w:rPr>
              <w:fldChar w:fldCharType="end"/>
            </w:r>
          </w:hyperlink>
        </w:p>
        <w:p w:rsidR="00736B01" w:rsidRDefault="006478ED" w:rsidP="00736B01">
          <w:pPr>
            <w:pStyle w:val="Inhopg3"/>
            <w:rPr>
              <w:rFonts w:asciiTheme="minorHAnsi" w:eastAsiaTheme="minorEastAsia" w:hAnsiTheme="minorHAnsi" w:cstheme="minorBidi"/>
              <w:sz w:val="22"/>
              <w:lang w:eastAsia="nl-BE"/>
            </w:rPr>
          </w:pPr>
          <w:hyperlink w:anchor="_Toc422390656" w:history="1">
            <w:r w:rsidR="00736B01" w:rsidRPr="007F6203">
              <w:rPr>
                <w:rStyle w:val="Hyperlink"/>
              </w:rPr>
              <w:t>2.1.9.</w:t>
            </w:r>
            <w:r w:rsidR="00736B01">
              <w:rPr>
                <w:rFonts w:asciiTheme="minorHAnsi" w:eastAsiaTheme="minorEastAsia" w:hAnsiTheme="minorHAnsi" w:cstheme="minorBidi"/>
                <w:sz w:val="22"/>
                <w:lang w:eastAsia="nl-BE"/>
              </w:rPr>
              <w:tab/>
            </w:r>
            <w:r w:rsidR="00736B01" w:rsidRPr="007F6203">
              <w:rPr>
                <w:rStyle w:val="Hyperlink"/>
              </w:rPr>
              <w:t>Optimaliseren huidige systeem en voorbereidingen voor het jaar 2015</w:t>
            </w:r>
            <w:r w:rsidR="00736B01">
              <w:rPr>
                <w:webHidden/>
              </w:rPr>
              <w:tab/>
            </w:r>
            <w:r w:rsidR="00736B01">
              <w:rPr>
                <w:webHidden/>
              </w:rPr>
              <w:fldChar w:fldCharType="begin"/>
            </w:r>
            <w:r w:rsidR="00736B01">
              <w:rPr>
                <w:webHidden/>
              </w:rPr>
              <w:instrText xml:space="preserve"> PAGEREF _Toc422390656 \h </w:instrText>
            </w:r>
            <w:r w:rsidR="00736B01">
              <w:rPr>
                <w:webHidden/>
              </w:rPr>
            </w:r>
            <w:r w:rsidR="00736B01">
              <w:rPr>
                <w:webHidden/>
              </w:rPr>
              <w:fldChar w:fldCharType="separate"/>
            </w:r>
            <w:r>
              <w:rPr>
                <w:webHidden/>
              </w:rPr>
              <w:t>14</w:t>
            </w:r>
            <w:r w:rsidR="00736B01">
              <w:rPr>
                <w:webHidden/>
              </w:rPr>
              <w:fldChar w:fldCharType="end"/>
            </w:r>
          </w:hyperlink>
        </w:p>
        <w:p w:rsidR="00736B01" w:rsidRPr="00736B01" w:rsidRDefault="006478ED" w:rsidP="00736B01">
          <w:pPr>
            <w:pStyle w:val="Inhopg3"/>
            <w:rPr>
              <w:rFonts w:asciiTheme="minorHAnsi" w:eastAsiaTheme="minorEastAsia" w:hAnsiTheme="minorHAnsi" w:cstheme="minorBidi"/>
              <w:sz w:val="22"/>
              <w:lang w:eastAsia="nl-BE"/>
            </w:rPr>
          </w:pPr>
          <w:hyperlink w:anchor="_Toc422390657" w:history="1">
            <w:r w:rsidR="00736B01" w:rsidRPr="00736B01">
              <w:rPr>
                <w:rStyle w:val="Hyperlink"/>
                <w:b/>
              </w:rPr>
              <w:t>2.2.</w:t>
            </w:r>
            <w:r w:rsidR="00736B01" w:rsidRPr="00736B01">
              <w:rPr>
                <w:rFonts w:asciiTheme="minorHAnsi" w:eastAsiaTheme="minorEastAsia" w:hAnsiTheme="minorHAnsi" w:cstheme="minorBidi"/>
                <w:sz w:val="22"/>
                <w:lang w:eastAsia="nl-BE"/>
              </w:rPr>
              <w:tab/>
            </w:r>
            <w:r w:rsidR="00736B01" w:rsidRPr="00736B01">
              <w:rPr>
                <w:rStyle w:val="Hyperlink"/>
                <w:b/>
              </w:rPr>
              <w:t>Informatie over de evaluatie van acties die rekening houden met de principes van artikels 5(6), 5 (11), en waar nodig, artikel 5(13) van de verordening (EU) N° 223/2014.</w:t>
            </w:r>
            <w:bookmarkStart w:id="0" w:name="_GoBack"/>
            <w:bookmarkEnd w:id="0"/>
            <w:r w:rsidR="00736B01" w:rsidRPr="00736B01">
              <w:rPr>
                <w:webHidden/>
              </w:rPr>
              <w:tab/>
            </w:r>
            <w:r w:rsidR="00736B01" w:rsidRPr="00736B01">
              <w:rPr>
                <w:webHidden/>
              </w:rPr>
              <w:fldChar w:fldCharType="begin"/>
            </w:r>
            <w:r w:rsidR="00736B01" w:rsidRPr="00736B01">
              <w:rPr>
                <w:webHidden/>
              </w:rPr>
              <w:instrText xml:space="preserve"> PAGEREF _Toc422390657 \h </w:instrText>
            </w:r>
            <w:r w:rsidR="00736B01" w:rsidRPr="00736B01">
              <w:rPr>
                <w:webHidden/>
              </w:rPr>
            </w:r>
            <w:r w:rsidR="00736B01" w:rsidRPr="00736B01">
              <w:rPr>
                <w:webHidden/>
              </w:rPr>
              <w:fldChar w:fldCharType="separate"/>
            </w:r>
            <w:r>
              <w:rPr>
                <w:webHidden/>
              </w:rPr>
              <w:t>16</w:t>
            </w:r>
            <w:r w:rsidR="00736B01" w:rsidRPr="00736B01">
              <w:rPr>
                <w:webHidden/>
              </w:rPr>
              <w:fldChar w:fldCharType="end"/>
            </w:r>
          </w:hyperlink>
        </w:p>
        <w:p w:rsidR="00736B01" w:rsidRPr="00736B01" w:rsidRDefault="006478ED" w:rsidP="00736B01">
          <w:pPr>
            <w:pStyle w:val="Inhopg3"/>
            <w:rPr>
              <w:rFonts w:asciiTheme="minorHAnsi" w:eastAsiaTheme="minorEastAsia" w:hAnsiTheme="minorHAnsi" w:cstheme="minorBidi"/>
              <w:sz w:val="22"/>
              <w:lang w:eastAsia="nl-BE"/>
            </w:rPr>
          </w:pPr>
          <w:hyperlink w:anchor="_Toc422390658" w:history="1">
            <w:r w:rsidR="00736B01" w:rsidRPr="00736B01">
              <w:rPr>
                <w:rStyle w:val="Hyperlink"/>
                <w:b/>
                <w:lang w:val="en-US"/>
              </w:rPr>
              <w:t>2.3.</w:t>
            </w:r>
            <w:r w:rsidR="00736B01" w:rsidRPr="00736B01">
              <w:rPr>
                <w:rFonts w:asciiTheme="minorHAnsi" w:eastAsiaTheme="minorEastAsia" w:hAnsiTheme="minorHAnsi" w:cstheme="minorBidi"/>
                <w:sz w:val="22"/>
                <w:lang w:eastAsia="nl-BE"/>
              </w:rPr>
              <w:tab/>
            </w:r>
            <w:r w:rsidR="00736B01" w:rsidRPr="00736B01">
              <w:rPr>
                <w:rStyle w:val="Hyperlink"/>
                <w:b/>
                <w:lang w:val="en-US"/>
              </w:rPr>
              <w:t>Gemeenschappelijke indicatoren</w:t>
            </w:r>
            <w:r w:rsidR="00736B01" w:rsidRPr="00736B01">
              <w:rPr>
                <w:webHidden/>
              </w:rPr>
              <w:tab/>
            </w:r>
            <w:r w:rsidR="00736B01" w:rsidRPr="00736B01">
              <w:rPr>
                <w:webHidden/>
              </w:rPr>
              <w:fldChar w:fldCharType="begin"/>
            </w:r>
            <w:r w:rsidR="00736B01" w:rsidRPr="00736B01">
              <w:rPr>
                <w:webHidden/>
              </w:rPr>
              <w:instrText xml:space="preserve"> PAGEREF _Toc422390658 \h </w:instrText>
            </w:r>
            <w:r w:rsidR="00736B01" w:rsidRPr="00736B01">
              <w:rPr>
                <w:webHidden/>
              </w:rPr>
            </w:r>
            <w:r w:rsidR="00736B01" w:rsidRPr="00736B01">
              <w:rPr>
                <w:webHidden/>
              </w:rPr>
              <w:fldChar w:fldCharType="separate"/>
            </w:r>
            <w:r>
              <w:rPr>
                <w:webHidden/>
              </w:rPr>
              <w:t>19</w:t>
            </w:r>
            <w:r w:rsidR="00736B01" w:rsidRPr="00736B01">
              <w:rPr>
                <w:webHidden/>
              </w:rPr>
              <w:fldChar w:fldCharType="end"/>
            </w:r>
          </w:hyperlink>
        </w:p>
        <w:p w:rsidR="00736B01" w:rsidRDefault="006478ED">
          <w:pPr>
            <w:pStyle w:val="Inhopg1"/>
            <w:tabs>
              <w:tab w:val="left" w:pos="480"/>
              <w:tab w:val="right" w:leader="dot" w:pos="9062"/>
            </w:tabs>
            <w:rPr>
              <w:rFonts w:asciiTheme="minorHAnsi" w:eastAsiaTheme="minorEastAsia" w:hAnsiTheme="minorHAnsi" w:cstheme="minorBidi"/>
              <w:noProof/>
              <w:sz w:val="22"/>
              <w:lang w:eastAsia="nl-BE"/>
            </w:rPr>
          </w:pPr>
          <w:hyperlink w:anchor="_Toc422390659" w:history="1">
            <w:r w:rsidR="00736B01" w:rsidRPr="007F6203">
              <w:rPr>
                <w:rStyle w:val="Hyperlink"/>
                <w:noProof/>
                <w:lang w:val="en-US"/>
              </w:rPr>
              <w:t>II.</w:t>
            </w:r>
            <w:r w:rsidR="00736B01">
              <w:rPr>
                <w:rFonts w:asciiTheme="minorHAnsi" w:eastAsiaTheme="minorEastAsia" w:hAnsiTheme="minorHAnsi" w:cstheme="minorBidi"/>
                <w:noProof/>
                <w:sz w:val="22"/>
                <w:lang w:eastAsia="nl-BE"/>
              </w:rPr>
              <w:tab/>
            </w:r>
            <w:r w:rsidR="00736B01" w:rsidRPr="007F6203">
              <w:rPr>
                <w:rStyle w:val="Hyperlink"/>
                <w:noProof/>
                <w:lang w:val="en-US"/>
              </w:rPr>
              <w:t>Reporting submitted in 2017, 2022 and final implementation report</w:t>
            </w:r>
            <w:r w:rsidR="00736B01">
              <w:rPr>
                <w:noProof/>
                <w:webHidden/>
              </w:rPr>
              <w:tab/>
            </w:r>
            <w:r w:rsidR="00736B01">
              <w:rPr>
                <w:noProof/>
                <w:webHidden/>
              </w:rPr>
              <w:fldChar w:fldCharType="begin"/>
            </w:r>
            <w:r w:rsidR="00736B01">
              <w:rPr>
                <w:noProof/>
                <w:webHidden/>
              </w:rPr>
              <w:instrText xml:space="preserve"> PAGEREF _Toc422390659 \h </w:instrText>
            </w:r>
            <w:r w:rsidR="00736B01">
              <w:rPr>
                <w:noProof/>
                <w:webHidden/>
              </w:rPr>
            </w:r>
            <w:r w:rsidR="00736B01">
              <w:rPr>
                <w:noProof/>
                <w:webHidden/>
              </w:rPr>
              <w:fldChar w:fldCharType="separate"/>
            </w:r>
            <w:r>
              <w:rPr>
                <w:noProof/>
                <w:webHidden/>
              </w:rPr>
              <w:t>21</w:t>
            </w:r>
            <w:r w:rsidR="00736B01">
              <w:rPr>
                <w:noProof/>
                <w:webHidden/>
              </w:rPr>
              <w:fldChar w:fldCharType="end"/>
            </w:r>
          </w:hyperlink>
        </w:p>
        <w:p w:rsidR="00736B01" w:rsidRDefault="006478ED">
          <w:pPr>
            <w:pStyle w:val="Inhopg2"/>
            <w:tabs>
              <w:tab w:val="left" w:pos="660"/>
              <w:tab w:val="right" w:leader="dot" w:pos="9062"/>
            </w:tabs>
            <w:rPr>
              <w:rFonts w:asciiTheme="minorHAnsi" w:eastAsiaTheme="minorEastAsia" w:hAnsiTheme="minorHAnsi" w:cstheme="minorBidi"/>
              <w:noProof/>
              <w:sz w:val="22"/>
              <w:lang w:eastAsia="nl-BE"/>
            </w:rPr>
          </w:pPr>
          <w:hyperlink w:anchor="_Toc422390660" w:history="1">
            <w:r w:rsidR="00736B01" w:rsidRPr="007F6203">
              <w:rPr>
                <w:rStyle w:val="Hyperlink"/>
                <w:noProof/>
                <w:lang w:val="en-US"/>
              </w:rPr>
              <w:t>3.</w:t>
            </w:r>
            <w:r w:rsidR="00736B01">
              <w:rPr>
                <w:rFonts w:asciiTheme="minorHAnsi" w:eastAsiaTheme="minorEastAsia" w:hAnsiTheme="minorHAnsi" w:cstheme="minorBidi"/>
                <w:noProof/>
                <w:sz w:val="22"/>
                <w:lang w:eastAsia="nl-BE"/>
              </w:rPr>
              <w:tab/>
            </w:r>
            <w:r w:rsidR="00736B01" w:rsidRPr="007F6203">
              <w:rPr>
                <w:rStyle w:val="Hyperlink"/>
                <w:noProof/>
                <w:lang w:val="en-US"/>
              </w:rPr>
              <w:t>Contribution to achieving the specific and global objectives of the FEAD</w:t>
            </w:r>
            <w:r w:rsidR="00736B01">
              <w:rPr>
                <w:noProof/>
                <w:webHidden/>
              </w:rPr>
              <w:tab/>
            </w:r>
            <w:r w:rsidR="00736B01">
              <w:rPr>
                <w:noProof/>
                <w:webHidden/>
              </w:rPr>
              <w:fldChar w:fldCharType="begin"/>
            </w:r>
            <w:r w:rsidR="00736B01">
              <w:rPr>
                <w:noProof/>
                <w:webHidden/>
              </w:rPr>
              <w:instrText xml:space="preserve"> PAGEREF _Toc422390660 \h </w:instrText>
            </w:r>
            <w:r w:rsidR="00736B01">
              <w:rPr>
                <w:noProof/>
                <w:webHidden/>
              </w:rPr>
            </w:r>
            <w:r w:rsidR="00736B01">
              <w:rPr>
                <w:noProof/>
                <w:webHidden/>
              </w:rPr>
              <w:fldChar w:fldCharType="separate"/>
            </w:r>
            <w:r>
              <w:rPr>
                <w:noProof/>
                <w:webHidden/>
              </w:rPr>
              <w:t>21</w:t>
            </w:r>
            <w:r w:rsidR="00736B01">
              <w:rPr>
                <w:noProof/>
                <w:webHidden/>
              </w:rPr>
              <w:fldChar w:fldCharType="end"/>
            </w:r>
          </w:hyperlink>
        </w:p>
        <w:p w:rsidR="00736B01" w:rsidRDefault="006478ED" w:rsidP="00736B01">
          <w:pPr>
            <w:pStyle w:val="Inhopg3"/>
            <w:rPr>
              <w:rFonts w:asciiTheme="minorHAnsi" w:eastAsiaTheme="minorEastAsia" w:hAnsiTheme="minorHAnsi" w:cstheme="minorBidi"/>
              <w:sz w:val="22"/>
              <w:lang w:eastAsia="nl-BE"/>
            </w:rPr>
          </w:pPr>
          <w:hyperlink w:anchor="_Toc422390661" w:history="1">
            <w:r w:rsidR="00736B01" w:rsidRPr="007F6203">
              <w:rPr>
                <w:rStyle w:val="Hyperlink"/>
                <w:lang w:val="en-US"/>
              </w:rPr>
              <w:t>3.1.</w:t>
            </w:r>
            <w:r w:rsidR="00736B01">
              <w:rPr>
                <w:rFonts w:asciiTheme="minorHAnsi" w:eastAsiaTheme="minorEastAsia" w:hAnsiTheme="minorHAnsi" w:cstheme="minorBidi"/>
                <w:sz w:val="22"/>
                <w:lang w:eastAsia="nl-BE"/>
              </w:rPr>
              <w:tab/>
            </w:r>
            <w:r w:rsidR="00736B01" w:rsidRPr="007F6203">
              <w:rPr>
                <w:rStyle w:val="Hyperlink"/>
                <w:lang w:val="en-US"/>
              </w:rPr>
              <w:t>Information on and assessment of the contribution to achieving the specific and global objectives of the FEAD, specified in Article 3 of Regulation (EY) 223/2014</w:t>
            </w:r>
            <w:r w:rsidR="00736B01">
              <w:rPr>
                <w:webHidden/>
              </w:rPr>
              <w:tab/>
            </w:r>
            <w:r w:rsidR="00736B01">
              <w:rPr>
                <w:webHidden/>
              </w:rPr>
              <w:fldChar w:fldCharType="begin"/>
            </w:r>
            <w:r w:rsidR="00736B01">
              <w:rPr>
                <w:webHidden/>
              </w:rPr>
              <w:instrText xml:space="preserve"> PAGEREF _Toc422390661 \h </w:instrText>
            </w:r>
            <w:r w:rsidR="00736B01">
              <w:rPr>
                <w:webHidden/>
              </w:rPr>
            </w:r>
            <w:r w:rsidR="00736B01">
              <w:rPr>
                <w:webHidden/>
              </w:rPr>
              <w:fldChar w:fldCharType="separate"/>
            </w:r>
            <w:r>
              <w:rPr>
                <w:webHidden/>
              </w:rPr>
              <w:t>21</w:t>
            </w:r>
            <w:r w:rsidR="00736B01">
              <w:rPr>
                <w:webHidden/>
              </w:rPr>
              <w:fldChar w:fldCharType="end"/>
            </w:r>
          </w:hyperlink>
        </w:p>
        <w:p w:rsidR="00736B01" w:rsidRDefault="006478ED">
          <w:pPr>
            <w:pStyle w:val="Inhopg1"/>
            <w:tabs>
              <w:tab w:val="left" w:pos="480"/>
              <w:tab w:val="right" w:leader="dot" w:pos="9062"/>
            </w:tabs>
            <w:rPr>
              <w:rFonts w:asciiTheme="minorHAnsi" w:eastAsiaTheme="minorEastAsia" w:hAnsiTheme="minorHAnsi" w:cstheme="minorBidi"/>
              <w:noProof/>
              <w:sz w:val="22"/>
              <w:lang w:eastAsia="nl-BE"/>
            </w:rPr>
          </w:pPr>
          <w:hyperlink w:anchor="_Toc422390662" w:history="1">
            <w:r w:rsidR="00736B01" w:rsidRPr="007F6203">
              <w:rPr>
                <w:rStyle w:val="Hyperlink"/>
                <w:noProof/>
                <w:lang w:val="en-US"/>
              </w:rPr>
              <w:t>III.</w:t>
            </w:r>
            <w:r w:rsidR="00736B01">
              <w:rPr>
                <w:rFonts w:asciiTheme="minorHAnsi" w:eastAsiaTheme="minorEastAsia" w:hAnsiTheme="minorHAnsi" w:cstheme="minorBidi"/>
                <w:noProof/>
                <w:sz w:val="22"/>
                <w:lang w:eastAsia="nl-BE"/>
              </w:rPr>
              <w:tab/>
            </w:r>
            <w:r w:rsidR="00736B01" w:rsidRPr="007F6203">
              <w:rPr>
                <w:rStyle w:val="Hyperlink"/>
                <w:noProof/>
                <w:lang w:val="en-US"/>
              </w:rPr>
              <w:t>Bijlagen</w:t>
            </w:r>
            <w:r w:rsidR="00736B01">
              <w:rPr>
                <w:noProof/>
                <w:webHidden/>
              </w:rPr>
              <w:tab/>
            </w:r>
            <w:r w:rsidR="00736B01">
              <w:rPr>
                <w:noProof/>
                <w:webHidden/>
              </w:rPr>
              <w:fldChar w:fldCharType="begin"/>
            </w:r>
            <w:r w:rsidR="00736B01">
              <w:rPr>
                <w:noProof/>
                <w:webHidden/>
              </w:rPr>
              <w:instrText xml:space="preserve"> PAGEREF _Toc422390662 \h </w:instrText>
            </w:r>
            <w:r w:rsidR="00736B01">
              <w:rPr>
                <w:noProof/>
                <w:webHidden/>
              </w:rPr>
            </w:r>
            <w:r w:rsidR="00736B01">
              <w:rPr>
                <w:noProof/>
                <w:webHidden/>
              </w:rPr>
              <w:fldChar w:fldCharType="separate"/>
            </w:r>
            <w:r>
              <w:rPr>
                <w:noProof/>
                <w:webHidden/>
              </w:rPr>
              <w:t>21</w:t>
            </w:r>
            <w:r w:rsidR="00736B01">
              <w:rPr>
                <w:noProof/>
                <w:webHidden/>
              </w:rPr>
              <w:fldChar w:fldCharType="end"/>
            </w:r>
          </w:hyperlink>
        </w:p>
        <w:p w:rsidR="00736B01" w:rsidRDefault="006478ED">
          <w:pPr>
            <w:pStyle w:val="Inhopg1"/>
            <w:tabs>
              <w:tab w:val="left" w:pos="480"/>
              <w:tab w:val="right" w:leader="dot" w:pos="9062"/>
            </w:tabs>
            <w:rPr>
              <w:rFonts w:asciiTheme="minorHAnsi" w:eastAsiaTheme="minorEastAsia" w:hAnsiTheme="minorHAnsi" w:cstheme="minorBidi"/>
              <w:noProof/>
              <w:sz w:val="22"/>
              <w:lang w:eastAsia="nl-BE"/>
            </w:rPr>
          </w:pPr>
          <w:hyperlink w:anchor="_Toc422390663" w:history="1">
            <w:r w:rsidR="00736B01" w:rsidRPr="007F6203">
              <w:rPr>
                <w:rStyle w:val="Hyperlink"/>
                <w:noProof/>
              </w:rPr>
              <w:t>IV.</w:t>
            </w:r>
            <w:r w:rsidR="00736B01">
              <w:rPr>
                <w:rFonts w:asciiTheme="minorHAnsi" w:eastAsiaTheme="minorEastAsia" w:hAnsiTheme="minorHAnsi" w:cstheme="minorBidi"/>
                <w:noProof/>
                <w:sz w:val="22"/>
                <w:lang w:eastAsia="nl-BE"/>
              </w:rPr>
              <w:tab/>
            </w:r>
            <w:r w:rsidR="00736B01" w:rsidRPr="007F6203">
              <w:rPr>
                <w:rStyle w:val="Hyperlink"/>
                <w:noProof/>
              </w:rPr>
              <w:t>Lijst van gebruikte afkortingen</w:t>
            </w:r>
            <w:r w:rsidR="00736B01">
              <w:rPr>
                <w:noProof/>
                <w:webHidden/>
              </w:rPr>
              <w:tab/>
            </w:r>
            <w:r w:rsidR="00736B01">
              <w:rPr>
                <w:noProof/>
                <w:webHidden/>
              </w:rPr>
              <w:fldChar w:fldCharType="begin"/>
            </w:r>
            <w:r w:rsidR="00736B01">
              <w:rPr>
                <w:noProof/>
                <w:webHidden/>
              </w:rPr>
              <w:instrText xml:space="preserve"> PAGEREF _Toc422390663 \h </w:instrText>
            </w:r>
            <w:r w:rsidR="00736B01">
              <w:rPr>
                <w:noProof/>
                <w:webHidden/>
              </w:rPr>
            </w:r>
            <w:r w:rsidR="00736B01">
              <w:rPr>
                <w:noProof/>
                <w:webHidden/>
              </w:rPr>
              <w:fldChar w:fldCharType="separate"/>
            </w:r>
            <w:r>
              <w:rPr>
                <w:noProof/>
                <w:webHidden/>
              </w:rPr>
              <w:t>21</w:t>
            </w:r>
            <w:r w:rsidR="00736B01">
              <w:rPr>
                <w:noProof/>
                <w:webHidden/>
              </w:rPr>
              <w:fldChar w:fldCharType="end"/>
            </w:r>
          </w:hyperlink>
        </w:p>
        <w:p w:rsidR="00FB0AE2" w:rsidRDefault="00FB0AE2">
          <w:r>
            <w:rPr>
              <w:b/>
              <w:bCs/>
              <w:lang w:val="nl-NL"/>
            </w:rPr>
            <w:fldChar w:fldCharType="end"/>
          </w:r>
        </w:p>
      </w:sdtContent>
    </w:sdt>
    <w:p w:rsidR="00E74292" w:rsidRDefault="00E74292" w:rsidP="00C27177"/>
    <w:p w:rsidR="00E74292" w:rsidRPr="00E74292" w:rsidRDefault="00E74292" w:rsidP="00C27177"/>
    <w:p w:rsidR="00AB0894" w:rsidRDefault="00AB0894" w:rsidP="00C27177">
      <w:pPr>
        <w:jc w:val="left"/>
        <w:rPr>
          <w:smallCaps/>
          <w:spacing w:val="5"/>
          <w:sz w:val="36"/>
          <w:szCs w:val="36"/>
        </w:rPr>
      </w:pPr>
      <w:r>
        <w:br w:type="page"/>
      </w:r>
    </w:p>
    <w:p w:rsidR="005614FE" w:rsidRDefault="005614FE" w:rsidP="00C27177">
      <w:pPr>
        <w:pStyle w:val="Kop1"/>
        <w:numPr>
          <w:ilvl w:val="0"/>
          <w:numId w:val="5"/>
        </w:numPr>
      </w:pPr>
      <w:bookmarkStart w:id="1" w:name="_Toc422390644"/>
      <w:r>
        <w:lastRenderedPageBreak/>
        <w:t>Data vereist voor elk jaar</w:t>
      </w:r>
      <w:bookmarkEnd w:id="1"/>
    </w:p>
    <w:p w:rsidR="005614FE" w:rsidRDefault="005614FE" w:rsidP="00C27177">
      <w:pPr>
        <w:pStyle w:val="Kop2"/>
        <w:numPr>
          <w:ilvl w:val="0"/>
          <w:numId w:val="2"/>
        </w:numPr>
        <w:spacing w:line="276" w:lineRule="auto"/>
      </w:pPr>
      <w:bookmarkStart w:id="2" w:name="_Toc422390645"/>
      <w:r>
        <w:t>Identificatie van het jaarrapport</w:t>
      </w:r>
      <w:bookmarkEnd w:id="2"/>
    </w:p>
    <w:tbl>
      <w:tblPr>
        <w:tblStyle w:val="Tabelraster"/>
        <w:tblW w:w="0" w:type="auto"/>
        <w:tblLook w:val="04A0" w:firstRow="1" w:lastRow="0" w:firstColumn="1" w:lastColumn="0" w:noHBand="0" w:noVBand="1"/>
      </w:tblPr>
      <w:tblGrid>
        <w:gridCol w:w="4606"/>
        <w:gridCol w:w="4606"/>
      </w:tblGrid>
      <w:tr w:rsidR="005614FE" w:rsidRPr="00AB0894" w:rsidTr="005614FE">
        <w:tc>
          <w:tcPr>
            <w:tcW w:w="4606" w:type="dxa"/>
          </w:tcPr>
          <w:p w:rsidR="005614FE" w:rsidRPr="00AB0894" w:rsidRDefault="00AB0894" w:rsidP="00C27177">
            <w:pPr>
              <w:spacing w:line="276" w:lineRule="auto"/>
            </w:pPr>
            <w:r w:rsidRPr="00AB0894">
              <w:t>CCI</w:t>
            </w:r>
          </w:p>
        </w:tc>
        <w:tc>
          <w:tcPr>
            <w:tcW w:w="4606" w:type="dxa"/>
          </w:tcPr>
          <w:p w:rsidR="005614FE" w:rsidRPr="00AB0894" w:rsidRDefault="00AB0894" w:rsidP="00C27177">
            <w:pPr>
              <w:spacing w:line="276" w:lineRule="auto"/>
            </w:pPr>
            <w:r>
              <w:t>2014BE05FMOP001</w:t>
            </w:r>
          </w:p>
        </w:tc>
      </w:tr>
      <w:tr w:rsidR="005614FE" w:rsidRPr="00AB0894" w:rsidTr="005614FE">
        <w:tc>
          <w:tcPr>
            <w:tcW w:w="4606" w:type="dxa"/>
          </w:tcPr>
          <w:p w:rsidR="005614FE" w:rsidRPr="00AB0894" w:rsidRDefault="00AB0894" w:rsidP="00C27177">
            <w:pPr>
              <w:spacing w:line="276" w:lineRule="auto"/>
            </w:pPr>
            <w:r w:rsidRPr="00AB0894">
              <w:t>Titel</w:t>
            </w:r>
          </w:p>
        </w:tc>
        <w:tc>
          <w:tcPr>
            <w:tcW w:w="4606" w:type="dxa"/>
          </w:tcPr>
          <w:p w:rsidR="005614FE" w:rsidRPr="00AB0894" w:rsidRDefault="00AB0894" w:rsidP="00C27177">
            <w:pPr>
              <w:spacing w:line="276" w:lineRule="auto"/>
            </w:pPr>
            <w:r w:rsidRPr="00AB0894">
              <w:t>Jaarrapport 2014</w:t>
            </w:r>
          </w:p>
        </w:tc>
      </w:tr>
      <w:tr w:rsidR="005614FE" w:rsidRPr="00AB0894" w:rsidTr="005614FE">
        <w:tc>
          <w:tcPr>
            <w:tcW w:w="4606" w:type="dxa"/>
          </w:tcPr>
          <w:p w:rsidR="005614FE" w:rsidRPr="00AB0894" w:rsidRDefault="00AB0894" w:rsidP="00C27177">
            <w:pPr>
              <w:spacing w:line="276" w:lineRule="auto"/>
            </w:pPr>
            <w:r w:rsidRPr="00AB0894">
              <w:t>Versie</w:t>
            </w:r>
          </w:p>
        </w:tc>
        <w:tc>
          <w:tcPr>
            <w:tcW w:w="4606" w:type="dxa"/>
          </w:tcPr>
          <w:p w:rsidR="005614FE" w:rsidRPr="00AB0894" w:rsidRDefault="00AB0894" w:rsidP="00C27177">
            <w:pPr>
              <w:spacing w:line="276" w:lineRule="auto"/>
            </w:pPr>
            <w:r>
              <w:t>1</w:t>
            </w:r>
          </w:p>
        </w:tc>
      </w:tr>
      <w:tr w:rsidR="005614FE" w:rsidRPr="00AB0894" w:rsidTr="005614FE">
        <w:tc>
          <w:tcPr>
            <w:tcW w:w="4606" w:type="dxa"/>
          </w:tcPr>
          <w:p w:rsidR="005614FE" w:rsidRPr="00AB0894" w:rsidRDefault="00AB0894" w:rsidP="00C27177">
            <w:pPr>
              <w:spacing w:line="276" w:lineRule="auto"/>
            </w:pPr>
            <w:r w:rsidRPr="00AB0894">
              <w:t>Verslagjaar</w:t>
            </w:r>
          </w:p>
        </w:tc>
        <w:tc>
          <w:tcPr>
            <w:tcW w:w="4606" w:type="dxa"/>
          </w:tcPr>
          <w:p w:rsidR="005614FE" w:rsidRPr="00AB0894" w:rsidRDefault="00AB0894" w:rsidP="00C27177">
            <w:pPr>
              <w:spacing w:line="276" w:lineRule="auto"/>
            </w:pPr>
            <w:r>
              <w:t>2014</w:t>
            </w:r>
          </w:p>
        </w:tc>
      </w:tr>
      <w:tr w:rsidR="005614FE" w:rsidRPr="00AB0894" w:rsidTr="005614FE">
        <w:tc>
          <w:tcPr>
            <w:tcW w:w="4606" w:type="dxa"/>
          </w:tcPr>
          <w:p w:rsidR="005614FE" w:rsidRPr="008311D8" w:rsidRDefault="00AB0894" w:rsidP="00C27177">
            <w:pPr>
              <w:spacing w:line="276" w:lineRule="auto"/>
            </w:pPr>
            <w:r w:rsidRPr="008311D8">
              <w:t>Datum van consultatie met de stakeholders</w:t>
            </w:r>
          </w:p>
        </w:tc>
        <w:tc>
          <w:tcPr>
            <w:tcW w:w="4606" w:type="dxa"/>
          </w:tcPr>
          <w:p w:rsidR="005614FE" w:rsidRPr="008311D8" w:rsidRDefault="008311D8" w:rsidP="00C27177">
            <w:pPr>
              <w:spacing w:line="276" w:lineRule="auto"/>
            </w:pPr>
            <w:r w:rsidRPr="008311D8">
              <w:t>19/06/2015</w:t>
            </w:r>
          </w:p>
        </w:tc>
      </w:tr>
    </w:tbl>
    <w:p w:rsidR="000E45F4" w:rsidRDefault="00741E09" w:rsidP="00C27177">
      <w:pPr>
        <w:pStyle w:val="Kop2"/>
        <w:numPr>
          <w:ilvl w:val="0"/>
          <w:numId w:val="2"/>
        </w:numPr>
        <w:spacing w:line="276" w:lineRule="auto"/>
      </w:pPr>
      <w:bookmarkStart w:id="3" w:name="_Toc422390646"/>
      <w:r>
        <w:t>Overzicht van de uitvoering van het operationeel programma</w:t>
      </w:r>
      <w:bookmarkEnd w:id="3"/>
    </w:p>
    <w:p w:rsidR="0087680D" w:rsidRPr="0087680D" w:rsidRDefault="0087680D" w:rsidP="00C27177">
      <w:pPr>
        <w:pStyle w:val="Kop3"/>
        <w:numPr>
          <w:ilvl w:val="1"/>
          <w:numId w:val="2"/>
        </w:numPr>
        <w:spacing w:line="276" w:lineRule="auto"/>
      </w:pPr>
      <w:bookmarkStart w:id="4" w:name="_Toc422390647"/>
      <w:r w:rsidRPr="0087680D">
        <w:t>Informatie over de implementatie van het programma met referentie naar de gemeenschappelijke indicatoren</w:t>
      </w:r>
      <w:bookmarkEnd w:id="4"/>
    </w:p>
    <w:p w:rsidR="004B5BBC" w:rsidRDefault="00C75A01" w:rsidP="00C27177">
      <w:pPr>
        <w:pStyle w:val="Kop3"/>
        <w:numPr>
          <w:ilvl w:val="2"/>
          <w:numId w:val="2"/>
        </w:numPr>
        <w:spacing w:after="240" w:line="276" w:lineRule="auto"/>
      </w:pPr>
      <w:bookmarkStart w:id="5" w:name="_Toc422390648"/>
      <w:r>
        <w:t>Inleiding</w:t>
      </w:r>
      <w:bookmarkEnd w:id="5"/>
    </w:p>
    <w:p w:rsidR="004B5BBC" w:rsidRDefault="004B5BBC" w:rsidP="00C27177">
      <w:r>
        <w:t>Het jaar 2014 werd gekenmerkt door één centrale doelstelling, namelijk de continuïteit van de Europees georganiseerde voedselhulp garanderen.</w:t>
      </w:r>
      <w:r>
        <w:tab/>
      </w:r>
      <w:r>
        <w:br/>
        <w:t xml:space="preserve">De overgang van het jaar 2013 naar het jaar 2014 bracht immers verschillende veranderingen met zich mee. Er was niet alleen de verandering op Europees niveau, het Europees voedselhulpprogramma </w:t>
      </w:r>
      <w:r w:rsidR="005C35C9">
        <w:t>dat</w:t>
      </w:r>
      <w:r>
        <w:t xml:space="preserve"> vervangen werd door het Fonds voor Europese hulp </w:t>
      </w:r>
      <w:r w:rsidR="00393FEA">
        <w:t>aan de meest behoeftigen (FEAD), maar ook op Belgisch niveau werd het Belgisch Interventie- en Restitutiebureau (BIRB) d</w:t>
      </w:r>
      <w:r w:rsidR="005C35C9">
        <w:t>at</w:t>
      </w:r>
      <w:r w:rsidR="00393FEA">
        <w:t xml:space="preserve"> instond voor het beheer van het vorige voedselprogramma geregionaliseerd in het kader van de zesde staatshervorming.</w:t>
      </w:r>
    </w:p>
    <w:p w:rsidR="00406A15" w:rsidRDefault="00393FEA" w:rsidP="00C27177">
      <w:r>
        <w:t xml:space="preserve">Deze veranderingen brachten heel wat ongerustheid teweeg bij de ongeveer 800 organisaties </w:t>
      </w:r>
      <w:r w:rsidR="00852F60">
        <w:t>die actief waren in het vorig Europees voedselhulpprogramma</w:t>
      </w:r>
      <w:r>
        <w:t>. Het was lange tijd onduidelijk welke administratie</w:t>
      </w:r>
      <w:r w:rsidR="00B67657">
        <w:t xml:space="preserve"> of welk overheidsniveau</w:t>
      </w:r>
      <w:r w:rsidR="00406A15">
        <w:t xml:space="preserve"> in België</w:t>
      </w:r>
      <w:r>
        <w:t xml:space="preserve"> voor het beheer van het FEAD zou instaan. Uiteindelijk </w:t>
      </w:r>
      <w:r w:rsidR="00852F60">
        <w:t xml:space="preserve">keurde </w:t>
      </w:r>
      <w:r>
        <w:t>de</w:t>
      </w:r>
      <w:r w:rsidR="00B67657">
        <w:t xml:space="preserve"> </w:t>
      </w:r>
      <w:r w:rsidR="00852F60">
        <w:t xml:space="preserve">federale ministerraad de lancering van de aanbesteding om de voedingsmiddelen voor het jaar 2014 aan te kopen </w:t>
      </w:r>
      <w:r w:rsidR="00DD134E">
        <w:t xml:space="preserve">goed in februari 2014 en werd zo de POD </w:t>
      </w:r>
      <w:r w:rsidR="009941D5">
        <w:t xml:space="preserve">Maatschappelijke Integratie (POD MI) </w:t>
      </w:r>
      <w:r w:rsidR="00DD134E">
        <w:t xml:space="preserve">aangeduid om de continuïteit </w:t>
      </w:r>
      <w:r w:rsidR="009B3A39">
        <w:t>van</w:t>
      </w:r>
      <w:r w:rsidR="00DD134E">
        <w:t xml:space="preserve"> de voedselhulp in België te verzekeren. </w:t>
      </w:r>
      <w:r w:rsidR="00B67657">
        <w:t>Vervolgens besliste diezelfde m</w:t>
      </w:r>
      <w:r>
        <w:t>inisterraad in juli 2014 dat de POD MI het operationee</w:t>
      </w:r>
      <w:r w:rsidR="00B67657">
        <w:t>l programma voor de periode 2014-2020 in het kader van het FEAD zou indienen bij de Europese Commissie. Op die manier werd de POD MI officieel aangesteld als trekker in het FEAD-dossier.</w:t>
      </w:r>
    </w:p>
    <w:p w:rsidR="00A07F46" w:rsidRDefault="00A07F46" w:rsidP="00C27177">
      <w:r>
        <w:t xml:space="preserve">Dit jaarverslag bevat een overzicht van de verschillende werkzaamheden die in het jaar 2014 werden uitgevoerd. Indien van toepassing worden deze gekoppeld aan de gemeenschappelijke indicatoren terug te vinden onder punt 2.3. </w:t>
      </w:r>
    </w:p>
    <w:p w:rsidR="00F246CF" w:rsidRDefault="00A07F46" w:rsidP="00C27177">
      <w:pPr>
        <w:pStyle w:val="Kop3"/>
        <w:numPr>
          <w:ilvl w:val="2"/>
          <w:numId w:val="2"/>
        </w:numPr>
        <w:spacing w:after="240" w:line="276" w:lineRule="auto"/>
      </w:pPr>
      <w:bookmarkStart w:id="6" w:name="_Toc422390649"/>
      <w:r>
        <w:t>Opstart</w:t>
      </w:r>
      <w:bookmarkEnd w:id="6"/>
    </w:p>
    <w:p w:rsidR="00852F60" w:rsidRPr="00852F60" w:rsidRDefault="00852F60" w:rsidP="00C27177">
      <w:pPr>
        <w:pStyle w:val="Kop4"/>
        <w:numPr>
          <w:ilvl w:val="3"/>
          <w:numId w:val="2"/>
        </w:numPr>
        <w:spacing w:after="240" w:line="276" w:lineRule="auto"/>
      </w:pPr>
      <w:r w:rsidRPr="00852F60">
        <w:t>Kennisoverdracht met het BIRB</w:t>
      </w:r>
    </w:p>
    <w:p w:rsidR="00852F60" w:rsidRDefault="00852F60" w:rsidP="00C27177">
      <w:r>
        <w:lastRenderedPageBreak/>
        <w:t xml:space="preserve">De POD MI kon bij </w:t>
      </w:r>
      <w:r w:rsidR="005C35C9">
        <w:t>de</w:t>
      </w:r>
      <w:r>
        <w:t xml:space="preserve"> opstart van het FEAD rekenen op een voortreffelijk</w:t>
      </w:r>
      <w:r w:rsidR="00650952">
        <w:t>e kennisoverdracht met het BIRB</w:t>
      </w:r>
      <w:r w:rsidR="005C35C9">
        <w:t xml:space="preserve"> dat </w:t>
      </w:r>
      <w:r>
        <w:t xml:space="preserve">voorheen instond voor de organisatie en het beheer van de Europese voedselhulp. In de periode november 2013 – mei 2014 werden 2 medewerkers  van het BIRB halftijds bij de POD MI gedetacheerd teneinde de transfert van kennis en expertise zo optimaal mogelijk te verwezenlijken. </w:t>
      </w:r>
    </w:p>
    <w:p w:rsidR="00852F60" w:rsidRPr="00DD134E" w:rsidRDefault="00852F60" w:rsidP="00C27177">
      <w:pPr>
        <w:pStyle w:val="Kop4"/>
        <w:numPr>
          <w:ilvl w:val="3"/>
          <w:numId w:val="2"/>
        </w:numPr>
        <w:spacing w:after="240" w:line="276" w:lineRule="auto"/>
      </w:pPr>
      <w:r w:rsidRPr="00DD134E">
        <w:t>Uitwerking operationeel programma</w:t>
      </w:r>
      <w:r w:rsidR="00650952">
        <w:t xml:space="preserve"> (OP)</w:t>
      </w:r>
      <w:r w:rsidR="00B95618">
        <w:t xml:space="preserve"> 2014-2020</w:t>
      </w:r>
    </w:p>
    <w:p w:rsidR="00852F60" w:rsidRDefault="00DD134E" w:rsidP="00C27177">
      <w:r>
        <w:t xml:space="preserve">Artikel 7 § 1 van de verordening (EU) nr. 223/2014  van het Europees Parlement en de Raad van 11 maart 2014 betreffende het Fonds voor Europese hulp </w:t>
      </w:r>
      <w:r w:rsidR="00102C21">
        <w:t xml:space="preserve">aan de meest behoeftigen </w:t>
      </w:r>
      <w:r>
        <w:t>bepaalt dat elke lidstaat binnen de 6 maanden na de inwerkingtreding van deze verordening bij de Europese Commissie een operationeel programma</w:t>
      </w:r>
      <w:r w:rsidR="00650952">
        <w:t xml:space="preserve"> (OP)</w:t>
      </w:r>
      <w:r>
        <w:t xml:space="preserve"> voor de p</w:t>
      </w:r>
      <w:r w:rsidR="001644AC">
        <w:t xml:space="preserve">eriode 2014-2020 moet indienen. Het </w:t>
      </w:r>
      <w:r w:rsidR="00650952">
        <w:t>OP</w:t>
      </w:r>
      <w:r w:rsidR="001644AC">
        <w:t xml:space="preserve"> moest met andere woorden ten laatste op 11 september 2014 ingediend worden.</w:t>
      </w:r>
    </w:p>
    <w:p w:rsidR="001644AC" w:rsidRDefault="001644AC" w:rsidP="00C27177">
      <w:r>
        <w:t>De uitwerking van het OP nam zodus een groot deel van het werkjaar in beslag. Het OP werd tijdig bij de Europese Commissie ingediend en werd uiteindelijk begin december</w:t>
      </w:r>
      <w:r w:rsidR="00A07F46">
        <w:t xml:space="preserve"> 2014 goedgekeurd.</w:t>
      </w:r>
    </w:p>
    <w:p w:rsidR="00F246CF" w:rsidRDefault="00102C21" w:rsidP="00C27177">
      <w:r>
        <w:t>Hoewel het OP pas in dec</w:t>
      </w:r>
      <w:r w:rsidR="008D2480">
        <w:t>ember werd goedgekeurd, betekende</w:t>
      </w:r>
      <w:r>
        <w:t xml:space="preserve"> dit niet dat de uitvoering ervan </w:t>
      </w:r>
      <w:r w:rsidR="009B3A39">
        <w:t xml:space="preserve">pas in december van start ging. </w:t>
      </w:r>
      <w:r w:rsidR="00C954FE">
        <w:t xml:space="preserve">Gezien de meeste </w:t>
      </w:r>
      <w:proofErr w:type="spellStart"/>
      <w:r w:rsidR="00C954FE">
        <w:t>OCMW’s</w:t>
      </w:r>
      <w:proofErr w:type="spellEnd"/>
      <w:r w:rsidR="00C954FE">
        <w:t xml:space="preserve"> en erkende partnerorganisaties al eind december 2013 met uitgeputte voorraden levensmiddelen kampten, moest sneller actie worden ondernomen.</w:t>
      </w:r>
    </w:p>
    <w:p w:rsidR="00C954FE" w:rsidRDefault="00C954FE" w:rsidP="00C27177">
      <w:pPr>
        <w:pStyle w:val="Kop3"/>
        <w:numPr>
          <w:ilvl w:val="2"/>
          <w:numId w:val="2"/>
        </w:numPr>
        <w:spacing w:after="240" w:line="276" w:lineRule="auto"/>
      </w:pPr>
      <w:bookmarkStart w:id="7" w:name="_Toc422390650"/>
      <w:r>
        <w:t>Aangepakte materiële ontbering: voedseltekort</w:t>
      </w:r>
      <w:bookmarkEnd w:id="7"/>
    </w:p>
    <w:p w:rsidR="00C954FE" w:rsidRDefault="004F40A7" w:rsidP="00C27177">
      <w:r>
        <w:t xml:space="preserve">Voor het jaar 2014 werd met het oog op de continuïteit het vorig systeem zoals georganiseerd door het BIRB integraal overgenomen: voedingsmiddelen werden gratis ter beschikking gesteld van </w:t>
      </w:r>
      <w:proofErr w:type="spellStart"/>
      <w:r>
        <w:t>OCMW’s</w:t>
      </w:r>
      <w:proofErr w:type="spellEnd"/>
      <w:r>
        <w:t xml:space="preserve"> en </w:t>
      </w:r>
      <w:r w:rsidR="00F07D9C">
        <w:t xml:space="preserve">erkende </w:t>
      </w:r>
      <w:r>
        <w:t xml:space="preserve">partnerorganisaties voor gratis verdeling onder de meest behoeftigen in België. </w:t>
      </w:r>
      <w:r w:rsidR="00BC0251">
        <w:t xml:space="preserve">Het systeem werd </w:t>
      </w:r>
      <w:r w:rsidR="008E2C51">
        <w:t>uitgevoerd</w:t>
      </w:r>
      <w:r w:rsidR="00BC0251">
        <w:t xml:space="preserve"> </w:t>
      </w:r>
      <w:r w:rsidR="008E2C51">
        <w:t xml:space="preserve">als volgt </w:t>
      </w:r>
      <w:r w:rsidR="00BC0251">
        <w:t xml:space="preserve">zoals </w:t>
      </w:r>
      <w:r w:rsidR="000C7B32">
        <w:t xml:space="preserve">ook beschreven in het OP. </w:t>
      </w:r>
    </w:p>
    <w:p w:rsidR="005D5DAE" w:rsidRDefault="00B917A1" w:rsidP="00C27177">
      <w:pPr>
        <w:numPr>
          <w:ilvl w:val="0"/>
          <w:numId w:val="11"/>
        </w:numPr>
        <w:tabs>
          <w:tab w:val="left" w:pos="720"/>
        </w:tabs>
        <w:spacing w:after="0"/>
        <w:rPr>
          <w:lang w:val="nl-NL" w:eastAsia="nl-BE"/>
        </w:rPr>
      </w:pPr>
      <w:r w:rsidRPr="008F3890">
        <w:rPr>
          <w:b/>
          <w:lang w:val="nl-NL" w:eastAsia="nl-BE"/>
        </w:rPr>
        <w:t>Februari 2014</w:t>
      </w:r>
      <w:r>
        <w:rPr>
          <w:lang w:val="nl-NL" w:eastAsia="nl-BE"/>
        </w:rPr>
        <w:t>: o</w:t>
      </w:r>
      <w:r w:rsidR="00287B8C">
        <w:rPr>
          <w:lang w:val="nl-NL" w:eastAsia="nl-BE"/>
        </w:rPr>
        <w:t>pstelling van de lijst producten.</w:t>
      </w:r>
      <w:r w:rsidR="00287B8C">
        <w:rPr>
          <w:lang w:val="nl-NL" w:eastAsia="nl-BE"/>
        </w:rPr>
        <w:tab/>
      </w:r>
      <w:r w:rsidR="00287B8C">
        <w:rPr>
          <w:lang w:val="nl-NL" w:eastAsia="nl-BE"/>
        </w:rPr>
        <w:br/>
        <w:t>Omwille van de tijdsdruk werd de lijst van produc</w:t>
      </w:r>
      <w:r w:rsidR="004855F7">
        <w:rPr>
          <w:lang w:val="nl-NL" w:eastAsia="nl-BE"/>
        </w:rPr>
        <w:t xml:space="preserve">ten van het jaar 2013 quasi integraal overgenomen. Dit </w:t>
      </w:r>
      <w:r w:rsidR="008160D9">
        <w:rPr>
          <w:lang w:val="nl-NL" w:eastAsia="nl-BE"/>
        </w:rPr>
        <w:t>werd</w:t>
      </w:r>
      <w:r w:rsidR="006B2C43">
        <w:rPr>
          <w:lang w:val="nl-NL" w:eastAsia="nl-BE"/>
        </w:rPr>
        <w:t xml:space="preserve"> beslist</w:t>
      </w:r>
      <w:r w:rsidR="008160D9">
        <w:rPr>
          <w:lang w:val="nl-NL" w:eastAsia="nl-BE"/>
        </w:rPr>
        <w:t xml:space="preserve"> na overleg met de Belgische Federatie </w:t>
      </w:r>
      <w:r w:rsidR="006B2C43">
        <w:rPr>
          <w:lang w:val="nl-NL" w:eastAsia="nl-BE"/>
        </w:rPr>
        <w:t>van Voedselbanken</w:t>
      </w:r>
      <w:r w:rsidR="005D5DAE">
        <w:rPr>
          <w:lang w:val="nl-NL" w:eastAsia="nl-BE"/>
        </w:rPr>
        <w:t>.</w:t>
      </w:r>
    </w:p>
    <w:p w:rsidR="005C35C9" w:rsidRDefault="008F3890" w:rsidP="00C27177">
      <w:pPr>
        <w:numPr>
          <w:ilvl w:val="0"/>
          <w:numId w:val="11"/>
        </w:numPr>
        <w:tabs>
          <w:tab w:val="left" w:pos="720"/>
        </w:tabs>
        <w:spacing w:after="0"/>
        <w:rPr>
          <w:lang w:val="nl-NL" w:eastAsia="nl-BE"/>
        </w:rPr>
      </w:pPr>
      <w:r w:rsidRPr="005D5DAE">
        <w:rPr>
          <w:b/>
          <w:lang w:val="nl-NL" w:eastAsia="nl-BE"/>
        </w:rPr>
        <w:t xml:space="preserve">April – mei 2014: </w:t>
      </w:r>
      <w:r w:rsidRPr="005D5DAE">
        <w:rPr>
          <w:lang w:val="nl-NL" w:eastAsia="nl-BE"/>
        </w:rPr>
        <w:t xml:space="preserve">De </w:t>
      </w:r>
      <w:proofErr w:type="spellStart"/>
      <w:r w:rsidRPr="005D5DAE">
        <w:rPr>
          <w:lang w:val="nl-NL" w:eastAsia="nl-BE"/>
        </w:rPr>
        <w:t>OCMW’s</w:t>
      </w:r>
      <w:proofErr w:type="spellEnd"/>
      <w:r w:rsidRPr="005D5DAE">
        <w:rPr>
          <w:lang w:val="nl-NL" w:eastAsia="nl-BE"/>
        </w:rPr>
        <w:t xml:space="preserve"> en </w:t>
      </w:r>
      <w:r w:rsidR="00650952">
        <w:rPr>
          <w:lang w:val="nl-NL" w:eastAsia="nl-BE"/>
        </w:rPr>
        <w:t>erkende</w:t>
      </w:r>
      <w:r w:rsidRPr="005D5DAE">
        <w:rPr>
          <w:lang w:val="nl-NL" w:eastAsia="nl-BE"/>
        </w:rPr>
        <w:t xml:space="preserve"> partnerorganisaties werden uitgenodigd om een bestelling van levensmiddelen door te geven. Dit gebeurde voor het eerst elektronisch via de website van de POD MI.</w:t>
      </w:r>
      <w:r w:rsidRPr="005D5DAE">
        <w:rPr>
          <w:lang w:val="nl-NL" w:eastAsia="nl-BE"/>
        </w:rPr>
        <w:tab/>
      </w:r>
      <w:r w:rsidRPr="005D5DAE">
        <w:rPr>
          <w:lang w:val="nl-NL" w:eastAsia="nl-BE"/>
        </w:rPr>
        <w:br/>
        <w:t>Dit bleek voor sommige organisaties een moeilijk</w:t>
      </w:r>
      <w:r w:rsidR="005C35C9">
        <w:rPr>
          <w:lang w:val="nl-NL" w:eastAsia="nl-BE"/>
        </w:rPr>
        <w:t xml:space="preserve">e aanpassing gezien de bestellingen bij het BIRB via de post konden worden doorgestuurd. Sommige organisaties dienden dus extra ondersteund te worden, maar het opvragen van de bestellingen is al bij al vlot verlopen. </w:t>
      </w:r>
    </w:p>
    <w:p w:rsidR="005C35C9" w:rsidRDefault="00576DB6" w:rsidP="00650952">
      <w:pPr>
        <w:tabs>
          <w:tab w:val="left" w:pos="720"/>
        </w:tabs>
        <w:spacing w:after="0"/>
        <w:ind w:left="720"/>
        <w:rPr>
          <w:lang w:val="nl-NL" w:eastAsia="nl-BE"/>
        </w:rPr>
      </w:pPr>
      <w:r w:rsidRPr="005C35C9">
        <w:rPr>
          <w:lang w:val="nl-NL" w:eastAsia="nl-BE"/>
        </w:rPr>
        <w:t>Met het opvragen van de bestellingen werd ook het ‘Reglement 2014’ verspreid waarin de voorwaarden voor steun zijn vermeld. Dit reglement werd ter beschikking gesteld op de website van de POD</w:t>
      </w:r>
      <w:r w:rsidR="009941D5" w:rsidRPr="005C35C9">
        <w:rPr>
          <w:lang w:val="nl-NL" w:eastAsia="nl-BE"/>
        </w:rPr>
        <w:t xml:space="preserve"> MI</w:t>
      </w:r>
      <w:r w:rsidRPr="005C35C9">
        <w:rPr>
          <w:lang w:val="nl-NL" w:eastAsia="nl-BE"/>
        </w:rPr>
        <w:t xml:space="preserve">, terug te vinden via volgende link: </w:t>
      </w:r>
      <w:hyperlink r:id="rId11" w:history="1">
        <w:r w:rsidRPr="005C35C9">
          <w:rPr>
            <w:rStyle w:val="Hyperlink"/>
            <w:lang w:val="nl-NL" w:eastAsia="nl-BE"/>
          </w:rPr>
          <w:t>http://www.mi-is.be/be-nl/doc/europa/fead-reglement-2014</w:t>
        </w:r>
      </w:hyperlink>
      <w:r w:rsidR="005C35C9">
        <w:rPr>
          <w:lang w:val="nl-NL" w:eastAsia="nl-BE"/>
        </w:rPr>
        <w:br/>
      </w:r>
      <w:r w:rsidR="00F07D9C" w:rsidRPr="005C35C9">
        <w:rPr>
          <w:lang w:val="nl-NL" w:eastAsia="nl-BE"/>
        </w:rPr>
        <w:t xml:space="preserve">Door het doorgeven van een bestelling verbond de betrokken organisatie zich ertoe het </w:t>
      </w:r>
      <w:r w:rsidR="005C35C9">
        <w:rPr>
          <w:lang w:val="nl-NL" w:eastAsia="nl-BE"/>
        </w:rPr>
        <w:t>geldende reglement na te leven.</w:t>
      </w:r>
      <w:r w:rsidR="005C35C9">
        <w:rPr>
          <w:lang w:val="nl-NL" w:eastAsia="nl-BE"/>
        </w:rPr>
        <w:tab/>
      </w:r>
      <w:r w:rsidR="005C35C9">
        <w:rPr>
          <w:lang w:val="nl-NL" w:eastAsia="nl-BE"/>
        </w:rPr>
        <w:br/>
        <w:t xml:space="preserve">In totaal plaatsten </w:t>
      </w:r>
      <w:r w:rsidR="005C35C9" w:rsidRPr="005C35C9">
        <w:rPr>
          <w:b/>
          <w:lang w:val="nl-NL" w:eastAsia="nl-BE"/>
        </w:rPr>
        <w:t>779</w:t>
      </w:r>
      <w:r w:rsidR="005C35C9">
        <w:rPr>
          <w:lang w:val="nl-NL" w:eastAsia="nl-BE"/>
        </w:rPr>
        <w:t xml:space="preserve"> </w:t>
      </w:r>
      <w:proofErr w:type="spellStart"/>
      <w:r w:rsidR="005C35C9">
        <w:rPr>
          <w:lang w:val="nl-NL" w:eastAsia="nl-BE"/>
        </w:rPr>
        <w:t>OCMW’s</w:t>
      </w:r>
      <w:proofErr w:type="spellEnd"/>
      <w:r w:rsidR="005C35C9">
        <w:rPr>
          <w:lang w:val="nl-NL" w:eastAsia="nl-BE"/>
        </w:rPr>
        <w:t xml:space="preserve">/ partnerorganisaties een bestelling. </w:t>
      </w:r>
    </w:p>
    <w:p w:rsidR="00787110" w:rsidRPr="00650952" w:rsidRDefault="00787110" w:rsidP="00650952">
      <w:pPr>
        <w:pStyle w:val="Lijstalinea"/>
        <w:numPr>
          <w:ilvl w:val="0"/>
          <w:numId w:val="11"/>
        </w:numPr>
        <w:tabs>
          <w:tab w:val="left" w:pos="720"/>
        </w:tabs>
        <w:rPr>
          <w:lang w:val="nl-NL" w:eastAsia="nl-BE"/>
        </w:rPr>
      </w:pPr>
      <w:r w:rsidRPr="005C35C9">
        <w:rPr>
          <w:b/>
          <w:lang w:val="nl-NL" w:eastAsia="nl-BE"/>
        </w:rPr>
        <w:t xml:space="preserve">Maart 2014: </w:t>
      </w:r>
      <w:r w:rsidR="00650952">
        <w:rPr>
          <w:lang w:val="nl-NL" w:eastAsia="nl-BE"/>
        </w:rPr>
        <w:t xml:space="preserve">De </w:t>
      </w:r>
      <w:proofErr w:type="spellStart"/>
      <w:r w:rsidR="00650952">
        <w:rPr>
          <w:lang w:val="nl-NL" w:eastAsia="nl-BE"/>
        </w:rPr>
        <w:t>beheersautoriteit</w:t>
      </w:r>
      <w:proofErr w:type="spellEnd"/>
      <w:r w:rsidR="00650952">
        <w:rPr>
          <w:lang w:val="nl-NL" w:eastAsia="nl-BE"/>
        </w:rPr>
        <w:t xml:space="preserve"> (BA – dienst ESF/ Activering van de POD MI verantwoordelijk voor het beheer van het FEAD)</w:t>
      </w:r>
      <w:r w:rsidR="00F07D9C" w:rsidRPr="00650952">
        <w:rPr>
          <w:lang w:val="nl-NL" w:eastAsia="nl-BE"/>
        </w:rPr>
        <w:t xml:space="preserve"> start</w:t>
      </w:r>
      <w:r w:rsidR="008E2C51" w:rsidRPr="00650952">
        <w:rPr>
          <w:lang w:val="nl-NL" w:eastAsia="nl-BE"/>
        </w:rPr>
        <w:t>te</w:t>
      </w:r>
      <w:r w:rsidR="00F07D9C" w:rsidRPr="00650952">
        <w:rPr>
          <w:lang w:val="nl-NL" w:eastAsia="nl-BE"/>
        </w:rPr>
        <w:t xml:space="preserve"> de procedure om de voedingsmiddelen voor het jaar 2014 aan te kopen door middel van een open </w:t>
      </w:r>
      <w:r w:rsidR="005C0E05">
        <w:rPr>
          <w:lang w:val="nl-NL" w:eastAsia="nl-BE"/>
        </w:rPr>
        <w:t xml:space="preserve">Europese </w:t>
      </w:r>
      <w:r w:rsidR="00F07D9C" w:rsidRPr="00650952">
        <w:rPr>
          <w:lang w:val="nl-NL" w:eastAsia="nl-BE"/>
        </w:rPr>
        <w:t xml:space="preserve">aanbesteding. </w:t>
      </w:r>
      <w:r w:rsidRPr="00650952">
        <w:rPr>
          <w:lang w:val="nl-NL" w:eastAsia="nl-BE"/>
        </w:rPr>
        <w:t>Deze</w:t>
      </w:r>
      <w:r w:rsidR="00F07D9C" w:rsidRPr="00650952">
        <w:rPr>
          <w:lang w:val="nl-NL" w:eastAsia="nl-BE"/>
        </w:rPr>
        <w:t xml:space="preserve"> aanbesteding</w:t>
      </w:r>
      <w:r w:rsidRPr="00650952">
        <w:rPr>
          <w:lang w:val="nl-NL" w:eastAsia="nl-BE"/>
        </w:rPr>
        <w:t xml:space="preserve"> werd </w:t>
      </w:r>
      <w:r w:rsidR="00F07D9C" w:rsidRPr="00650952">
        <w:rPr>
          <w:lang w:val="nl-NL" w:eastAsia="nl-BE"/>
        </w:rPr>
        <w:t xml:space="preserve">in samenwerking de dienst Subsidies en Overheidsopdrachten van de POD MI </w:t>
      </w:r>
      <w:r w:rsidRPr="00650952">
        <w:rPr>
          <w:lang w:val="nl-NL" w:eastAsia="nl-BE"/>
        </w:rPr>
        <w:t xml:space="preserve">gelanceerd op 18 maart 2014 voor een bedrag van </w:t>
      </w:r>
      <w:r w:rsidRPr="00650952">
        <w:rPr>
          <w:b/>
          <w:lang w:val="nl-NL" w:eastAsia="nl-BE"/>
        </w:rPr>
        <w:t xml:space="preserve">11.871.000,00 euro. </w:t>
      </w:r>
      <w:r w:rsidR="00650952">
        <w:rPr>
          <w:lang w:val="nl-NL" w:eastAsia="nl-BE"/>
        </w:rPr>
        <w:t xml:space="preserve">Zie ook punt 2.1.5.1. omtrent de aankoop van het voedsel. </w:t>
      </w:r>
    </w:p>
    <w:p w:rsidR="00787110" w:rsidRPr="00787110" w:rsidRDefault="00787110" w:rsidP="00C27177">
      <w:pPr>
        <w:pStyle w:val="Lijstalinea"/>
        <w:numPr>
          <w:ilvl w:val="0"/>
          <w:numId w:val="11"/>
        </w:numPr>
        <w:tabs>
          <w:tab w:val="left" w:pos="720"/>
        </w:tabs>
        <w:spacing w:before="240" w:after="0"/>
        <w:rPr>
          <w:b/>
          <w:lang w:val="nl-NL" w:eastAsia="nl-BE"/>
        </w:rPr>
      </w:pPr>
      <w:r>
        <w:rPr>
          <w:b/>
          <w:lang w:val="nl-NL" w:eastAsia="nl-BE"/>
        </w:rPr>
        <w:t>Juni – juli 2014:</w:t>
      </w:r>
      <w:r>
        <w:rPr>
          <w:lang w:val="nl-NL" w:eastAsia="nl-BE"/>
        </w:rPr>
        <w:t xml:space="preserve"> De beschikbare levensmiddelen werden verdeeld op bas</w:t>
      </w:r>
      <w:r w:rsidR="008E2C51">
        <w:rPr>
          <w:lang w:val="nl-NL" w:eastAsia="nl-BE"/>
        </w:rPr>
        <w:t>is van enerzijds de bestellingen en de beschikbare hoeveelheden</w:t>
      </w:r>
      <w:r>
        <w:rPr>
          <w:lang w:val="nl-NL" w:eastAsia="nl-BE"/>
        </w:rPr>
        <w:t xml:space="preserve"> en anderzijds een gemeentelijk plafond vastgelegd op basis van het aantal leefloonbegunstigden </w:t>
      </w:r>
      <w:r w:rsidR="005C35C9">
        <w:rPr>
          <w:lang w:val="nl-NL" w:eastAsia="nl-BE"/>
        </w:rPr>
        <w:t xml:space="preserve">per </w:t>
      </w:r>
      <w:r>
        <w:rPr>
          <w:lang w:val="nl-NL" w:eastAsia="nl-BE"/>
        </w:rPr>
        <w:t xml:space="preserve">betrokken gemeente. </w:t>
      </w:r>
    </w:p>
    <w:p w:rsidR="00103C14" w:rsidRPr="00103C14" w:rsidRDefault="00787110" w:rsidP="00C27177">
      <w:pPr>
        <w:pStyle w:val="Lijstalinea"/>
        <w:numPr>
          <w:ilvl w:val="0"/>
          <w:numId w:val="11"/>
        </w:numPr>
        <w:tabs>
          <w:tab w:val="left" w:pos="720"/>
        </w:tabs>
        <w:spacing w:before="240" w:after="0"/>
        <w:rPr>
          <w:b/>
          <w:lang w:val="nl-NL" w:eastAsia="nl-BE"/>
        </w:rPr>
      </w:pPr>
      <w:r>
        <w:rPr>
          <w:b/>
          <w:lang w:val="nl-NL" w:eastAsia="nl-BE"/>
        </w:rPr>
        <w:t xml:space="preserve">Juli 2014: </w:t>
      </w:r>
      <w:r>
        <w:rPr>
          <w:lang w:val="nl-NL" w:eastAsia="nl-BE"/>
        </w:rPr>
        <w:t xml:space="preserve">Start van de </w:t>
      </w:r>
      <w:r w:rsidR="008E2C51">
        <w:rPr>
          <w:lang w:val="nl-NL" w:eastAsia="nl-BE"/>
        </w:rPr>
        <w:t>leveringen. De levensmiddelen we</w:t>
      </w:r>
      <w:r>
        <w:rPr>
          <w:lang w:val="nl-NL" w:eastAsia="nl-BE"/>
        </w:rPr>
        <w:t xml:space="preserve">rden rechtstreeks geleverd aan de partnerorganisaties. </w:t>
      </w:r>
    </w:p>
    <w:p w:rsidR="00C75A01" w:rsidRDefault="00576DB6" w:rsidP="00C27177">
      <w:pPr>
        <w:pStyle w:val="Lijstalinea"/>
        <w:numPr>
          <w:ilvl w:val="0"/>
          <w:numId w:val="11"/>
        </w:numPr>
        <w:tabs>
          <w:tab w:val="left" w:pos="720"/>
        </w:tabs>
        <w:spacing w:before="240" w:after="0"/>
      </w:pPr>
      <w:r w:rsidRPr="00103C14">
        <w:rPr>
          <w:b/>
          <w:lang w:val="nl-NL" w:eastAsia="nl-BE"/>
        </w:rPr>
        <w:t xml:space="preserve">Juli – augustus 2014: </w:t>
      </w:r>
      <w:r w:rsidRPr="00103C14">
        <w:rPr>
          <w:lang w:val="nl-NL" w:eastAsia="nl-BE"/>
        </w:rPr>
        <w:t>Start van de verdeling aan de meest behoeftigen.</w:t>
      </w:r>
      <w:r w:rsidRPr="00103C14">
        <w:rPr>
          <w:lang w:val="nl-NL" w:eastAsia="nl-BE"/>
        </w:rPr>
        <w:tab/>
      </w:r>
      <w:r w:rsidRPr="00103C14">
        <w:rPr>
          <w:lang w:val="nl-NL" w:eastAsia="nl-BE"/>
        </w:rPr>
        <w:br/>
      </w:r>
      <w:r w:rsidR="00103C14" w:rsidRPr="00103C14">
        <w:rPr>
          <w:lang w:val="nl-NL" w:eastAsia="nl-BE"/>
        </w:rPr>
        <w:t xml:space="preserve">De verdeling gebeurde door middel van pakketten of maaltijden in de lokalen van de partnerorganisaties of op straat. </w:t>
      </w:r>
      <w:r w:rsidR="00650952">
        <w:rPr>
          <w:lang w:val="nl-NL" w:eastAsia="nl-BE"/>
        </w:rPr>
        <w:t xml:space="preserve">Zie ook punt 2.1.5.2. omtrent de verdeling van de levensmiddelen. </w:t>
      </w:r>
    </w:p>
    <w:p w:rsidR="0035767E" w:rsidRDefault="0035767E" w:rsidP="00C27177">
      <w:pPr>
        <w:pStyle w:val="Kop3"/>
        <w:numPr>
          <w:ilvl w:val="2"/>
          <w:numId w:val="2"/>
        </w:numPr>
        <w:spacing w:after="240" w:line="276" w:lineRule="auto"/>
      </w:pPr>
      <w:bookmarkStart w:id="8" w:name="_Toc422390651"/>
      <w:r>
        <w:t>Identificatie van de meest behoeftigen</w:t>
      </w:r>
      <w:bookmarkEnd w:id="8"/>
    </w:p>
    <w:p w:rsidR="000C7B32" w:rsidRPr="000C7B32" w:rsidRDefault="000C7B32" w:rsidP="00C27177">
      <w:pPr>
        <w:pStyle w:val="Kop4"/>
        <w:numPr>
          <w:ilvl w:val="3"/>
          <w:numId w:val="2"/>
        </w:numPr>
        <w:spacing w:after="240" w:line="276" w:lineRule="auto"/>
      </w:pPr>
      <w:r>
        <w:t>Algemeen</w:t>
      </w:r>
    </w:p>
    <w:p w:rsidR="00011F50" w:rsidRDefault="00C51DDD" w:rsidP="00C27177">
      <w:r>
        <w:t xml:space="preserve">In het OP is bepaald dat voor de identificatie </w:t>
      </w:r>
      <w:r w:rsidR="002F60CE">
        <w:t>van de meest behoeftigen de criteria</w:t>
      </w:r>
      <w:r w:rsidR="00F07D9C">
        <w:t xml:space="preserve"> na overleg met de partnerorganisaties</w:t>
      </w:r>
      <w:r w:rsidR="002F60CE">
        <w:t xml:space="preserve"> bepaald worden door de </w:t>
      </w:r>
      <w:r w:rsidR="00F07D9C">
        <w:t>BA</w:t>
      </w:r>
      <w:r w:rsidR="002F60CE">
        <w:t xml:space="preserve">. </w:t>
      </w:r>
      <w:r w:rsidR="006B6327">
        <w:t>Zoals hierboven reeds aangehaald werd voor het jaar 2014</w:t>
      </w:r>
      <w:r w:rsidR="002C71DF">
        <w:t>,</w:t>
      </w:r>
      <w:r w:rsidR="006B6327">
        <w:t xml:space="preserve"> in het belang van de continuïteit</w:t>
      </w:r>
      <w:r w:rsidR="002C71DF">
        <w:t>,</w:t>
      </w:r>
      <w:r w:rsidR="006B6327">
        <w:t xml:space="preserve"> </w:t>
      </w:r>
      <w:r w:rsidR="002F60CE">
        <w:t xml:space="preserve">het systeem van het BIRB integraal overgenomen. Dit betekent dat ook de zes </w:t>
      </w:r>
      <w:r>
        <w:t>categorieën van begunstigden zoals gedefinieerd door het BIRB integraal werden overgenomen</w:t>
      </w:r>
      <w:r w:rsidR="000C7B32">
        <w:t xml:space="preserve"> voor het jaar 2014</w:t>
      </w:r>
      <w:r>
        <w:t xml:space="preserve">. </w:t>
      </w:r>
      <w:r w:rsidR="002C71DF">
        <w:t>Deze categorieën zijn de volgende:</w:t>
      </w:r>
    </w:p>
    <w:p w:rsidR="002C71DF" w:rsidRPr="00E65D6A" w:rsidRDefault="002C71DF" w:rsidP="00C27177">
      <w:pPr>
        <w:numPr>
          <w:ilvl w:val="0"/>
          <w:numId w:val="16"/>
        </w:numPr>
        <w:autoSpaceDE w:val="0"/>
        <w:autoSpaceDN w:val="0"/>
        <w:adjustRightInd w:val="0"/>
        <w:spacing w:after="0"/>
        <w:ind w:left="284" w:hanging="284"/>
        <w:rPr>
          <w:rFonts w:cs="TimesNewRoman"/>
          <w:lang w:val="nl-NL"/>
        </w:rPr>
      </w:pPr>
      <w:r w:rsidRPr="00E65D6A">
        <w:rPr>
          <w:rFonts w:cs="TimesNewRoman"/>
          <w:lang w:val="nl-NL"/>
        </w:rPr>
        <w:t>personen en hun gezinslede</w:t>
      </w:r>
      <w:r>
        <w:rPr>
          <w:rFonts w:cs="TimesNewRoman"/>
          <w:lang w:val="nl-NL"/>
        </w:rPr>
        <w:t>n die genieten van een leefloon</w:t>
      </w:r>
      <w:r w:rsidRPr="00E65D6A">
        <w:rPr>
          <w:rFonts w:cs="TimesNewRoman"/>
          <w:lang w:val="nl-NL"/>
        </w:rPr>
        <w:t>;</w:t>
      </w:r>
    </w:p>
    <w:p w:rsidR="002C71DF" w:rsidRPr="00E65D6A" w:rsidRDefault="002C71DF" w:rsidP="00C27177">
      <w:pPr>
        <w:numPr>
          <w:ilvl w:val="0"/>
          <w:numId w:val="16"/>
        </w:numPr>
        <w:autoSpaceDE w:val="0"/>
        <w:autoSpaceDN w:val="0"/>
        <w:adjustRightInd w:val="0"/>
        <w:spacing w:after="0"/>
        <w:ind w:left="284" w:hanging="284"/>
        <w:rPr>
          <w:rFonts w:cs="TimesNewRoman"/>
          <w:lang w:val="nl-NL"/>
        </w:rPr>
      </w:pPr>
      <w:r w:rsidRPr="00E65D6A">
        <w:rPr>
          <w:rFonts w:cs="TimesNewRoman"/>
          <w:lang w:val="nl-NL"/>
        </w:rPr>
        <w:t xml:space="preserve">personen zonder vaste woonplaats </w:t>
      </w:r>
      <w:r>
        <w:rPr>
          <w:rFonts w:cs="TimesNewRoman"/>
          <w:lang w:val="nl-NL"/>
        </w:rPr>
        <w:t>(daklozen)</w:t>
      </w:r>
      <w:r w:rsidRPr="00E65D6A">
        <w:rPr>
          <w:rFonts w:cs="TimesNewRoman"/>
          <w:lang w:val="nl-NL"/>
        </w:rPr>
        <w:t>;</w:t>
      </w:r>
    </w:p>
    <w:p w:rsidR="002C71DF" w:rsidRPr="00E65D6A" w:rsidRDefault="002C71DF" w:rsidP="00C27177">
      <w:pPr>
        <w:numPr>
          <w:ilvl w:val="0"/>
          <w:numId w:val="16"/>
        </w:numPr>
        <w:autoSpaceDE w:val="0"/>
        <w:autoSpaceDN w:val="0"/>
        <w:adjustRightInd w:val="0"/>
        <w:spacing w:after="0"/>
        <w:ind w:left="284" w:hanging="284"/>
        <w:rPr>
          <w:rFonts w:cs="TimesNewRoman"/>
          <w:lang w:val="nl-NL"/>
        </w:rPr>
      </w:pPr>
      <w:r>
        <w:rPr>
          <w:rFonts w:cs="TimesNewRoman"/>
          <w:lang w:val="nl-NL"/>
        </w:rPr>
        <w:t>mensen zonder papieren</w:t>
      </w:r>
      <w:r w:rsidRPr="00E65D6A">
        <w:rPr>
          <w:rFonts w:cs="TimesNewRoman"/>
          <w:lang w:val="nl-NL"/>
        </w:rPr>
        <w:t>;</w:t>
      </w:r>
    </w:p>
    <w:p w:rsidR="002C71DF" w:rsidRPr="00E65D6A" w:rsidRDefault="002C71DF" w:rsidP="00C27177">
      <w:pPr>
        <w:numPr>
          <w:ilvl w:val="0"/>
          <w:numId w:val="16"/>
        </w:numPr>
        <w:autoSpaceDE w:val="0"/>
        <w:autoSpaceDN w:val="0"/>
        <w:adjustRightInd w:val="0"/>
        <w:spacing w:after="0"/>
        <w:ind w:left="284" w:hanging="284"/>
        <w:rPr>
          <w:rFonts w:cs="TimesNewRoman"/>
          <w:lang w:val="nl-NL"/>
        </w:rPr>
      </w:pPr>
      <w:r w:rsidRPr="00E65D6A">
        <w:rPr>
          <w:rFonts w:cs="TimesNewRoman"/>
          <w:lang w:val="nl-NL"/>
        </w:rPr>
        <w:t>mens</w:t>
      </w:r>
      <w:r>
        <w:rPr>
          <w:rFonts w:cs="TimesNewRoman"/>
          <w:lang w:val="nl-NL"/>
        </w:rPr>
        <w:t>en die hier illegaal verblijven</w:t>
      </w:r>
      <w:r w:rsidRPr="00E65D6A">
        <w:rPr>
          <w:rFonts w:cs="TimesNewRoman"/>
          <w:lang w:val="nl-NL"/>
        </w:rPr>
        <w:t>;</w:t>
      </w:r>
    </w:p>
    <w:p w:rsidR="002C71DF" w:rsidRDefault="002C71DF" w:rsidP="00C27177">
      <w:pPr>
        <w:numPr>
          <w:ilvl w:val="0"/>
          <w:numId w:val="16"/>
        </w:numPr>
        <w:autoSpaceDE w:val="0"/>
        <w:autoSpaceDN w:val="0"/>
        <w:adjustRightInd w:val="0"/>
        <w:spacing w:after="0"/>
        <w:ind w:left="284" w:hanging="284"/>
        <w:rPr>
          <w:rFonts w:cs="TimesNewRoman"/>
          <w:lang w:val="nl-NL"/>
        </w:rPr>
      </w:pPr>
      <w:r>
        <w:rPr>
          <w:rFonts w:cs="TimesNewRoman"/>
          <w:lang w:val="nl-NL"/>
        </w:rPr>
        <w:t>vluchtelingen</w:t>
      </w:r>
      <w:r w:rsidRPr="00E65D6A">
        <w:rPr>
          <w:rFonts w:cs="TimesNewRoman"/>
          <w:lang w:val="nl-NL"/>
        </w:rPr>
        <w:t>;</w:t>
      </w:r>
    </w:p>
    <w:p w:rsidR="002C71DF" w:rsidRPr="002C71DF" w:rsidRDefault="002C71DF" w:rsidP="00C27177">
      <w:pPr>
        <w:numPr>
          <w:ilvl w:val="0"/>
          <w:numId w:val="16"/>
        </w:numPr>
        <w:autoSpaceDE w:val="0"/>
        <w:autoSpaceDN w:val="0"/>
        <w:adjustRightInd w:val="0"/>
        <w:ind w:left="284" w:hanging="284"/>
        <w:rPr>
          <w:rFonts w:cs="TimesNewRoman"/>
          <w:lang w:val="nl-NL"/>
        </w:rPr>
      </w:pPr>
      <w:r w:rsidRPr="002C71DF">
        <w:rPr>
          <w:rFonts w:cs="TimesNewRoman"/>
          <w:lang w:val="nl-NL"/>
        </w:rPr>
        <w:t>personen die onder de armoedegrens leven</w:t>
      </w:r>
      <w:r>
        <w:rPr>
          <w:rFonts w:cs="TimesNewRoman"/>
          <w:lang w:val="nl-NL"/>
        </w:rPr>
        <w:t>.</w:t>
      </w:r>
    </w:p>
    <w:p w:rsidR="00F07D9C" w:rsidRDefault="00F07D9C" w:rsidP="00C27177">
      <w:pPr>
        <w:autoSpaceDE w:val="0"/>
        <w:autoSpaceDN w:val="0"/>
        <w:adjustRightInd w:val="0"/>
        <w:spacing w:after="0"/>
        <w:rPr>
          <w:rFonts w:cs="TimesNewRoman"/>
          <w:lang w:val="nl-NL"/>
        </w:rPr>
      </w:pPr>
      <w:r>
        <w:rPr>
          <w:rFonts w:cs="TimesNewRoman"/>
          <w:lang w:val="nl-NL"/>
        </w:rPr>
        <w:t>Het OCMW vormde</w:t>
      </w:r>
      <w:r w:rsidR="002C71DF">
        <w:rPr>
          <w:rFonts w:cs="TimesNewRoman"/>
          <w:lang w:val="nl-NL"/>
        </w:rPr>
        <w:t xml:space="preserve"> de hoeksteen</w:t>
      </w:r>
      <w:r w:rsidR="005C35C9">
        <w:rPr>
          <w:rFonts w:cs="TimesNewRoman"/>
          <w:lang w:val="nl-NL"/>
        </w:rPr>
        <w:t xml:space="preserve"> voor</w:t>
      </w:r>
      <w:r w:rsidR="002C71DF">
        <w:rPr>
          <w:rFonts w:cs="TimesNewRoman"/>
          <w:lang w:val="nl-NL"/>
        </w:rPr>
        <w:t xml:space="preserve"> het vaststellen wie meest behoeftig is. De </w:t>
      </w:r>
      <w:proofErr w:type="spellStart"/>
      <w:r w:rsidR="002C71DF">
        <w:rPr>
          <w:rFonts w:cs="TimesNewRoman"/>
          <w:lang w:val="nl-NL"/>
        </w:rPr>
        <w:t>OCMW’s</w:t>
      </w:r>
      <w:proofErr w:type="spellEnd"/>
      <w:r w:rsidR="002C71DF">
        <w:rPr>
          <w:rFonts w:cs="TimesNewRoman"/>
          <w:lang w:val="nl-NL"/>
        </w:rPr>
        <w:t xml:space="preserve"> konden ook andere categorieën begunstigden weerhouden, voor zover deze vooraf door het OCMW aan de POD MI werden meegedeeld. De categorieën begunstigden, die het OCMW in voorkeur bepaalde in samenspraak met erkende partnerorganisaties actief </w:t>
      </w:r>
      <w:r w:rsidR="002C71DF">
        <w:rPr>
          <w:rFonts w:cs="TimesNewRoman"/>
          <w:lang w:val="nl-NL"/>
        </w:rPr>
        <w:lastRenderedPageBreak/>
        <w:t xml:space="preserve">op hun grondgebied, golden </w:t>
      </w:r>
      <w:r w:rsidR="007E0BEF">
        <w:rPr>
          <w:rFonts w:cs="TimesNewRoman"/>
          <w:lang w:val="nl-NL"/>
        </w:rPr>
        <w:t>zowel voor het OCMW als voor de erkende partnerorganisaties actief in de gemeente.</w:t>
      </w:r>
    </w:p>
    <w:p w:rsidR="00F07D9C" w:rsidRDefault="00F07D9C" w:rsidP="00C27177">
      <w:pPr>
        <w:autoSpaceDE w:val="0"/>
        <w:autoSpaceDN w:val="0"/>
        <w:adjustRightInd w:val="0"/>
        <w:spacing w:after="0"/>
        <w:rPr>
          <w:rFonts w:cs="TimesNewRoman"/>
          <w:lang w:val="nl-NL"/>
        </w:rPr>
      </w:pPr>
    </w:p>
    <w:p w:rsidR="00F07D9C" w:rsidRDefault="00F07D9C" w:rsidP="00C27177">
      <w:pPr>
        <w:autoSpaceDE w:val="0"/>
        <w:autoSpaceDN w:val="0"/>
        <w:adjustRightInd w:val="0"/>
        <w:spacing w:after="0"/>
        <w:rPr>
          <w:rFonts w:cs="TimesNewRoman"/>
          <w:lang w:val="nl-NL"/>
        </w:rPr>
      </w:pPr>
      <w:r>
        <w:rPr>
          <w:rFonts w:cs="TimesNewRoman"/>
          <w:lang w:val="nl-NL"/>
        </w:rPr>
        <w:t xml:space="preserve">Het partnerschap tussen het OCMW en de erkende partnerorganisatie speelt hierin een belangrijke rol. Iedere erkende partnerorganisatie </w:t>
      </w:r>
      <w:r w:rsidR="00135F56">
        <w:rPr>
          <w:rFonts w:cs="TimesNewRoman"/>
          <w:lang w:val="nl-NL"/>
        </w:rPr>
        <w:t>was</w:t>
      </w:r>
      <w:r w:rsidR="000C7B32">
        <w:rPr>
          <w:rFonts w:cs="TimesNewRoman"/>
          <w:lang w:val="nl-NL"/>
        </w:rPr>
        <w:t xml:space="preserve"> verplicht een partnerschapsovereenkomst af te sluiten </w:t>
      </w:r>
      <w:r w:rsidR="009E6F51">
        <w:rPr>
          <w:rFonts w:cs="TimesNewRoman"/>
          <w:lang w:val="nl-NL"/>
        </w:rPr>
        <w:t xml:space="preserve">met het OCMW van de gemeente(s) waarin zij actief </w:t>
      </w:r>
      <w:r w:rsidR="005C35C9">
        <w:rPr>
          <w:rFonts w:cs="TimesNewRoman"/>
          <w:lang w:val="nl-NL"/>
        </w:rPr>
        <w:t>is</w:t>
      </w:r>
      <w:r w:rsidR="009E6F51">
        <w:rPr>
          <w:rFonts w:cs="TimesNewRoman"/>
          <w:lang w:val="nl-NL"/>
        </w:rPr>
        <w:t>.</w:t>
      </w:r>
    </w:p>
    <w:p w:rsidR="00135F56" w:rsidRDefault="00F07D9C" w:rsidP="00C27177">
      <w:pPr>
        <w:rPr>
          <w:lang w:val="nl-NL" w:eastAsia="fr-BE"/>
        </w:rPr>
      </w:pPr>
      <w:r>
        <w:rPr>
          <w:lang w:val="nl-NL" w:eastAsia="fr-BE"/>
        </w:rPr>
        <w:t>Dit partnerschapsakkoord is geen nieuw gegeven, maar was ook al verplicht in het vorig systeem beheerd door het BIRB. In dit partnerschapsakkoord moet het mechanisme om de meest behoeftigen te identificeren worden vastgelegd.</w:t>
      </w:r>
      <w:r w:rsidR="00135F56">
        <w:rPr>
          <w:lang w:val="nl-NL" w:eastAsia="fr-BE"/>
        </w:rPr>
        <w:t xml:space="preserve"> In dit opzicht worden 3 soorten mechanismen onderscheiden:</w:t>
      </w:r>
    </w:p>
    <w:p w:rsidR="00135F56" w:rsidRDefault="00135F56" w:rsidP="00C27177">
      <w:pPr>
        <w:numPr>
          <w:ilvl w:val="0"/>
          <w:numId w:val="18"/>
        </w:numPr>
        <w:spacing w:after="0"/>
        <w:rPr>
          <w:lang w:val="nl-NL" w:eastAsia="nl-BE"/>
        </w:rPr>
      </w:pPr>
      <w:r>
        <w:rPr>
          <w:lang w:val="nl-NL"/>
        </w:rPr>
        <w:t>de begunstigden van de erkende partnerorganisatie beschikken over een individueel (</w:t>
      </w:r>
      <w:proofErr w:type="spellStart"/>
      <w:r>
        <w:rPr>
          <w:lang w:val="nl-NL"/>
        </w:rPr>
        <w:t>gezins</w:t>
      </w:r>
      <w:proofErr w:type="spellEnd"/>
      <w:r>
        <w:rPr>
          <w:lang w:val="nl-NL"/>
        </w:rPr>
        <w:t>)attest afgeleverd door het OCMW;</w:t>
      </w:r>
    </w:p>
    <w:p w:rsidR="00135F56" w:rsidRDefault="00135F56" w:rsidP="00C27177">
      <w:pPr>
        <w:numPr>
          <w:ilvl w:val="0"/>
          <w:numId w:val="18"/>
        </w:numPr>
        <w:spacing w:after="0"/>
        <w:rPr>
          <w:lang w:val="nl-NL"/>
        </w:rPr>
      </w:pPr>
      <w:r>
        <w:rPr>
          <w:lang w:val="nl-NL"/>
        </w:rPr>
        <w:t>de lijst van begunstigden van de erkende partnerorganisatie wordt goedgekeurd door het OCMW;</w:t>
      </w:r>
    </w:p>
    <w:p w:rsidR="000C7B32" w:rsidRDefault="00135F56" w:rsidP="00C27177">
      <w:pPr>
        <w:numPr>
          <w:ilvl w:val="0"/>
          <w:numId w:val="18"/>
        </w:numPr>
        <w:spacing w:after="0"/>
        <w:rPr>
          <w:lang w:val="nl-NL"/>
        </w:rPr>
      </w:pPr>
      <w:r>
        <w:rPr>
          <w:lang w:val="nl-NL"/>
        </w:rPr>
        <w:t>het OCMW en de erkende partnerorganisatie komen overeen dat de partnerorganisatie in staat is zelf na te gaan of iemand voldoet aan de bepaalde criteria. In dit geval dient de erkende partnerorganisatie uiteraard een eigen mechanisme</w:t>
      </w:r>
      <w:r w:rsidR="004A6747">
        <w:rPr>
          <w:lang w:val="nl-NL"/>
        </w:rPr>
        <w:t xml:space="preserve"> in te richten</w:t>
      </w:r>
      <w:r>
        <w:rPr>
          <w:lang w:val="nl-NL"/>
        </w:rPr>
        <w:t xml:space="preserve"> om de meest behoeftigen te identificeren.</w:t>
      </w:r>
    </w:p>
    <w:p w:rsidR="004A6747" w:rsidRDefault="004A6747" w:rsidP="00C27177">
      <w:pPr>
        <w:spacing w:after="0"/>
        <w:rPr>
          <w:lang w:val="nl-NL"/>
        </w:rPr>
      </w:pPr>
    </w:p>
    <w:p w:rsidR="004A6747" w:rsidRDefault="004A6747" w:rsidP="00C27177">
      <w:pPr>
        <w:spacing w:after="0"/>
        <w:rPr>
          <w:lang w:val="nl-NL"/>
        </w:rPr>
      </w:pPr>
      <w:r>
        <w:rPr>
          <w:lang w:val="nl-NL"/>
        </w:rPr>
        <w:t xml:space="preserve">Meer info over de erkenningsvoorwaarden van de </w:t>
      </w:r>
      <w:proofErr w:type="spellStart"/>
      <w:r>
        <w:rPr>
          <w:lang w:val="nl-NL"/>
        </w:rPr>
        <w:t>OCMW’s</w:t>
      </w:r>
      <w:proofErr w:type="spellEnd"/>
      <w:r>
        <w:rPr>
          <w:lang w:val="nl-NL"/>
        </w:rPr>
        <w:t xml:space="preserve"> en partnerorganisaties is terug te vinden onder punt 2.1.6. Selectie van partnerorganisaties. </w:t>
      </w:r>
    </w:p>
    <w:p w:rsidR="00135F56" w:rsidRDefault="00135F56" w:rsidP="00C27177">
      <w:pPr>
        <w:spacing w:after="0"/>
        <w:rPr>
          <w:lang w:val="nl-NL"/>
        </w:rPr>
      </w:pPr>
    </w:p>
    <w:p w:rsidR="00135F56" w:rsidRPr="000C7B32" w:rsidRDefault="00135F56" w:rsidP="00C27177">
      <w:pPr>
        <w:pStyle w:val="Kop4"/>
        <w:numPr>
          <w:ilvl w:val="3"/>
          <w:numId w:val="2"/>
        </w:numPr>
        <w:spacing w:after="240" w:line="276" w:lineRule="auto"/>
      </w:pPr>
      <w:r>
        <w:t>Begeleidende maatregelen</w:t>
      </w:r>
    </w:p>
    <w:p w:rsidR="009941D5" w:rsidRDefault="00650952" w:rsidP="00C27177">
      <w:pPr>
        <w:spacing w:after="0"/>
        <w:rPr>
          <w:lang w:val="nl-NL"/>
        </w:rPr>
      </w:pPr>
      <w:r>
        <w:rPr>
          <w:lang w:val="nl-NL"/>
        </w:rPr>
        <w:t xml:space="preserve">Het partnerschapsakkoord met het OCMW </w:t>
      </w:r>
      <w:r w:rsidR="00593F33">
        <w:rPr>
          <w:lang w:val="nl-NL"/>
        </w:rPr>
        <w:t xml:space="preserve">speelt ook een belangrijke rol in het kader van de begeleidende maatregelen die aangeboden moeten worden aan de meest behoeftigen </w:t>
      </w:r>
      <w:r w:rsidR="0008489A">
        <w:rPr>
          <w:lang w:val="nl-NL"/>
        </w:rPr>
        <w:t>zoals bepaald in</w:t>
      </w:r>
      <w:r w:rsidR="00593F33">
        <w:rPr>
          <w:lang w:val="nl-NL"/>
        </w:rPr>
        <w:t xml:space="preserve"> artikel 7 § 4 van de verordening</w:t>
      </w:r>
      <w:r w:rsidR="009941D5">
        <w:rPr>
          <w:lang w:val="nl-NL"/>
        </w:rPr>
        <w:t xml:space="preserve"> (EU)</w:t>
      </w:r>
      <w:r w:rsidR="00593F33">
        <w:rPr>
          <w:lang w:val="nl-NL"/>
        </w:rPr>
        <w:t xml:space="preserve"> 223/2014.</w:t>
      </w:r>
      <w:r w:rsidR="00593F33">
        <w:rPr>
          <w:lang w:val="nl-NL"/>
        </w:rPr>
        <w:tab/>
      </w:r>
      <w:r w:rsidR="00593F33">
        <w:rPr>
          <w:lang w:val="nl-NL"/>
        </w:rPr>
        <w:br/>
        <w:t xml:space="preserve">Teneinde aan </w:t>
      </w:r>
      <w:r w:rsidR="0008489A">
        <w:rPr>
          <w:lang w:val="nl-NL"/>
        </w:rPr>
        <w:t>deze bepaling</w:t>
      </w:r>
      <w:r w:rsidR="00593F33">
        <w:rPr>
          <w:lang w:val="nl-NL"/>
        </w:rPr>
        <w:t xml:space="preserve"> tegemoet te komen, </w:t>
      </w:r>
      <w:r w:rsidR="00C54F68">
        <w:rPr>
          <w:lang w:val="nl-NL"/>
        </w:rPr>
        <w:t xml:space="preserve">werd </w:t>
      </w:r>
      <w:r w:rsidR="00593F33">
        <w:rPr>
          <w:lang w:val="nl-NL"/>
        </w:rPr>
        <w:t xml:space="preserve">vooral ingezet op het </w:t>
      </w:r>
      <w:proofErr w:type="spellStart"/>
      <w:r w:rsidR="00593F33">
        <w:rPr>
          <w:lang w:val="nl-NL"/>
        </w:rPr>
        <w:t>toeleiden</w:t>
      </w:r>
      <w:proofErr w:type="spellEnd"/>
      <w:r w:rsidR="00593F33">
        <w:rPr>
          <w:lang w:val="nl-NL"/>
        </w:rPr>
        <w:t xml:space="preserve"> van de ontvangers naar het OCMW. </w:t>
      </w:r>
      <w:r w:rsidR="0008489A">
        <w:rPr>
          <w:lang w:val="nl-NL"/>
        </w:rPr>
        <w:t xml:space="preserve">De </w:t>
      </w:r>
      <w:proofErr w:type="spellStart"/>
      <w:r w:rsidR="0008489A">
        <w:rPr>
          <w:lang w:val="nl-NL"/>
        </w:rPr>
        <w:t>OCMW’s</w:t>
      </w:r>
      <w:proofErr w:type="spellEnd"/>
      <w:r w:rsidR="0008489A">
        <w:rPr>
          <w:lang w:val="nl-NL"/>
        </w:rPr>
        <w:t xml:space="preserve"> hebben namelijk als wettelijke opdracht het recht op maatschappelijke integratie te verzekeren. </w:t>
      </w:r>
      <w:r w:rsidR="009941D5">
        <w:rPr>
          <w:lang w:val="nl-NL"/>
        </w:rPr>
        <w:t xml:space="preserve">Om deze begeleidende maatregelen te realiseren, werd dus vooral ingezet op het </w:t>
      </w:r>
      <w:r w:rsidR="004A6747">
        <w:rPr>
          <w:lang w:val="nl-NL"/>
        </w:rPr>
        <w:t>oriënteren</w:t>
      </w:r>
      <w:r w:rsidR="009941D5">
        <w:rPr>
          <w:lang w:val="nl-NL"/>
        </w:rPr>
        <w:t xml:space="preserve"> van de eindontvangers naar het OCMW. </w:t>
      </w:r>
    </w:p>
    <w:p w:rsidR="00C54F68" w:rsidRDefault="00C54F68" w:rsidP="00C27177">
      <w:pPr>
        <w:spacing w:after="0"/>
        <w:rPr>
          <w:lang w:val="nl-NL"/>
        </w:rPr>
      </w:pPr>
    </w:p>
    <w:p w:rsidR="00B400BF" w:rsidRDefault="00C54F68" w:rsidP="00C27177">
      <w:pPr>
        <w:spacing w:after="0"/>
        <w:rPr>
          <w:lang w:val="nl-NL"/>
        </w:rPr>
      </w:pPr>
      <w:r>
        <w:rPr>
          <w:lang w:val="nl-NL"/>
        </w:rPr>
        <w:t xml:space="preserve">De </w:t>
      </w:r>
      <w:proofErr w:type="spellStart"/>
      <w:r>
        <w:rPr>
          <w:lang w:val="nl-NL"/>
        </w:rPr>
        <w:t>OCMW’s</w:t>
      </w:r>
      <w:proofErr w:type="spellEnd"/>
      <w:r>
        <w:rPr>
          <w:lang w:val="nl-NL"/>
        </w:rPr>
        <w:t xml:space="preserve"> zetten verschillende maatregelen op poten teneinde de sociale integratie van hun cliënten te bevorderen. </w:t>
      </w:r>
    </w:p>
    <w:p w:rsidR="00C54F68" w:rsidRDefault="00C54F68" w:rsidP="00C27177">
      <w:pPr>
        <w:spacing w:after="0"/>
        <w:rPr>
          <w:lang w:val="nl-NL"/>
        </w:rPr>
      </w:pPr>
      <w:r>
        <w:rPr>
          <w:lang w:val="nl-NL"/>
        </w:rPr>
        <w:t>Aan de bestaande diensten werden bij sommige organisaties in het kader van het FEAD ook specifieke acties toegevoegd als:</w:t>
      </w:r>
    </w:p>
    <w:p w:rsidR="00B400BF" w:rsidRDefault="00B400BF" w:rsidP="00C27177">
      <w:pPr>
        <w:pStyle w:val="Lijstalinea"/>
        <w:numPr>
          <w:ilvl w:val="0"/>
          <w:numId w:val="18"/>
        </w:numPr>
        <w:spacing w:after="0"/>
        <w:rPr>
          <w:lang w:val="nl-NL"/>
        </w:rPr>
      </w:pPr>
      <w:r>
        <w:rPr>
          <w:lang w:val="nl-NL"/>
        </w:rPr>
        <w:t xml:space="preserve">Maatschappelijk werker in dienst bij de partnerorganisatie, </w:t>
      </w:r>
    </w:p>
    <w:p w:rsidR="00C54F68" w:rsidRDefault="00C54F68" w:rsidP="00C27177">
      <w:pPr>
        <w:pStyle w:val="Lijstalinea"/>
        <w:numPr>
          <w:ilvl w:val="0"/>
          <w:numId w:val="18"/>
        </w:numPr>
        <w:spacing w:after="0"/>
        <w:rPr>
          <w:lang w:val="nl-NL"/>
        </w:rPr>
      </w:pPr>
      <w:r>
        <w:rPr>
          <w:lang w:val="nl-NL"/>
        </w:rPr>
        <w:t>Maat</w:t>
      </w:r>
      <w:r w:rsidR="00A5763F">
        <w:rPr>
          <w:lang w:val="nl-NL"/>
        </w:rPr>
        <w:t xml:space="preserve">schappelijk werker van het OCMW aanwezig tijdens de verdeelmomenten, </w:t>
      </w:r>
    </w:p>
    <w:p w:rsidR="002C316D" w:rsidRPr="002C316D" w:rsidRDefault="00A5763F" w:rsidP="00C27177">
      <w:pPr>
        <w:pStyle w:val="Lijstalinea"/>
        <w:numPr>
          <w:ilvl w:val="0"/>
          <w:numId w:val="18"/>
        </w:numPr>
        <w:spacing w:after="0"/>
        <w:rPr>
          <w:lang w:val="nl-NL"/>
        </w:rPr>
      </w:pPr>
      <w:r>
        <w:rPr>
          <w:lang w:val="nl-NL"/>
        </w:rPr>
        <w:t>Kookworkshops</w:t>
      </w:r>
      <w:r w:rsidR="002C316D">
        <w:rPr>
          <w:lang w:val="nl-NL"/>
        </w:rPr>
        <w:t xml:space="preserve">, kookateliers, … </w:t>
      </w:r>
      <w:r>
        <w:rPr>
          <w:lang w:val="nl-NL"/>
        </w:rPr>
        <w:t xml:space="preserve"> </w:t>
      </w:r>
      <w:r w:rsidR="00B400BF">
        <w:rPr>
          <w:lang w:val="nl-NL"/>
        </w:rPr>
        <w:t>georganiseerd</w:t>
      </w:r>
      <w:r>
        <w:rPr>
          <w:lang w:val="nl-NL"/>
        </w:rPr>
        <w:t xml:space="preserve"> met de FEAD-producten,</w:t>
      </w:r>
    </w:p>
    <w:p w:rsidR="00757736" w:rsidRDefault="00A5763F" w:rsidP="00C27177">
      <w:pPr>
        <w:pStyle w:val="Lijstalinea"/>
        <w:numPr>
          <w:ilvl w:val="0"/>
          <w:numId w:val="18"/>
        </w:numPr>
        <w:spacing w:after="0"/>
        <w:rPr>
          <w:lang w:val="nl-NL"/>
        </w:rPr>
      </w:pPr>
      <w:r w:rsidRPr="00757736">
        <w:rPr>
          <w:lang w:val="nl-NL"/>
        </w:rPr>
        <w:t>Specifieke projecten omtrent gezonde voeding,</w:t>
      </w:r>
    </w:p>
    <w:p w:rsidR="002C316D" w:rsidRPr="002C316D" w:rsidRDefault="002C316D" w:rsidP="00C27177">
      <w:pPr>
        <w:pStyle w:val="Lijstalinea"/>
        <w:numPr>
          <w:ilvl w:val="0"/>
          <w:numId w:val="18"/>
        </w:numPr>
        <w:spacing w:after="0"/>
        <w:rPr>
          <w:lang w:val="nl-NL"/>
        </w:rPr>
      </w:pPr>
      <w:r>
        <w:rPr>
          <w:lang w:val="nl-NL"/>
        </w:rPr>
        <w:t>Wachtruimte georganiseerd als ontmoetingsplaats,</w:t>
      </w:r>
    </w:p>
    <w:p w:rsidR="00135F56" w:rsidRDefault="00B400BF" w:rsidP="00C27177">
      <w:pPr>
        <w:pStyle w:val="Lijstalinea"/>
        <w:numPr>
          <w:ilvl w:val="0"/>
          <w:numId w:val="18"/>
        </w:numPr>
        <w:spacing w:after="0"/>
        <w:rPr>
          <w:lang w:val="nl-NL"/>
        </w:rPr>
      </w:pPr>
      <w:r w:rsidRPr="00757736">
        <w:rPr>
          <w:lang w:val="nl-NL"/>
        </w:rPr>
        <w:lastRenderedPageBreak/>
        <w:t>…</w:t>
      </w:r>
    </w:p>
    <w:p w:rsidR="00A146F7" w:rsidRPr="00A146F7" w:rsidRDefault="00A146F7" w:rsidP="00C27177">
      <w:pPr>
        <w:spacing w:after="0"/>
        <w:rPr>
          <w:lang w:val="nl-NL"/>
        </w:rPr>
      </w:pPr>
    </w:p>
    <w:p w:rsidR="000C7B32" w:rsidRPr="000C7B32" w:rsidRDefault="000C7B32" w:rsidP="00C27177">
      <w:pPr>
        <w:pStyle w:val="Kop4"/>
        <w:numPr>
          <w:ilvl w:val="3"/>
          <w:numId w:val="2"/>
        </w:numPr>
        <w:spacing w:after="240" w:line="276" w:lineRule="auto"/>
      </w:pPr>
      <w:r>
        <w:t>Link met de resultaatsindicatoren</w:t>
      </w:r>
    </w:p>
    <w:p w:rsidR="00A146F7" w:rsidRDefault="00A146F7" w:rsidP="00C27177">
      <w:pPr>
        <w:autoSpaceDE w:val="0"/>
        <w:autoSpaceDN w:val="0"/>
        <w:adjustRightInd w:val="0"/>
        <w:spacing w:after="0"/>
        <w:rPr>
          <w:rFonts w:cs="TimesNewRoman"/>
          <w:lang w:val="nl-NL"/>
        </w:rPr>
      </w:pPr>
      <w:r>
        <w:rPr>
          <w:rFonts w:cs="TimesNewRoman"/>
          <w:lang w:val="nl-NL"/>
        </w:rPr>
        <w:t>Aan wie werden de FEAD-producten uiteindelijk uitgedeeld? Om op deze vraag te kunnen antwoorden en de cijfers voor de gevraagde resultaatsindicatoren te kunnen aanleveren, werd de organisaties begin 2015 gevraagd een inschatting te maken van het aantal geholpen personen</w:t>
      </w:r>
      <w:r w:rsidR="00B47674">
        <w:rPr>
          <w:rFonts w:cs="TimesNewRoman"/>
          <w:lang w:val="nl-NL"/>
        </w:rPr>
        <w:t xml:space="preserve"> in 2014</w:t>
      </w:r>
      <w:r>
        <w:rPr>
          <w:rFonts w:cs="TimesNewRoman"/>
          <w:lang w:val="nl-NL"/>
        </w:rPr>
        <w:t xml:space="preserve"> en hun profiel. De</w:t>
      </w:r>
      <w:r w:rsidR="0028628E">
        <w:rPr>
          <w:rFonts w:cs="TimesNewRoman"/>
          <w:lang w:val="nl-NL"/>
        </w:rPr>
        <w:t>ze</w:t>
      </w:r>
      <w:r>
        <w:rPr>
          <w:rFonts w:cs="TimesNewRoman"/>
          <w:lang w:val="nl-NL"/>
        </w:rPr>
        <w:t xml:space="preserve"> vraag werd gesteld samen met het opvragen van de bestellingen voor het jaar 2015. Dit betekent dat de gegevens via een elektronisch </w:t>
      </w:r>
      <w:proofErr w:type="spellStart"/>
      <w:r>
        <w:rPr>
          <w:rFonts w:cs="TimesNewRoman"/>
          <w:lang w:val="nl-NL"/>
        </w:rPr>
        <w:t>webformulier</w:t>
      </w:r>
      <w:proofErr w:type="spellEnd"/>
      <w:r>
        <w:rPr>
          <w:rFonts w:cs="TimesNewRoman"/>
          <w:lang w:val="nl-NL"/>
        </w:rPr>
        <w:t xml:space="preserve"> op de website van de POD </w:t>
      </w:r>
      <w:r w:rsidR="00B47674">
        <w:rPr>
          <w:rFonts w:cs="TimesNewRoman"/>
          <w:lang w:val="nl-NL"/>
        </w:rPr>
        <w:t>MI moesten worden doorgestuurd.</w:t>
      </w:r>
      <w:r w:rsidR="00B47674">
        <w:rPr>
          <w:rFonts w:cs="TimesNewRoman"/>
          <w:lang w:val="nl-NL"/>
        </w:rPr>
        <w:tab/>
      </w:r>
      <w:r w:rsidR="00B47674">
        <w:rPr>
          <w:rFonts w:cs="TimesNewRoman"/>
          <w:lang w:val="nl-NL"/>
        </w:rPr>
        <w:br/>
        <w:t xml:space="preserve">Daar de vraag gekoppeld was met de bestelling voor het jaar 2015 was de respons erg groot. Een overzicht van de ontvangen gegevens is terug te </w:t>
      </w:r>
      <w:r w:rsidR="00B47674" w:rsidRPr="008311D8">
        <w:rPr>
          <w:rFonts w:cs="TimesNewRoman"/>
          <w:lang w:val="nl-NL"/>
        </w:rPr>
        <w:t>vinden in bijlage 1.</w:t>
      </w:r>
      <w:r w:rsidR="00B47674">
        <w:rPr>
          <w:rFonts w:cs="TimesNewRoman"/>
          <w:lang w:val="nl-NL"/>
        </w:rPr>
        <w:t xml:space="preserve"> </w:t>
      </w:r>
    </w:p>
    <w:p w:rsidR="00B47674" w:rsidRDefault="00B47674" w:rsidP="00C27177">
      <w:pPr>
        <w:autoSpaceDE w:val="0"/>
        <w:autoSpaceDN w:val="0"/>
        <w:adjustRightInd w:val="0"/>
        <w:spacing w:after="0"/>
        <w:rPr>
          <w:rFonts w:cs="TimesNewRoman"/>
          <w:lang w:val="nl-NL"/>
        </w:rPr>
      </w:pPr>
    </w:p>
    <w:p w:rsidR="00135F56" w:rsidRDefault="00B47674" w:rsidP="00C27177">
      <w:pPr>
        <w:autoSpaceDE w:val="0"/>
        <w:autoSpaceDN w:val="0"/>
        <w:adjustRightInd w:val="0"/>
        <w:spacing w:after="0"/>
        <w:rPr>
          <w:rFonts w:cs="TimesNewRoman"/>
          <w:lang w:val="nl-NL"/>
        </w:rPr>
      </w:pPr>
      <w:r>
        <w:rPr>
          <w:rFonts w:cs="TimesNewRoman"/>
          <w:lang w:val="nl-NL"/>
        </w:rPr>
        <w:t xml:space="preserve">De vraag </w:t>
      </w:r>
      <w:r w:rsidR="004A6747">
        <w:rPr>
          <w:rFonts w:cs="TimesNewRoman"/>
          <w:lang w:val="nl-NL"/>
        </w:rPr>
        <w:t xml:space="preserve">omtrent de resultaatsindicatoren </w:t>
      </w:r>
      <w:r>
        <w:rPr>
          <w:rFonts w:cs="TimesNewRoman"/>
          <w:lang w:val="nl-NL"/>
        </w:rPr>
        <w:t xml:space="preserve">bracht enige </w:t>
      </w:r>
      <w:r w:rsidR="00A146F7">
        <w:rPr>
          <w:rFonts w:cs="TimesNewRoman"/>
          <w:lang w:val="nl-NL"/>
        </w:rPr>
        <w:t>ongerustheid teweeg bij sommige organisaties aangezien niet vooraf was aangekondigd dat de vraag zou worden gesteld en</w:t>
      </w:r>
      <w:r w:rsidR="004A6747">
        <w:rPr>
          <w:rFonts w:cs="TimesNewRoman"/>
          <w:lang w:val="nl-NL"/>
        </w:rPr>
        <w:t xml:space="preserve"> dus</w:t>
      </w:r>
      <w:r w:rsidR="00A146F7">
        <w:rPr>
          <w:rFonts w:cs="TimesNewRoman"/>
          <w:lang w:val="nl-NL"/>
        </w:rPr>
        <w:t xml:space="preserve"> niet alle partnerorganisaties </w:t>
      </w:r>
      <w:r>
        <w:rPr>
          <w:rFonts w:cs="TimesNewRoman"/>
          <w:lang w:val="nl-NL"/>
        </w:rPr>
        <w:t xml:space="preserve">deze gegevens </w:t>
      </w:r>
      <w:r w:rsidR="008A1871">
        <w:rPr>
          <w:rFonts w:cs="TimesNewRoman"/>
          <w:lang w:val="nl-NL"/>
        </w:rPr>
        <w:t>hebben bijgehouden</w:t>
      </w:r>
      <w:r>
        <w:rPr>
          <w:rFonts w:cs="TimesNewRoman"/>
          <w:lang w:val="nl-NL"/>
        </w:rPr>
        <w:t>.</w:t>
      </w:r>
      <w:r w:rsidR="0028628E">
        <w:rPr>
          <w:rFonts w:cs="TimesNewRoman"/>
          <w:lang w:val="nl-NL"/>
        </w:rPr>
        <w:t xml:space="preserve"> </w:t>
      </w:r>
      <w:r>
        <w:rPr>
          <w:rFonts w:cs="TimesNewRoman"/>
          <w:lang w:val="nl-NL"/>
        </w:rPr>
        <w:t xml:space="preserve">Er werd deze organisaties </w:t>
      </w:r>
      <w:r w:rsidR="004A6747">
        <w:rPr>
          <w:rFonts w:cs="TimesNewRoman"/>
          <w:lang w:val="nl-NL"/>
        </w:rPr>
        <w:t>meegegeven</w:t>
      </w:r>
      <w:r>
        <w:rPr>
          <w:rFonts w:cs="TimesNewRoman"/>
          <w:lang w:val="nl-NL"/>
        </w:rPr>
        <w:t xml:space="preserve"> dat de cijfers gebaseerd mochten worden op basis van schattingen. </w:t>
      </w:r>
    </w:p>
    <w:p w:rsidR="00BA0432" w:rsidRDefault="00BA0432" w:rsidP="00C27177">
      <w:pPr>
        <w:autoSpaceDE w:val="0"/>
        <w:autoSpaceDN w:val="0"/>
        <w:adjustRightInd w:val="0"/>
        <w:spacing w:after="0"/>
        <w:rPr>
          <w:rFonts w:cs="TimesNewRoman"/>
          <w:lang w:val="nl-NL"/>
        </w:rPr>
      </w:pPr>
    </w:p>
    <w:p w:rsidR="00386DBC" w:rsidRDefault="00386DBC" w:rsidP="00C27177">
      <w:pPr>
        <w:autoSpaceDE w:val="0"/>
        <w:autoSpaceDN w:val="0"/>
        <w:adjustRightInd w:val="0"/>
        <w:spacing w:after="0"/>
        <w:rPr>
          <w:rFonts w:cs="TimesNewRoman"/>
          <w:lang w:val="nl-NL"/>
        </w:rPr>
      </w:pPr>
      <w:r>
        <w:rPr>
          <w:rFonts w:cs="TimesNewRoman"/>
          <w:lang w:val="nl-NL"/>
        </w:rPr>
        <w:t xml:space="preserve">De cijfers die de organisaties doorstuurden lijken in sommige gevallen overschat. De organisaties zelf stellen bijvoorbeeld dat zij in het jaar 2014 </w:t>
      </w:r>
      <w:r w:rsidR="0028628E">
        <w:rPr>
          <w:rFonts w:cs="TimesNewRoman"/>
          <w:lang w:val="nl-NL"/>
        </w:rPr>
        <w:t>675.124</w:t>
      </w:r>
      <w:r>
        <w:rPr>
          <w:rFonts w:cs="TimesNewRoman"/>
          <w:lang w:val="nl-NL"/>
        </w:rPr>
        <w:t xml:space="preserve"> personen hebben geholpen, terwijl het aantal begunstigden in de erkenningen van diezelfde organisaties </w:t>
      </w:r>
      <w:r w:rsidR="002D63EE">
        <w:rPr>
          <w:rFonts w:cs="TimesNewRoman"/>
          <w:lang w:val="nl-NL"/>
        </w:rPr>
        <w:t xml:space="preserve">in totaal </w:t>
      </w:r>
      <w:r>
        <w:rPr>
          <w:rFonts w:cs="TimesNewRoman"/>
          <w:lang w:val="nl-NL"/>
        </w:rPr>
        <w:t>slechts 225.549 personen betreft (zie bijlage 1). De BA heeft de ontvangen cijfers dan ook aangepast volge</w:t>
      </w:r>
      <w:r w:rsidR="0028628E">
        <w:rPr>
          <w:rFonts w:cs="TimesNewRoman"/>
          <w:lang w:val="nl-NL"/>
        </w:rPr>
        <w:t xml:space="preserve">ns het aantal </w:t>
      </w:r>
      <w:r w:rsidR="00650952">
        <w:rPr>
          <w:rFonts w:cs="TimesNewRoman"/>
          <w:lang w:val="nl-NL"/>
        </w:rPr>
        <w:t xml:space="preserve">begunstigden vastgelegd in de </w:t>
      </w:r>
      <w:r w:rsidR="0028628E">
        <w:rPr>
          <w:rFonts w:cs="TimesNewRoman"/>
          <w:lang w:val="nl-NL"/>
        </w:rPr>
        <w:t>erkenningen.</w:t>
      </w:r>
      <w:r w:rsidR="002D63EE">
        <w:rPr>
          <w:rFonts w:cs="TimesNewRoman"/>
          <w:lang w:val="nl-NL"/>
        </w:rPr>
        <w:tab/>
      </w:r>
      <w:r w:rsidR="002D63EE">
        <w:rPr>
          <w:rFonts w:cs="TimesNewRoman"/>
          <w:lang w:val="nl-NL"/>
        </w:rPr>
        <w:br/>
        <w:t xml:space="preserve">Voor de onderverdeling per profiel van de eindontvangers werden de percentages van de doorgestuurde gegevens door de partnerorganisaties toegepast op het totaal aantal begunstigden van alle erkenningen samen, de berekening is terug te vinden in bijlage 1. </w:t>
      </w:r>
    </w:p>
    <w:p w:rsidR="0028628E" w:rsidRDefault="0028628E" w:rsidP="00C27177">
      <w:pPr>
        <w:autoSpaceDE w:val="0"/>
        <w:autoSpaceDN w:val="0"/>
        <w:adjustRightInd w:val="0"/>
        <w:spacing w:after="0"/>
        <w:rPr>
          <w:rFonts w:cs="TimesNewRoman"/>
          <w:lang w:val="nl-NL"/>
        </w:rPr>
      </w:pPr>
    </w:p>
    <w:p w:rsidR="008C1D40" w:rsidRDefault="0028628E" w:rsidP="001A2664">
      <w:pPr>
        <w:autoSpaceDE w:val="0"/>
        <w:autoSpaceDN w:val="0"/>
        <w:adjustRightInd w:val="0"/>
        <w:spacing w:after="0"/>
        <w:rPr>
          <w:rFonts w:cs="TimesNewRoman"/>
          <w:lang w:val="nl-NL"/>
        </w:rPr>
      </w:pPr>
      <w:r w:rsidRPr="008C1D40">
        <w:rPr>
          <w:rFonts w:cs="TimesNewRoman"/>
          <w:lang w:val="nl-NL"/>
        </w:rPr>
        <w:t>De BA heeft een aantal organisaties gecontacteerd om beter te begrijpen</w:t>
      </w:r>
      <w:r w:rsidR="001A2664" w:rsidRPr="008C1D40">
        <w:rPr>
          <w:rFonts w:cs="TimesNewRoman"/>
          <w:lang w:val="nl-NL"/>
        </w:rPr>
        <w:t xml:space="preserve"> hoe de doorgestuurde cijfers werden verzameld. Het ingeven van de cijfers bleek voor sommige organisaties een erg moeilijke opdracht. De ingestuurde gegevens zijn in sommige gevallen dan ook volledig gebaseerd op schattingen. Het feit dat er in de meeste organisaties gewerkt wordt op basis van de inzet van vrijwilligers die al dan niet vaak wisselen, maakt de zaak er niet makkelijker op. </w:t>
      </w:r>
      <w:r w:rsidR="008C1D40">
        <w:rPr>
          <w:rFonts w:cs="TimesNewRoman"/>
          <w:lang w:val="nl-NL"/>
        </w:rPr>
        <w:t xml:space="preserve">Voor het jaar 2014 werden de cijfers zodus gecorrigeerd volgens het aantal begunstigden vastgelegd in de erkenningen. </w:t>
      </w:r>
    </w:p>
    <w:p w:rsidR="00386DBC" w:rsidRDefault="00386DBC" w:rsidP="00C27177">
      <w:pPr>
        <w:autoSpaceDE w:val="0"/>
        <w:autoSpaceDN w:val="0"/>
        <w:adjustRightInd w:val="0"/>
        <w:spacing w:after="0"/>
        <w:rPr>
          <w:rFonts w:cs="TimesNewRoman"/>
          <w:lang w:val="nl-NL"/>
        </w:rPr>
      </w:pPr>
    </w:p>
    <w:p w:rsidR="00135F56" w:rsidRPr="00F07D9C" w:rsidRDefault="0028628E" w:rsidP="00C27177">
      <w:pPr>
        <w:autoSpaceDE w:val="0"/>
        <w:autoSpaceDN w:val="0"/>
        <w:adjustRightInd w:val="0"/>
        <w:spacing w:after="0"/>
        <w:rPr>
          <w:rFonts w:cs="TimesNewRoman"/>
          <w:lang w:val="nl-NL"/>
        </w:rPr>
      </w:pPr>
      <w:r>
        <w:rPr>
          <w:rFonts w:cs="TimesNewRoman"/>
          <w:lang w:val="nl-NL"/>
        </w:rPr>
        <w:t>De BA zal de manier om deze indicatoren te verzamelen moeten herbekijken.</w:t>
      </w:r>
      <w:r w:rsidRPr="0028628E">
        <w:rPr>
          <w:rFonts w:cs="TimesNewRoman"/>
          <w:lang w:val="nl-NL"/>
        </w:rPr>
        <w:t xml:space="preserve"> </w:t>
      </w:r>
      <w:r>
        <w:rPr>
          <w:rFonts w:cs="TimesNewRoman"/>
          <w:lang w:val="nl-NL"/>
        </w:rPr>
        <w:t xml:space="preserve">Het verzamelen en analyseren </w:t>
      </w:r>
      <w:r w:rsidR="00650952">
        <w:rPr>
          <w:rFonts w:cs="TimesNewRoman"/>
          <w:lang w:val="nl-NL"/>
        </w:rPr>
        <w:t xml:space="preserve">van </w:t>
      </w:r>
      <w:r>
        <w:rPr>
          <w:rFonts w:cs="TimesNewRoman"/>
          <w:lang w:val="nl-NL"/>
        </w:rPr>
        <w:t>de resultaatsindicatoren wordt</w:t>
      </w:r>
      <w:r w:rsidR="000F4688">
        <w:rPr>
          <w:rFonts w:cs="TimesNewRoman"/>
          <w:lang w:val="nl-NL"/>
        </w:rPr>
        <w:t xml:space="preserve"> een</w:t>
      </w:r>
      <w:r>
        <w:rPr>
          <w:rFonts w:cs="TimesNewRoman"/>
          <w:lang w:val="nl-NL"/>
        </w:rPr>
        <w:t xml:space="preserve"> belangrijk aandachtspunt voor de volgende jaren.</w:t>
      </w:r>
      <w:r w:rsidR="008311D8">
        <w:rPr>
          <w:rFonts w:cs="TimesNewRoman"/>
          <w:lang w:val="nl-NL"/>
        </w:rPr>
        <w:t xml:space="preserve"> De BA denkt wel meer betrouwbare gegevens te kunnen verzamelen vanaf het jaar 2015 gezien de organisaties zich er nu van bewust zijn dat deze cijfers elk jaar gevraagd zullen worden. </w:t>
      </w:r>
    </w:p>
    <w:p w:rsidR="00C75A01" w:rsidRDefault="00C75A01" w:rsidP="00C27177">
      <w:pPr>
        <w:pStyle w:val="Kop3"/>
        <w:numPr>
          <w:ilvl w:val="2"/>
          <w:numId w:val="2"/>
        </w:numPr>
        <w:spacing w:after="240" w:line="276" w:lineRule="auto"/>
      </w:pPr>
      <w:bookmarkStart w:id="9" w:name="_Toc422390652"/>
      <w:r w:rsidRPr="00C75A01">
        <w:t xml:space="preserve">Selectie van </w:t>
      </w:r>
      <w:r w:rsidR="00841D38">
        <w:t>acties</w:t>
      </w:r>
      <w:bookmarkEnd w:id="9"/>
    </w:p>
    <w:p w:rsidR="00841D38" w:rsidRPr="00841D38" w:rsidRDefault="00841D38" w:rsidP="00C27177">
      <w:r>
        <w:lastRenderedPageBreak/>
        <w:t>In het OP worden 3 types acties onderscheiden. Hierna een overzicht van wat gebeurde in 2014.</w:t>
      </w:r>
    </w:p>
    <w:p w:rsidR="006B6327" w:rsidRDefault="00BC0251" w:rsidP="00C27177">
      <w:pPr>
        <w:pStyle w:val="Kop4"/>
        <w:numPr>
          <w:ilvl w:val="3"/>
          <w:numId w:val="2"/>
        </w:numPr>
        <w:spacing w:after="240" w:line="276" w:lineRule="auto"/>
        <w:rPr>
          <w:lang w:eastAsia="nl-BE"/>
        </w:rPr>
      </w:pPr>
      <w:r w:rsidRPr="009F7D6C">
        <w:rPr>
          <w:lang w:eastAsia="nl-BE"/>
        </w:rPr>
        <w:t xml:space="preserve">Aankoop van voedingsmiddelen en artikelen door middel van </w:t>
      </w:r>
      <w:r w:rsidR="0092222A">
        <w:rPr>
          <w:lang w:eastAsia="nl-BE"/>
        </w:rPr>
        <w:t>open</w:t>
      </w:r>
      <w:r w:rsidRPr="009F7D6C">
        <w:rPr>
          <w:lang w:eastAsia="nl-BE"/>
        </w:rPr>
        <w:t xml:space="preserve"> </w:t>
      </w:r>
      <w:r w:rsidR="00F5163F">
        <w:rPr>
          <w:lang w:eastAsia="nl-BE"/>
        </w:rPr>
        <w:t xml:space="preserve">Europese </w:t>
      </w:r>
      <w:r w:rsidRPr="009F7D6C">
        <w:rPr>
          <w:lang w:eastAsia="nl-BE"/>
        </w:rPr>
        <w:t>aanbesteding en ter beschikkingstelling aan de partnerorganisaties</w:t>
      </w:r>
    </w:p>
    <w:p w:rsidR="006B6327" w:rsidRDefault="006B6327" w:rsidP="00C27177">
      <w:r>
        <w:t xml:space="preserve">Eén van de belangrijkste activiteiten </w:t>
      </w:r>
      <w:r w:rsidR="004A6747">
        <w:t xml:space="preserve">die werd </w:t>
      </w:r>
      <w:r>
        <w:t>ondernomen teneinde de continuïteit van de voedselhulp te garanderen was het lanceren van een aanbesteding om de voedingsmiddelen v</w:t>
      </w:r>
      <w:r w:rsidR="00C20D7E">
        <w:t xml:space="preserve">oor het jaar 2014 aan te kopen. </w:t>
      </w:r>
    </w:p>
    <w:p w:rsidR="006B6327" w:rsidRDefault="00C20D7E" w:rsidP="00C27177">
      <w:pPr>
        <w:rPr>
          <w:bCs/>
          <w:spacing w:val="5"/>
          <w:szCs w:val="24"/>
          <w:lang w:eastAsia="nl-BE"/>
        </w:rPr>
      </w:pPr>
      <w:r>
        <w:t xml:space="preserve">Deze aanbesteding </w:t>
      </w:r>
      <w:r w:rsidRPr="00C20D7E">
        <w:rPr>
          <w:bCs/>
          <w:spacing w:val="5"/>
          <w:szCs w:val="24"/>
          <w:lang w:eastAsia="nl-BE"/>
        </w:rPr>
        <w:t>werd gelanceerd</w:t>
      </w:r>
      <w:r>
        <w:rPr>
          <w:bCs/>
          <w:spacing w:val="5"/>
          <w:szCs w:val="24"/>
          <w:lang w:eastAsia="nl-BE"/>
        </w:rPr>
        <w:t xml:space="preserve"> op 18/03/2014. Het totaalbedrag van de aanbesteding bedroeg 11.871.000 euro verdeeld over </w:t>
      </w:r>
      <w:r w:rsidRPr="00C20D7E">
        <w:rPr>
          <w:bCs/>
          <w:spacing w:val="5"/>
          <w:szCs w:val="24"/>
          <w:lang w:eastAsia="nl-BE"/>
        </w:rPr>
        <w:t>14 verschillende producten zijnde: halfvolle melk, zalm in blik, makreelfilets in tomatensaus, rundstoofvlees, gesneden macaroni, aardappelpuree naturel in vlokken, gepelde tomaten gesneden in blokjes, gestoomde extra fijne doperwten en jonge worteltjes, Parijse champignons stammen en stukken, fruitcocktail op lichte siroop, arachideolie, extra confituur van vier soorten rood fruit, ontbijtgranen (gepofte tarwe bedekt</w:t>
      </w:r>
      <w:r>
        <w:rPr>
          <w:bCs/>
          <w:spacing w:val="5"/>
          <w:szCs w:val="24"/>
          <w:lang w:eastAsia="nl-BE"/>
        </w:rPr>
        <w:t xml:space="preserve"> met honing) en </w:t>
      </w:r>
      <w:r w:rsidRPr="00C20D7E">
        <w:rPr>
          <w:bCs/>
          <w:spacing w:val="5"/>
          <w:szCs w:val="24"/>
          <w:lang w:eastAsia="nl-BE"/>
        </w:rPr>
        <w:t>pudding in poedervorm met vanillesmaak</w:t>
      </w:r>
      <w:r>
        <w:rPr>
          <w:bCs/>
          <w:spacing w:val="5"/>
          <w:szCs w:val="24"/>
          <w:lang w:eastAsia="nl-BE"/>
        </w:rPr>
        <w:t>.</w:t>
      </w:r>
      <w:r w:rsidR="00881947">
        <w:rPr>
          <w:bCs/>
          <w:spacing w:val="5"/>
          <w:szCs w:val="24"/>
          <w:lang w:eastAsia="nl-BE"/>
        </w:rPr>
        <w:tab/>
      </w:r>
      <w:r w:rsidR="00881947">
        <w:rPr>
          <w:bCs/>
          <w:spacing w:val="5"/>
          <w:szCs w:val="24"/>
          <w:lang w:eastAsia="nl-BE"/>
        </w:rPr>
        <w:br/>
        <w:t xml:space="preserve">Hoe het budget van 11.871.000 verdeeld werd over de verschillende percelen is terug te vinden </w:t>
      </w:r>
      <w:r w:rsidR="00881947" w:rsidRPr="00A52079">
        <w:rPr>
          <w:bCs/>
          <w:spacing w:val="5"/>
          <w:szCs w:val="24"/>
          <w:lang w:eastAsia="nl-BE"/>
        </w:rPr>
        <w:t>in bijlage II. Deze</w:t>
      </w:r>
      <w:r w:rsidR="00881947">
        <w:rPr>
          <w:bCs/>
          <w:spacing w:val="5"/>
          <w:szCs w:val="24"/>
          <w:lang w:eastAsia="nl-BE"/>
        </w:rPr>
        <w:t xml:space="preserve"> verdeling is gebeurd op basis van de vraag naar de betrokken producten in 2013 bij het BIRB (= de bestellingen van het jaar 2013). </w:t>
      </w:r>
    </w:p>
    <w:p w:rsidR="005D5DAE" w:rsidRDefault="004A6747" w:rsidP="00C27177">
      <w:pPr>
        <w:rPr>
          <w:bCs/>
          <w:spacing w:val="5"/>
          <w:szCs w:val="24"/>
          <w:lang w:eastAsia="nl-BE"/>
        </w:rPr>
      </w:pPr>
      <w:r>
        <w:rPr>
          <w:bCs/>
          <w:spacing w:val="5"/>
          <w:szCs w:val="24"/>
          <w:lang w:eastAsia="nl-BE"/>
        </w:rPr>
        <w:t xml:space="preserve">Wat betreft </w:t>
      </w:r>
      <w:r w:rsidR="00173817">
        <w:rPr>
          <w:bCs/>
          <w:spacing w:val="5"/>
          <w:szCs w:val="24"/>
          <w:lang w:eastAsia="nl-BE"/>
        </w:rPr>
        <w:t xml:space="preserve">de </w:t>
      </w:r>
      <w:r>
        <w:rPr>
          <w:bCs/>
          <w:spacing w:val="5"/>
          <w:szCs w:val="24"/>
          <w:lang w:eastAsia="nl-BE"/>
        </w:rPr>
        <w:t xml:space="preserve">outputindicatoren, </w:t>
      </w:r>
      <w:r w:rsidR="000F4688">
        <w:rPr>
          <w:bCs/>
          <w:spacing w:val="5"/>
          <w:szCs w:val="24"/>
          <w:lang w:eastAsia="nl-BE"/>
        </w:rPr>
        <w:t>is</w:t>
      </w:r>
      <w:r>
        <w:rPr>
          <w:bCs/>
          <w:spacing w:val="5"/>
          <w:szCs w:val="24"/>
          <w:lang w:eastAsia="nl-BE"/>
        </w:rPr>
        <w:t xml:space="preserve"> in onderstaande tabel terug</w:t>
      </w:r>
      <w:r w:rsidR="000F4688">
        <w:rPr>
          <w:bCs/>
          <w:spacing w:val="5"/>
          <w:szCs w:val="24"/>
          <w:lang w:eastAsia="nl-BE"/>
        </w:rPr>
        <w:t xml:space="preserve"> te vinden</w:t>
      </w:r>
      <w:r>
        <w:rPr>
          <w:bCs/>
          <w:spacing w:val="5"/>
          <w:szCs w:val="24"/>
          <w:lang w:eastAsia="nl-BE"/>
        </w:rPr>
        <w:t xml:space="preserve"> onder welke indicator welk product werd meegerekend. </w:t>
      </w:r>
    </w:p>
    <w:tbl>
      <w:tblPr>
        <w:tblStyle w:val="Tabelraster"/>
        <w:tblW w:w="0" w:type="auto"/>
        <w:tblLook w:val="04A0" w:firstRow="1" w:lastRow="0" w:firstColumn="1" w:lastColumn="0" w:noHBand="0" w:noVBand="1"/>
      </w:tblPr>
      <w:tblGrid>
        <w:gridCol w:w="4606"/>
        <w:gridCol w:w="4606"/>
      </w:tblGrid>
      <w:tr w:rsidR="005D5DAE" w:rsidRPr="00564750" w:rsidTr="00D13D3A">
        <w:tc>
          <w:tcPr>
            <w:tcW w:w="4606" w:type="dxa"/>
            <w:shd w:val="clear" w:color="auto" w:fill="A6A6A6" w:themeFill="background1" w:themeFillShade="A6"/>
          </w:tcPr>
          <w:p w:rsidR="005D5DAE" w:rsidRPr="00564750" w:rsidRDefault="005D5DAE" w:rsidP="00C27177">
            <w:pPr>
              <w:spacing w:line="276" w:lineRule="auto"/>
              <w:rPr>
                <w:b/>
              </w:rPr>
            </w:pPr>
            <w:r w:rsidRPr="00564750">
              <w:rPr>
                <w:b/>
              </w:rPr>
              <w:t>Producten 2014</w:t>
            </w:r>
          </w:p>
        </w:tc>
        <w:tc>
          <w:tcPr>
            <w:tcW w:w="4606" w:type="dxa"/>
            <w:shd w:val="clear" w:color="auto" w:fill="A6A6A6" w:themeFill="background1" w:themeFillShade="A6"/>
          </w:tcPr>
          <w:p w:rsidR="005D5DAE" w:rsidRPr="00564750" w:rsidRDefault="005C35C9" w:rsidP="00C27177">
            <w:pPr>
              <w:spacing w:line="276" w:lineRule="auto"/>
              <w:rPr>
                <w:b/>
              </w:rPr>
            </w:pPr>
            <w:r>
              <w:rPr>
                <w:b/>
              </w:rPr>
              <w:t>Link</w:t>
            </w:r>
            <w:r w:rsidR="005D5DAE">
              <w:rPr>
                <w:b/>
              </w:rPr>
              <w:t xml:space="preserve"> met gemeenschappelijke indicatoren</w:t>
            </w:r>
          </w:p>
        </w:tc>
      </w:tr>
      <w:tr w:rsidR="005D5DAE" w:rsidRPr="00B21FA1" w:rsidTr="00D13D3A">
        <w:tc>
          <w:tcPr>
            <w:tcW w:w="4606" w:type="dxa"/>
            <w:shd w:val="clear" w:color="auto" w:fill="auto"/>
          </w:tcPr>
          <w:p w:rsidR="005D5DAE" w:rsidRPr="00B21FA1" w:rsidRDefault="005D5DAE" w:rsidP="00C27177">
            <w:pPr>
              <w:spacing w:before="100" w:beforeAutospacing="1" w:after="100" w:afterAutospacing="1" w:line="276" w:lineRule="auto"/>
              <w:rPr>
                <w:rFonts w:ascii="Verdana" w:hAnsi="Verdana"/>
                <w:sz w:val="20"/>
              </w:rPr>
            </w:pPr>
            <w:r>
              <w:rPr>
                <w:bCs/>
                <w:lang w:val="nl-NL"/>
              </w:rPr>
              <w:t>Halfvolle melk</w:t>
            </w:r>
          </w:p>
        </w:tc>
        <w:tc>
          <w:tcPr>
            <w:tcW w:w="4606" w:type="dxa"/>
            <w:shd w:val="clear" w:color="auto" w:fill="auto"/>
          </w:tcPr>
          <w:p w:rsidR="005D5DAE" w:rsidRDefault="005D5DAE" w:rsidP="00C27177">
            <w:pPr>
              <w:spacing w:before="100" w:beforeAutospacing="1" w:after="100" w:afterAutospacing="1" w:line="276" w:lineRule="auto"/>
              <w:rPr>
                <w:bCs/>
                <w:lang w:val="nl-NL"/>
              </w:rPr>
            </w:pPr>
            <w:r>
              <w:rPr>
                <w:bCs/>
                <w:lang w:val="nl-NL"/>
              </w:rPr>
              <w:t>Zuivelproducten.</w:t>
            </w:r>
          </w:p>
        </w:tc>
      </w:tr>
      <w:tr w:rsidR="005D5DAE" w:rsidRPr="00A66F3F" w:rsidTr="00D13D3A">
        <w:tc>
          <w:tcPr>
            <w:tcW w:w="4606" w:type="dxa"/>
            <w:shd w:val="clear" w:color="auto" w:fill="auto"/>
          </w:tcPr>
          <w:p w:rsidR="005D5DAE" w:rsidRPr="00A66F3F" w:rsidRDefault="005D5DAE" w:rsidP="00C27177">
            <w:pPr>
              <w:spacing w:before="100" w:beforeAutospacing="1" w:after="100" w:afterAutospacing="1" w:line="276" w:lineRule="auto"/>
              <w:rPr>
                <w:rFonts w:ascii="Verdana" w:hAnsi="Verdana"/>
                <w:sz w:val="20"/>
              </w:rPr>
            </w:pPr>
            <w:r w:rsidRPr="006D6CA6">
              <w:rPr>
                <w:bCs/>
                <w:lang w:val="nl-NL"/>
              </w:rPr>
              <w:t>Zalm in blik</w:t>
            </w:r>
          </w:p>
        </w:tc>
        <w:tc>
          <w:tcPr>
            <w:tcW w:w="4606" w:type="dxa"/>
            <w:shd w:val="clear" w:color="auto" w:fill="auto"/>
          </w:tcPr>
          <w:p w:rsidR="005D5DAE" w:rsidRPr="006D6CA6" w:rsidRDefault="005D5DAE" w:rsidP="00C27177">
            <w:pPr>
              <w:spacing w:before="100" w:beforeAutospacing="1" w:after="100" w:afterAutospacing="1" w:line="276" w:lineRule="auto"/>
              <w:rPr>
                <w:bCs/>
                <w:lang w:val="nl-NL"/>
              </w:rPr>
            </w:pPr>
            <w:r>
              <w:rPr>
                <w:bCs/>
                <w:lang w:val="nl-NL"/>
              </w:rPr>
              <w:t>Vlees, eieren, vis, schaal- en schelpdieren.</w:t>
            </w:r>
          </w:p>
        </w:tc>
      </w:tr>
      <w:tr w:rsidR="005D5DAE" w:rsidRPr="00B21FA1" w:rsidTr="00D13D3A">
        <w:tc>
          <w:tcPr>
            <w:tcW w:w="4606" w:type="dxa"/>
            <w:shd w:val="clear" w:color="auto" w:fill="auto"/>
          </w:tcPr>
          <w:p w:rsidR="005D5DAE" w:rsidRPr="00B21FA1" w:rsidRDefault="005D5DAE" w:rsidP="00C27177">
            <w:pPr>
              <w:spacing w:before="100" w:beforeAutospacing="1" w:after="100" w:afterAutospacing="1" w:line="276" w:lineRule="auto"/>
              <w:rPr>
                <w:rFonts w:ascii="Verdana" w:hAnsi="Verdana"/>
                <w:sz w:val="20"/>
              </w:rPr>
            </w:pPr>
            <w:r>
              <w:rPr>
                <w:bCs/>
                <w:lang w:val="nl-NL"/>
              </w:rPr>
              <w:t>Makreelfilets in tomatensaus</w:t>
            </w:r>
          </w:p>
        </w:tc>
        <w:tc>
          <w:tcPr>
            <w:tcW w:w="4606" w:type="dxa"/>
            <w:shd w:val="clear" w:color="auto" w:fill="auto"/>
          </w:tcPr>
          <w:p w:rsidR="005D5DAE" w:rsidRDefault="005D5DAE" w:rsidP="00C27177">
            <w:pPr>
              <w:spacing w:before="100" w:beforeAutospacing="1" w:after="100" w:afterAutospacing="1" w:line="276" w:lineRule="auto"/>
              <w:rPr>
                <w:bCs/>
                <w:lang w:val="nl-NL"/>
              </w:rPr>
            </w:pPr>
            <w:r>
              <w:rPr>
                <w:bCs/>
                <w:lang w:val="nl-NL"/>
              </w:rPr>
              <w:t>Vlees, eieren, vis, schaal- en schelpdieren.</w:t>
            </w:r>
          </w:p>
        </w:tc>
      </w:tr>
      <w:tr w:rsidR="005D5DAE" w:rsidRPr="006D6CA6" w:rsidTr="00D13D3A">
        <w:tc>
          <w:tcPr>
            <w:tcW w:w="4606" w:type="dxa"/>
            <w:shd w:val="clear" w:color="auto" w:fill="auto"/>
          </w:tcPr>
          <w:p w:rsidR="005D5DAE" w:rsidRPr="006D6CA6" w:rsidRDefault="005D5DAE" w:rsidP="00C27177">
            <w:pPr>
              <w:spacing w:line="276" w:lineRule="auto"/>
              <w:rPr>
                <w:bCs/>
                <w:lang w:val="nl-NL"/>
              </w:rPr>
            </w:pPr>
            <w:r w:rsidRPr="006D6CA6">
              <w:rPr>
                <w:bCs/>
                <w:lang w:val="nl-NL"/>
              </w:rPr>
              <w:t>Rundstoofvlees</w:t>
            </w:r>
          </w:p>
        </w:tc>
        <w:tc>
          <w:tcPr>
            <w:tcW w:w="4606" w:type="dxa"/>
            <w:shd w:val="clear" w:color="auto" w:fill="auto"/>
          </w:tcPr>
          <w:p w:rsidR="005D5DAE" w:rsidRPr="006D6CA6" w:rsidRDefault="005D5DAE" w:rsidP="00C27177">
            <w:pPr>
              <w:spacing w:line="276" w:lineRule="auto"/>
              <w:rPr>
                <w:bCs/>
                <w:lang w:val="nl-NL"/>
              </w:rPr>
            </w:pPr>
            <w:r>
              <w:rPr>
                <w:bCs/>
                <w:lang w:val="nl-NL"/>
              </w:rPr>
              <w:t>Vlees, eieren, vis, schaal- en schelpdieren.</w:t>
            </w:r>
          </w:p>
        </w:tc>
      </w:tr>
      <w:tr w:rsidR="005D5DAE" w:rsidRPr="006D6CA6" w:rsidTr="00D13D3A">
        <w:tc>
          <w:tcPr>
            <w:tcW w:w="4606" w:type="dxa"/>
            <w:shd w:val="clear" w:color="auto" w:fill="auto"/>
          </w:tcPr>
          <w:p w:rsidR="005D5DAE" w:rsidRPr="006D6CA6" w:rsidRDefault="005D5DAE" w:rsidP="00C27177">
            <w:pPr>
              <w:spacing w:line="276" w:lineRule="auto"/>
              <w:rPr>
                <w:bCs/>
                <w:lang w:val="nl-NL"/>
              </w:rPr>
            </w:pPr>
            <w:r w:rsidRPr="006D6CA6">
              <w:rPr>
                <w:bCs/>
                <w:lang w:val="nl-NL"/>
              </w:rPr>
              <w:t>Macaroni</w:t>
            </w:r>
          </w:p>
        </w:tc>
        <w:tc>
          <w:tcPr>
            <w:tcW w:w="4606" w:type="dxa"/>
            <w:shd w:val="clear" w:color="auto" w:fill="auto"/>
          </w:tcPr>
          <w:p w:rsidR="005D5DAE" w:rsidRPr="006D6CA6" w:rsidRDefault="005D5DAE" w:rsidP="00C27177">
            <w:pPr>
              <w:spacing w:line="276" w:lineRule="auto"/>
              <w:rPr>
                <w:bCs/>
                <w:lang w:val="nl-NL"/>
              </w:rPr>
            </w:pPr>
            <w:r>
              <w:rPr>
                <w:bCs/>
                <w:lang w:val="nl-NL"/>
              </w:rPr>
              <w:t xml:space="preserve">Meel, brood, aardappelen, rijst en andere </w:t>
            </w:r>
            <w:proofErr w:type="spellStart"/>
            <w:r>
              <w:rPr>
                <w:bCs/>
                <w:lang w:val="nl-NL"/>
              </w:rPr>
              <w:t>zetmeelhoudende</w:t>
            </w:r>
            <w:proofErr w:type="spellEnd"/>
            <w:r>
              <w:rPr>
                <w:bCs/>
                <w:lang w:val="nl-NL"/>
              </w:rPr>
              <w:t xml:space="preserve"> producten. </w:t>
            </w:r>
          </w:p>
        </w:tc>
      </w:tr>
      <w:tr w:rsidR="005D5DAE" w:rsidRPr="00B21FA1" w:rsidTr="00D13D3A">
        <w:tc>
          <w:tcPr>
            <w:tcW w:w="4606" w:type="dxa"/>
            <w:shd w:val="clear" w:color="auto" w:fill="auto"/>
          </w:tcPr>
          <w:p w:rsidR="005D5DAE" w:rsidRPr="00B21FA1" w:rsidRDefault="005D5DAE" w:rsidP="00C27177">
            <w:pPr>
              <w:spacing w:before="100" w:beforeAutospacing="1" w:after="100" w:afterAutospacing="1" w:line="276" w:lineRule="auto"/>
              <w:rPr>
                <w:rFonts w:ascii="Verdana" w:hAnsi="Verdana"/>
                <w:sz w:val="20"/>
              </w:rPr>
            </w:pPr>
            <w:r>
              <w:rPr>
                <w:bCs/>
                <w:lang w:val="nl-NL"/>
              </w:rPr>
              <w:t>Aardappelvlokken</w:t>
            </w:r>
            <w:r w:rsidRPr="00B21FA1">
              <w:rPr>
                <w:rFonts w:ascii="Verdana" w:hAnsi="Verdana"/>
                <w:sz w:val="20"/>
              </w:rPr>
              <w:t xml:space="preserve"> </w:t>
            </w:r>
          </w:p>
        </w:tc>
        <w:tc>
          <w:tcPr>
            <w:tcW w:w="4606" w:type="dxa"/>
            <w:shd w:val="clear" w:color="auto" w:fill="auto"/>
          </w:tcPr>
          <w:p w:rsidR="005D5DAE" w:rsidRDefault="005D5DAE" w:rsidP="00C27177">
            <w:pPr>
              <w:spacing w:before="100" w:beforeAutospacing="1" w:after="100" w:afterAutospacing="1" w:line="276" w:lineRule="auto"/>
              <w:rPr>
                <w:bCs/>
                <w:lang w:val="nl-NL"/>
              </w:rPr>
            </w:pPr>
            <w:r>
              <w:rPr>
                <w:bCs/>
                <w:lang w:val="nl-NL"/>
              </w:rPr>
              <w:t xml:space="preserve">Meel, brood, aardappelen, rijst en andere </w:t>
            </w:r>
            <w:proofErr w:type="spellStart"/>
            <w:r>
              <w:rPr>
                <w:bCs/>
                <w:lang w:val="nl-NL"/>
              </w:rPr>
              <w:t>zetmeelhoudende</w:t>
            </w:r>
            <w:proofErr w:type="spellEnd"/>
            <w:r>
              <w:rPr>
                <w:bCs/>
                <w:lang w:val="nl-NL"/>
              </w:rPr>
              <w:t xml:space="preserve"> producten.</w:t>
            </w:r>
          </w:p>
        </w:tc>
      </w:tr>
      <w:tr w:rsidR="005D5DAE" w:rsidRPr="00564750" w:rsidTr="00D13D3A">
        <w:tc>
          <w:tcPr>
            <w:tcW w:w="4606" w:type="dxa"/>
            <w:shd w:val="clear" w:color="auto" w:fill="auto"/>
          </w:tcPr>
          <w:p w:rsidR="005D5DAE" w:rsidRPr="00564750" w:rsidRDefault="005D5DAE" w:rsidP="00C27177">
            <w:pPr>
              <w:spacing w:before="100" w:beforeAutospacing="1" w:after="100" w:afterAutospacing="1" w:line="276" w:lineRule="auto"/>
              <w:rPr>
                <w:bCs/>
                <w:lang w:val="nl-NL"/>
              </w:rPr>
            </w:pPr>
            <w:r w:rsidRPr="00564750">
              <w:rPr>
                <w:bCs/>
                <w:lang w:val="nl-NL"/>
              </w:rPr>
              <w:t xml:space="preserve">Gepelde tomaten </w:t>
            </w:r>
          </w:p>
        </w:tc>
        <w:tc>
          <w:tcPr>
            <w:tcW w:w="4606" w:type="dxa"/>
            <w:shd w:val="clear" w:color="auto" w:fill="auto"/>
          </w:tcPr>
          <w:p w:rsidR="005D5DAE" w:rsidRPr="00564750" w:rsidRDefault="005D5DAE" w:rsidP="00C27177">
            <w:pPr>
              <w:spacing w:before="100" w:beforeAutospacing="1" w:after="100" w:afterAutospacing="1" w:line="276" w:lineRule="auto"/>
              <w:rPr>
                <w:bCs/>
                <w:lang w:val="nl-NL"/>
              </w:rPr>
            </w:pPr>
            <w:r>
              <w:rPr>
                <w:bCs/>
                <w:lang w:val="nl-NL"/>
              </w:rPr>
              <w:t xml:space="preserve">Fruit en groeten. </w:t>
            </w:r>
          </w:p>
        </w:tc>
      </w:tr>
      <w:tr w:rsidR="005D5DAE" w:rsidRPr="00564750" w:rsidTr="00D13D3A">
        <w:tc>
          <w:tcPr>
            <w:tcW w:w="4606" w:type="dxa"/>
            <w:shd w:val="clear" w:color="auto" w:fill="auto"/>
          </w:tcPr>
          <w:p w:rsidR="005D5DAE" w:rsidRPr="00564750" w:rsidRDefault="005D5DAE" w:rsidP="00C27177">
            <w:pPr>
              <w:spacing w:before="100" w:beforeAutospacing="1" w:after="100" w:afterAutospacing="1" w:line="276" w:lineRule="auto"/>
              <w:rPr>
                <w:bCs/>
                <w:lang w:val="nl-NL"/>
              </w:rPr>
            </w:pPr>
            <w:r w:rsidRPr="00564750">
              <w:rPr>
                <w:bCs/>
                <w:lang w:val="nl-NL"/>
              </w:rPr>
              <w:t xml:space="preserve">Erwten en wortelen </w:t>
            </w:r>
          </w:p>
        </w:tc>
        <w:tc>
          <w:tcPr>
            <w:tcW w:w="4606" w:type="dxa"/>
            <w:shd w:val="clear" w:color="auto" w:fill="auto"/>
          </w:tcPr>
          <w:p w:rsidR="005D5DAE" w:rsidRPr="00564750" w:rsidRDefault="005D5DAE" w:rsidP="00C27177">
            <w:pPr>
              <w:spacing w:before="100" w:beforeAutospacing="1" w:after="100" w:afterAutospacing="1" w:line="276" w:lineRule="auto"/>
              <w:rPr>
                <w:bCs/>
                <w:lang w:val="nl-NL"/>
              </w:rPr>
            </w:pPr>
            <w:r>
              <w:rPr>
                <w:bCs/>
                <w:lang w:val="nl-NL"/>
              </w:rPr>
              <w:t>Fruit en groeten.</w:t>
            </w:r>
          </w:p>
        </w:tc>
      </w:tr>
      <w:tr w:rsidR="005D5DAE" w:rsidRPr="00564750" w:rsidTr="00D13D3A">
        <w:tc>
          <w:tcPr>
            <w:tcW w:w="4606" w:type="dxa"/>
            <w:shd w:val="clear" w:color="auto" w:fill="auto"/>
          </w:tcPr>
          <w:p w:rsidR="005D5DAE" w:rsidRPr="00564750" w:rsidRDefault="005D5DAE" w:rsidP="00C27177">
            <w:pPr>
              <w:spacing w:before="100" w:beforeAutospacing="1" w:after="100" w:afterAutospacing="1" w:line="276" w:lineRule="auto"/>
              <w:rPr>
                <w:bCs/>
                <w:lang w:val="nl-NL"/>
              </w:rPr>
            </w:pPr>
            <w:r w:rsidRPr="00564750">
              <w:rPr>
                <w:bCs/>
                <w:lang w:val="nl-NL"/>
              </w:rPr>
              <w:t>Champignons</w:t>
            </w:r>
          </w:p>
        </w:tc>
        <w:tc>
          <w:tcPr>
            <w:tcW w:w="4606" w:type="dxa"/>
            <w:shd w:val="clear" w:color="auto" w:fill="auto"/>
          </w:tcPr>
          <w:p w:rsidR="005D5DAE" w:rsidRPr="00564750" w:rsidRDefault="005D5DAE" w:rsidP="00C27177">
            <w:pPr>
              <w:spacing w:before="100" w:beforeAutospacing="1" w:after="100" w:afterAutospacing="1" w:line="276" w:lineRule="auto"/>
              <w:rPr>
                <w:bCs/>
                <w:lang w:val="nl-NL"/>
              </w:rPr>
            </w:pPr>
            <w:r>
              <w:rPr>
                <w:bCs/>
                <w:lang w:val="nl-NL"/>
              </w:rPr>
              <w:t>Fruit en groeten.</w:t>
            </w:r>
          </w:p>
        </w:tc>
      </w:tr>
      <w:tr w:rsidR="005D5DAE" w:rsidRPr="00564750" w:rsidTr="00D13D3A">
        <w:tc>
          <w:tcPr>
            <w:tcW w:w="4606" w:type="dxa"/>
            <w:shd w:val="clear" w:color="auto" w:fill="auto"/>
          </w:tcPr>
          <w:p w:rsidR="005D5DAE" w:rsidRPr="00564750" w:rsidRDefault="005D5DAE" w:rsidP="00C27177">
            <w:pPr>
              <w:spacing w:before="100" w:beforeAutospacing="1" w:after="100" w:afterAutospacing="1" w:line="276" w:lineRule="auto"/>
              <w:rPr>
                <w:bCs/>
                <w:lang w:val="nl-NL"/>
              </w:rPr>
            </w:pPr>
            <w:r w:rsidRPr="00564750">
              <w:rPr>
                <w:bCs/>
                <w:lang w:val="nl-NL"/>
              </w:rPr>
              <w:t>Fruitcocktail op lichte siroop</w:t>
            </w:r>
          </w:p>
        </w:tc>
        <w:tc>
          <w:tcPr>
            <w:tcW w:w="4606" w:type="dxa"/>
            <w:shd w:val="clear" w:color="auto" w:fill="auto"/>
          </w:tcPr>
          <w:p w:rsidR="005D5DAE" w:rsidRPr="00564750" w:rsidRDefault="005D5DAE" w:rsidP="00C27177">
            <w:pPr>
              <w:spacing w:before="100" w:beforeAutospacing="1" w:after="100" w:afterAutospacing="1" w:line="276" w:lineRule="auto"/>
              <w:rPr>
                <w:bCs/>
                <w:lang w:val="nl-NL"/>
              </w:rPr>
            </w:pPr>
            <w:r>
              <w:rPr>
                <w:bCs/>
                <w:lang w:val="nl-NL"/>
              </w:rPr>
              <w:t xml:space="preserve">Kant-en-klare levensmiddelen, andere levensmiddelen. </w:t>
            </w:r>
          </w:p>
        </w:tc>
      </w:tr>
      <w:tr w:rsidR="005D5DAE" w:rsidRPr="00B21FA1" w:rsidTr="00D13D3A">
        <w:tc>
          <w:tcPr>
            <w:tcW w:w="4606" w:type="dxa"/>
            <w:shd w:val="clear" w:color="auto" w:fill="auto"/>
          </w:tcPr>
          <w:p w:rsidR="005D5DAE" w:rsidRPr="00B21FA1" w:rsidRDefault="005D5DAE" w:rsidP="00C27177">
            <w:pPr>
              <w:spacing w:line="276" w:lineRule="auto"/>
              <w:rPr>
                <w:rFonts w:ascii="Verdana" w:hAnsi="Verdana"/>
                <w:sz w:val="20"/>
              </w:rPr>
            </w:pPr>
            <w:r w:rsidRPr="00564750">
              <w:rPr>
                <w:bCs/>
                <w:lang w:val="nl-NL"/>
              </w:rPr>
              <w:t>Arachideolie</w:t>
            </w:r>
          </w:p>
        </w:tc>
        <w:tc>
          <w:tcPr>
            <w:tcW w:w="4606" w:type="dxa"/>
            <w:shd w:val="clear" w:color="auto" w:fill="auto"/>
          </w:tcPr>
          <w:p w:rsidR="005D5DAE" w:rsidRPr="00564750" w:rsidRDefault="005D5DAE" w:rsidP="00C27177">
            <w:pPr>
              <w:spacing w:line="276" w:lineRule="auto"/>
              <w:rPr>
                <w:bCs/>
                <w:lang w:val="nl-NL"/>
              </w:rPr>
            </w:pPr>
            <w:r>
              <w:rPr>
                <w:bCs/>
                <w:lang w:val="nl-NL"/>
              </w:rPr>
              <w:t xml:space="preserve">Vet, olie. </w:t>
            </w:r>
          </w:p>
        </w:tc>
      </w:tr>
      <w:tr w:rsidR="005D5DAE" w:rsidRPr="00564750" w:rsidTr="00D13D3A">
        <w:tc>
          <w:tcPr>
            <w:tcW w:w="4606" w:type="dxa"/>
            <w:shd w:val="clear" w:color="auto" w:fill="auto"/>
          </w:tcPr>
          <w:p w:rsidR="005D5DAE" w:rsidRPr="00564750" w:rsidRDefault="005D5DAE" w:rsidP="00C27177">
            <w:pPr>
              <w:spacing w:line="276" w:lineRule="auto"/>
              <w:rPr>
                <w:bCs/>
                <w:lang w:val="nl-NL"/>
              </w:rPr>
            </w:pPr>
            <w:r w:rsidRPr="00564750">
              <w:rPr>
                <w:bCs/>
                <w:lang w:val="nl-NL"/>
              </w:rPr>
              <w:t>Extra confituur van vier soorten rood fruit</w:t>
            </w:r>
          </w:p>
        </w:tc>
        <w:tc>
          <w:tcPr>
            <w:tcW w:w="4606" w:type="dxa"/>
            <w:shd w:val="clear" w:color="auto" w:fill="auto"/>
          </w:tcPr>
          <w:p w:rsidR="005D5DAE" w:rsidRPr="00564750" w:rsidRDefault="005D5DAE" w:rsidP="00C27177">
            <w:pPr>
              <w:spacing w:line="276" w:lineRule="auto"/>
              <w:rPr>
                <w:bCs/>
                <w:lang w:val="nl-NL"/>
              </w:rPr>
            </w:pPr>
            <w:r>
              <w:rPr>
                <w:bCs/>
                <w:lang w:val="nl-NL"/>
              </w:rPr>
              <w:t xml:space="preserve">Kant-en-klare levensmiddelen, andere levensmiddelen. </w:t>
            </w:r>
          </w:p>
        </w:tc>
      </w:tr>
      <w:tr w:rsidR="005D5DAE" w:rsidRPr="00564750" w:rsidTr="00D13D3A">
        <w:tc>
          <w:tcPr>
            <w:tcW w:w="4606" w:type="dxa"/>
          </w:tcPr>
          <w:p w:rsidR="005D5DAE" w:rsidRPr="00564750" w:rsidRDefault="005D5DAE" w:rsidP="00C27177">
            <w:pPr>
              <w:spacing w:line="276" w:lineRule="auto"/>
              <w:rPr>
                <w:bCs/>
                <w:lang w:val="nl-NL"/>
              </w:rPr>
            </w:pPr>
            <w:r w:rsidRPr="00564750">
              <w:rPr>
                <w:bCs/>
                <w:lang w:val="nl-NL"/>
              </w:rPr>
              <w:t xml:space="preserve">Ontbijtgranen (gepofte tarwe bedekt met </w:t>
            </w:r>
            <w:r w:rsidRPr="00564750">
              <w:rPr>
                <w:bCs/>
                <w:lang w:val="nl-NL"/>
              </w:rPr>
              <w:lastRenderedPageBreak/>
              <w:t>honing)</w:t>
            </w:r>
          </w:p>
        </w:tc>
        <w:tc>
          <w:tcPr>
            <w:tcW w:w="4606" w:type="dxa"/>
            <w:shd w:val="clear" w:color="auto" w:fill="auto"/>
          </w:tcPr>
          <w:p w:rsidR="005D5DAE" w:rsidRPr="00564750" w:rsidRDefault="005D5DAE" w:rsidP="00C27177">
            <w:pPr>
              <w:spacing w:line="276" w:lineRule="auto"/>
              <w:rPr>
                <w:bCs/>
                <w:lang w:val="nl-NL"/>
              </w:rPr>
            </w:pPr>
            <w:r>
              <w:rPr>
                <w:bCs/>
                <w:lang w:val="nl-NL"/>
              </w:rPr>
              <w:lastRenderedPageBreak/>
              <w:t xml:space="preserve">Meel, brood, aardappelen, rijst en andere </w:t>
            </w:r>
            <w:proofErr w:type="spellStart"/>
            <w:r>
              <w:rPr>
                <w:bCs/>
                <w:lang w:val="nl-NL"/>
              </w:rPr>
              <w:lastRenderedPageBreak/>
              <w:t>zetmeelhoudende</w:t>
            </w:r>
            <w:proofErr w:type="spellEnd"/>
            <w:r>
              <w:rPr>
                <w:bCs/>
                <w:lang w:val="nl-NL"/>
              </w:rPr>
              <w:t xml:space="preserve"> producten.</w:t>
            </w:r>
          </w:p>
        </w:tc>
      </w:tr>
      <w:tr w:rsidR="005D5DAE" w:rsidRPr="00564750" w:rsidTr="00D13D3A">
        <w:tc>
          <w:tcPr>
            <w:tcW w:w="4606" w:type="dxa"/>
          </w:tcPr>
          <w:p w:rsidR="005D5DAE" w:rsidRPr="00564750" w:rsidRDefault="005D5DAE" w:rsidP="00C27177">
            <w:pPr>
              <w:spacing w:line="276" w:lineRule="auto"/>
              <w:rPr>
                <w:bCs/>
                <w:lang w:val="nl-NL"/>
              </w:rPr>
            </w:pPr>
            <w:r w:rsidRPr="00564750">
              <w:rPr>
                <w:bCs/>
                <w:lang w:val="nl-NL"/>
              </w:rPr>
              <w:lastRenderedPageBreak/>
              <w:t>Vanillepuddingpoeder</w:t>
            </w:r>
          </w:p>
        </w:tc>
        <w:tc>
          <w:tcPr>
            <w:tcW w:w="4606" w:type="dxa"/>
            <w:shd w:val="clear" w:color="auto" w:fill="auto"/>
          </w:tcPr>
          <w:p w:rsidR="005D5DAE" w:rsidRPr="00564750" w:rsidRDefault="005D5DAE" w:rsidP="00C27177">
            <w:pPr>
              <w:spacing w:line="276" w:lineRule="auto"/>
              <w:rPr>
                <w:bCs/>
                <w:lang w:val="nl-NL"/>
              </w:rPr>
            </w:pPr>
            <w:r>
              <w:rPr>
                <w:bCs/>
                <w:lang w:val="nl-NL"/>
              </w:rPr>
              <w:t xml:space="preserve">Kant-en-klare levensmiddelen, andere levensmiddelen. </w:t>
            </w:r>
          </w:p>
        </w:tc>
      </w:tr>
    </w:tbl>
    <w:p w:rsidR="005D5DAE" w:rsidRDefault="005D5DAE" w:rsidP="00C27177">
      <w:pPr>
        <w:rPr>
          <w:bCs/>
          <w:spacing w:val="5"/>
          <w:szCs w:val="24"/>
          <w:lang w:eastAsia="nl-BE"/>
        </w:rPr>
      </w:pPr>
    </w:p>
    <w:p w:rsidR="003F2D3D" w:rsidRDefault="003F2D3D" w:rsidP="00C27177">
      <w:pPr>
        <w:rPr>
          <w:bCs/>
          <w:spacing w:val="5"/>
          <w:szCs w:val="24"/>
          <w:lang w:eastAsia="nl-BE"/>
        </w:rPr>
      </w:pPr>
      <w:r>
        <w:rPr>
          <w:bCs/>
          <w:spacing w:val="5"/>
          <w:szCs w:val="24"/>
          <w:lang w:eastAsia="nl-BE"/>
        </w:rPr>
        <w:t>Er werden in totaal 65 offertes ingediend. De 14 percelen werden uiteindelijk toegewezen aan 6 verschillende inschrijvers</w:t>
      </w:r>
      <w:r w:rsidR="000F4688">
        <w:rPr>
          <w:bCs/>
          <w:spacing w:val="5"/>
          <w:szCs w:val="24"/>
          <w:lang w:eastAsia="nl-BE"/>
        </w:rPr>
        <w:t xml:space="preserve"> </w:t>
      </w:r>
      <w:r w:rsidR="000F4688" w:rsidRPr="001E740E">
        <w:t>(</w:t>
      </w:r>
      <w:proofErr w:type="spellStart"/>
      <w:r w:rsidR="000F4688" w:rsidRPr="001E740E">
        <w:t>Euricom</w:t>
      </w:r>
      <w:proofErr w:type="spellEnd"/>
      <w:r w:rsidR="000F4688" w:rsidRPr="001E740E">
        <w:t xml:space="preserve">, </w:t>
      </w:r>
      <w:proofErr w:type="spellStart"/>
      <w:r w:rsidR="000F4688" w:rsidRPr="001E740E">
        <w:t>Dischamp</w:t>
      </w:r>
      <w:proofErr w:type="spellEnd"/>
      <w:r w:rsidR="000F4688" w:rsidRPr="001E740E">
        <w:t xml:space="preserve">, </w:t>
      </w:r>
      <w:proofErr w:type="spellStart"/>
      <w:r w:rsidR="000F4688" w:rsidRPr="001E740E">
        <w:t>Soubry</w:t>
      </w:r>
      <w:proofErr w:type="spellEnd"/>
      <w:r w:rsidR="000F4688" w:rsidRPr="001E740E">
        <w:t xml:space="preserve">, </w:t>
      </w:r>
      <w:proofErr w:type="spellStart"/>
      <w:r w:rsidR="000F4688" w:rsidRPr="001E740E">
        <w:t>Ovimpex</w:t>
      </w:r>
      <w:proofErr w:type="spellEnd"/>
      <w:r w:rsidR="000F4688" w:rsidRPr="001E740E">
        <w:t xml:space="preserve">, </w:t>
      </w:r>
      <w:proofErr w:type="spellStart"/>
      <w:r w:rsidR="000F4688" w:rsidRPr="001E740E">
        <w:t>Dhumeaux</w:t>
      </w:r>
      <w:proofErr w:type="spellEnd"/>
      <w:r w:rsidR="000F4688" w:rsidRPr="001E740E">
        <w:t xml:space="preserve">, </w:t>
      </w:r>
      <w:proofErr w:type="spellStart"/>
      <w:r w:rsidR="000F4688" w:rsidRPr="001E740E">
        <w:t>Jyco</w:t>
      </w:r>
      <w:proofErr w:type="spellEnd"/>
      <w:r w:rsidR="000F4688" w:rsidRPr="001E740E">
        <w:t>).</w:t>
      </w:r>
    </w:p>
    <w:p w:rsidR="003F2D3D" w:rsidRDefault="003C7776" w:rsidP="00C27177">
      <w:pPr>
        <w:rPr>
          <w:bCs/>
          <w:spacing w:val="5"/>
          <w:szCs w:val="24"/>
          <w:lang w:eastAsia="nl-BE"/>
        </w:rPr>
      </w:pPr>
      <w:r>
        <w:rPr>
          <w:bCs/>
          <w:spacing w:val="5"/>
          <w:szCs w:val="24"/>
          <w:lang w:eastAsia="nl-BE"/>
        </w:rPr>
        <w:t>De procedure om de aanbesteding te lanceren en toe te wijzen was erg tijdrovend daar zowel het lanceren als de toewijzing van de opdracht gevalideerd moe</w:t>
      </w:r>
      <w:r w:rsidR="003F2D3D">
        <w:rPr>
          <w:bCs/>
          <w:spacing w:val="5"/>
          <w:szCs w:val="24"/>
          <w:lang w:eastAsia="nl-BE"/>
        </w:rPr>
        <w:t>s</w:t>
      </w:r>
      <w:r>
        <w:rPr>
          <w:bCs/>
          <w:spacing w:val="5"/>
          <w:szCs w:val="24"/>
          <w:lang w:eastAsia="nl-BE"/>
        </w:rPr>
        <w:t>t worden door de ministerraad</w:t>
      </w:r>
      <w:r w:rsidR="003F2D3D">
        <w:rPr>
          <w:bCs/>
          <w:spacing w:val="5"/>
          <w:szCs w:val="24"/>
          <w:lang w:eastAsia="nl-BE"/>
        </w:rPr>
        <w:t xml:space="preserve"> omwille van de hoge bedragen</w:t>
      </w:r>
      <w:r>
        <w:rPr>
          <w:bCs/>
          <w:spacing w:val="5"/>
          <w:szCs w:val="24"/>
          <w:lang w:eastAsia="nl-BE"/>
        </w:rPr>
        <w:t xml:space="preserve">. In 2014 werd dit nog extra bemoeilijkt aangezien er voor deze aankoop geen budget voorzien was in de </w:t>
      </w:r>
      <w:r w:rsidR="000C2A90">
        <w:rPr>
          <w:bCs/>
          <w:spacing w:val="5"/>
          <w:szCs w:val="24"/>
          <w:lang w:eastAsia="nl-BE"/>
        </w:rPr>
        <w:t xml:space="preserve">Belgische </w:t>
      </w:r>
      <w:r>
        <w:rPr>
          <w:bCs/>
          <w:spacing w:val="5"/>
          <w:szCs w:val="24"/>
          <w:lang w:eastAsia="nl-BE"/>
        </w:rPr>
        <w:t>begroting. Bovendien was het nog niet zeker dat de POD MI de rol van BA op zich zou nemen.</w:t>
      </w:r>
    </w:p>
    <w:p w:rsidR="003F2D3D" w:rsidRDefault="003F2D3D" w:rsidP="00C27177">
      <w:pPr>
        <w:rPr>
          <w:bCs/>
          <w:spacing w:val="5"/>
          <w:szCs w:val="24"/>
          <w:lang w:eastAsia="nl-BE"/>
        </w:rPr>
      </w:pPr>
      <w:r>
        <w:rPr>
          <w:bCs/>
          <w:spacing w:val="5"/>
          <w:szCs w:val="24"/>
          <w:lang w:eastAsia="nl-BE"/>
        </w:rPr>
        <w:t>Daarenboven deed ook de kwestie omtrent de BTW heel wat stof opwaaien. Bij het voorbereiden van het budget was geen bedrag voorzien voor de kost van de BTW. Het BIRB die het vorig Europees voedse</w:t>
      </w:r>
      <w:r w:rsidR="00D27A1B">
        <w:rPr>
          <w:bCs/>
          <w:spacing w:val="5"/>
          <w:szCs w:val="24"/>
          <w:lang w:eastAsia="nl-BE"/>
        </w:rPr>
        <w:t>l</w:t>
      </w:r>
      <w:r>
        <w:rPr>
          <w:bCs/>
          <w:spacing w:val="5"/>
          <w:szCs w:val="24"/>
          <w:lang w:eastAsia="nl-BE"/>
        </w:rPr>
        <w:t>programma beheerde kon de BTW op de producten die het gratis verdeelde, recupereren. Het leek bijgevolg l</w:t>
      </w:r>
      <w:r w:rsidR="00C53DDD">
        <w:rPr>
          <w:bCs/>
          <w:spacing w:val="5"/>
          <w:szCs w:val="24"/>
          <w:lang w:eastAsia="nl-BE"/>
        </w:rPr>
        <w:t>ogisch dat dit</w:t>
      </w:r>
      <w:r>
        <w:rPr>
          <w:bCs/>
          <w:spacing w:val="5"/>
          <w:szCs w:val="24"/>
          <w:lang w:eastAsia="nl-BE"/>
        </w:rPr>
        <w:t xml:space="preserve"> principe ook voor de POD MI van toepassing zou zijn in het kader van het FEAD. Na verschillende contacten met de FOD Financiën bleek dit echter niet mogelijk. </w:t>
      </w:r>
      <w:r w:rsidR="004A6747">
        <w:rPr>
          <w:bCs/>
          <w:spacing w:val="5"/>
          <w:szCs w:val="24"/>
          <w:lang w:eastAsia="nl-BE"/>
        </w:rPr>
        <w:t xml:space="preserve">De regeling die het BIRB toepaste was niet helemaal correct volgens de geldende BTW reglementering en al helemaal niet van toepassing voor de POD MI. </w:t>
      </w:r>
      <w:r>
        <w:rPr>
          <w:bCs/>
          <w:spacing w:val="5"/>
          <w:szCs w:val="24"/>
          <w:lang w:eastAsia="nl-BE"/>
        </w:rPr>
        <w:t>Dit had een belangrijke implicatie op het beschikbare budget voor de voedingsproducten, daar</w:t>
      </w:r>
      <w:r w:rsidR="00173817">
        <w:rPr>
          <w:bCs/>
          <w:spacing w:val="5"/>
          <w:szCs w:val="24"/>
          <w:lang w:eastAsia="nl-BE"/>
        </w:rPr>
        <w:t xml:space="preserve"> een</w:t>
      </w:r>
      <w:r>
        <w:rPr>
          <w:bCs/>
          <w:spacing w:val="5"/>
          <w:szCs w:val="24"/>
          <w:lang w:eastAsia="nl-BE"/>
        </w:rPr>
        <w:t xml:space="preserve"> </w:t>
      </w:r>
      <w:proofErr w:type="spellStart"/>
      <w:r>
        <w:rPr>
          <w:bCs/>
          <w:spacing w:val="5"/>
          <w:szCs w:val="24"/>
          <w:lang w:eastAsia="nl-BE"/>
        </w:rPr>
        <w:t>BTW-kost</w:t>
      </w:r>
      <w:proofErr w:type="spellEnd"/>
      <w:r>
        <w:rPr>
          <w:bCs/>
          <w:spacing w:val="5"/>
          <w:szCs w:val="24"/>
          <w:lang w:eastAsia="nl-BE"/>
        </w:rPr>
        <w:t xml:space="preserve"> van 6% op de voedingsmiddelen moet worden betaald. Dit had als gevolg dat het perceel ontbijtgranen aanvankelijk niet kon worden toegewezen. De ontbijtgranen voorzien voor het jaar 2014 werden dan ook nog niet geleverd in het jaar 2014. </w:t>
      </w:r>
    </w:p>
    <w:p w:rsidR="00D27A1B" w:rsidRDefault="00C20D7E" w:rsidP="00C27177">
      <w:pPr>
        <w:rPr>
          <w:bCs/>
          <w:spacing w:val="5"/>
          <w:szCs w:val="24"/>
          <w:lang w:eastAsia="nl-BE"/>
        </w:rPr>
      </w:pPr>
      <w:r>
        <w:rPr>
          <w:bCs/>
          <w:spacing w:val="5"/>
          <w:szCs w:val="24"/>
          <w:lang w:eastAsia="nl-BE"/>
        </w:rPr>
        <w:t xml:space="preserve">In het lastenboek </w:t>
      </w:r>
      <w:r w:rsidR="00C27177">
        <w:rPr>
          <w:bCs/>
          <w:spacing w:val="5"/>
          <w:szCs w:val="24"/>
          <w:lang w:eastAsia="nl-BE"/>
        </w:rPr>
        <w:t>was</w:t>
      </w:r>
      <w:r>
        <w:rPr>
          <w:bCs/>
          <w:spacing w:val="5"/>
          <w:szCs w:val="24"/>
          <w:lang w:eastAsia="nl-BE"/>
        </w:rPr>
        <w:t xml:space="preserve"> niet enkel de productie van de levensmiddelen voorzien, maar ook de levering. </w:t>
      </w:r>
      <w:r w:rsidR="008A70C3">
        <w:rPr>
          <w:bCs/>
          <w:spacing w:val="5"/>
          <w:szCs w:val="24"/>
          <w:lang w:eastAsia="nl-BE"/>
        </w:rPr>
        <w:t xml:space="preserve">In het lastenboek voor het jaar 2014 waren een 387tal leverpunten voorzien. </w:t>
      </w:r>
      <w:r w:rsidR="000C2A90">
        <w:rPr>
          <w:bCs/>
          <w:spacing w:val="5"/>
          <w:szCs w:val="24"/>
          <w:lang w:eastAsia="nl-BE"/>
        </w:rPr>
        <w:t xml:space="preserve">Het </w:t>
      </w:r>
      <w:r w:rsidR="00C27177">
        <w:rPr>
          <w:bCs/>
          <w:spacing w:val="5"/>
          <w:szCs w:val="24"/>
          <w:lang w:eastAsia="nl-BE"/>
        </w:rPr>
        <w:t>betrof</w:t>
      </w:r>
      <w:r w:rsidR="000C2A90">
        <w:rPr>
          <w:bCs/>
          <w:spacing w:val="5"/>
          <w:szCs w:val="24"/>
          <w:lang w:eastAsia="nl-BE"/>
        </w:rPr>
        <w:t xml:space="preserve"> enerzijds de 10 grote opslagplaatsen (9 voedselbanken en een opslagplaats van het Rode Kruis) en anderzijds de leveringen ‘aan huis’ van de </w:t>
      </w:r>
      <w:proofErr w:type="spellStart"/>
      <w:r w:rsidR="000C2A90">
        <w:rPr>
          <w:bCs/>
          <w:spacing w:val="5"/>
          <w:szCs w:val="24"/>
          <w:lang w:eastAsia="nl-BE"/>
        </w:rPr>
        <w:t>OCMW’</w:t>
      </w:r>
      <w:r w:rsidR="00B561C0">
        <w:rPr>
          <w:bCs/>
          <w:spacing w:val="5"/>
          <w:szCs w:val="24"/>
          <w:lang w:eastAsia="nl-BE"/>
        </w:rPr>
        <w:t>s</w:t>
      </w:r>
      <w:proofErr w:type="spellEnd"/>
      <w:r w:rsidR="00B561C0">
        <w:rPr>
          <w:bCs/>
          <w:spacing w:val="5"/>
          <w:szCs w:val="24"/>
          <w:lang w:eastAsia="nl-BE"/>
        </w:rPr>
        <w:t>.</w:t>
      </w:r>
      <w:r w:rsidR="00D27A1B">
        <w:rPr>
          <w:bCs/>
          <w:spacing w:val="5"/>
          <w:szCs w:val="24"/>
          <w:lang w:eastAsia="nl-BE"/>
        </w:rPr>
        <w:br/>
      </w:r>
      <w:r w:rsidR="00230D2C">
        <w:rPr>
          <w:lang w:val="nl-NL" w:eastAsia="nl-BE"/>
        </w:rPr>
        <w:t>Ongeveer</w:t>
      </w:r>
      <w:r w:rsidR="00D27A1B" w:rsidRPr="00D27A1B">
        <w:rPr>
          <w:lang w:val="nl-NL" w:eastAsia="nl-BE"/>
        </w:rPr>
        <w:t xml:space="preserve"> 30% van de beschikbare hoeveelheden werd rechtstreeks geleverd aan de </w:t>
      </w:r>
      <w:proofErr w:type="spellStart"/>
      <w:r w:rsidR="00D27A1B" w:rsidRPr="00D27A1B">
        <w:rPr>
          <w:lang w:val="nl-NL" w:eastAsia="nl-BE"/>
        </w:rPr>
        <w:t>OCMW’s</w:t>
      </w:r>
      <w:proofErr w:type="spellEnd"/>
      <w:r w:rsidR="00D27A1B" w:rsidRPr="00D27A1B">
        <w:rPr>
          <w:lang w:val="nl-NL" w:eastAsia="nl-BE"/>
        </w:rPr>
        <w:t xml:space="preserve"> die bijgevolg </w:t>
      </w:r>
      <w:r w:rsidR="00D27A1B" w:rsidRPr="00D27A1B">
        <w:rPr>
          <w:bCs/>
          <w:spacing w:val="5"/>
          <w:szCs w:val="24"/>
          <w:lang w:eastAsia="nl-BE"/>
        </w:rPr>
        <w:t xml:space="preserve">onmiddellijk met de verdeling aan de meest behoeftigen konden starten. </w:t>
      </w:r>
      <w:r w:rsidR="00D27A1B" w:rsidRPr="00D27A1B">
        <w:rPr>
          <w:bCs/>
          <w:spacing w:val="5"/>
          <w:szCs w:val="24"/>
          <w:lang w:eastAsia="nl-BE"/>
        </w:rPr>
        <w:tab/>
      </w:r>
      <w:r w:rsidR="00D27A1B" w:rsidRPr="00D27A1B">
        <w:rPr>
          <w:bCs/>
          <w:spacing w:val="5"/>
          <w:szCs w:val="24"/>
          <w:lang w:eastAsia="nl-BE"/>
        </w:rPr>
        <w:br/>
      </w:r>
      <w:r w:rsidR="00230D2C">
        <w:rPr>
          <w:bCs/>
          <w:spacing w:val="5"/>
          <w:szCs w:val="24"/>
          <w:lang w:eastAsia="nl-BE"/>
        </w:rPr>
        <w:t>Ongeveer</w:t>
      </w:r>
      <w:r w:rsidR="00D27A1B" w:rsidRPr="00D27A1B">
        <w:rPr>
          <w:bCs/>
          <w:spacing w:val="5"/>
          <w:szCs w:val="24"/>
          <w:lang w:eastAsia="nl-BE"/>
        </w:rPr>
        <w:t xml:space="preserve"> 70% van de beschikbare hoeveelheden werd geleverd aan de 10 grote opslagplaatsen (9 Voedselbanken en een opslagplaats van het Rode Kruis) die deze goederen verder verdeelden aan de bij hun aangesloten erkende partnerorganisatie die deze goederen op hun beurt verder verdeelden aan de eindontvangers.</w:t>
      </w:r>
    </w:p>
    <w:p w:rsidR="000F4688" w:rsidRPr="00D27A1B" w:rsidRDefault="000F4688" w:rsidP="00C27177">
      <w:pPr>
        <w:rPr>
          <w:bCs/>
          <w:spacing w:val="5"/>
          <w:szCs w:val="24"/>
          <w:lang w:eastAsia="nl-BE"/>
        </w:rPr>
      </w:pPr>
      <w:r>
        <w:rPr>
          <w:bCs/>
          <w:spacing w:val="5"/>
          <w:szCs w:val="24"/>
          <w:lang w:eastAsia="nl-BE"/>
        </w:rPr>
        <w:t>De producten werden geleverd in de periode juli 2014 tot december 2014. De BA heeft getracht de leveringen zoveel mogelijk te spreiden om de opslagplaatsen en organisaties niet te overladen. De stockage van de voedingsmiddelen is immers een moeilijk punt (vooral voor kleine organisaties), vandaar het belang om de leveringen zoveel mogelijk te spreiden.</w:t>
      </w:r>
      <w:r>
        <w:rPr>
          <w:bCs/>
          <w:spacing w:val="5"/>
          <w:szCs w:val="24"/>
          <w:lang w:eastAsia="nl-BE"/>
        </w:rPr>
        <w:tab/>
      </w:r>
      <w:r>
        <w:rPr>
          <w:bCs/>
          <w:spacing w:val="5"/>
          <w:szCs w:val="24"/>
          <w:lang w:eastAsia="nl-BE"/>
        </w:rPr>
        <w:br/>
      </w:r>
      <w:r>
        <w:rPr>
          <w:bCs/>
          <w:spacing w:val="5"/>
          <w:szCs w:val="24"/>
          <w:lang w:eastAsia="nl-BE"/>
        </w:rPr>
        <w:lastRenderedPageBreak/>
        <w:t>De melk werd geleverd in 2 periodes gezien de houdbaarheidsdatum korter is (min of meer 5 maanden).</w:t>
      </w:r>
      <w:r>
        <w:rPr>
          <w:bCs/>
          <w:spacing w:val="5"/>
          <w:szCs w:val="24"/>
          <w:lang w:eastAsia="nl-BE"/>
        </w:rPr>
        <w:tab/>
      </w:r>
      <w:r>
        <w:rPr>
          <w:bCs/>
          <w:spacing w:val="5"/>
          <w:szCs w:val="24"/>
          <w:lang w:eastAsia="nl-BE"/>
        </w:rPr>
        <w:br/>
        <w:t xml:space="preserve">Ook de pasta werd geleverd in 2 periodes gezien gaat om een product met erg grote volumes. </w:t>
      </w:r>
    </w:p>
    <w:p w:rsidR="00D27A1B" w:rsidRDefault="00D27A1B" w:rsidP="00C27177">
      <w:pPr>
        <w:tabs>
          <w:tab w:val="left" w:pos="720"/>
        </w:tabs>
        <w:spacing w:before="240"/>
        <w:rPr>
          <w:lang w:eastAsia="nl-BE"/>
        </w:rPr>
      </w:pPr>
      <w:r w:rsidRPr="00D27A1B">
        <w:rPr>
          <w:lang w:val="nl-NL" w:eastAsia="nl-BE"/>
        </w:rPr>
        <w:t xml:space="preserve">Het FEAD werd niet gebruikt voor de kosten </w:t>
      </w:r>
      <w:r w:rsidRPr="008E35D7">
        <w:rPr>
          <w:lang w:eastAsia="nl-BE"/>
        </w:rPr>
        <w:t>voortvloeiend uit het artikel 26.2.b en c van de verordening (EU) nr. 223/2014.</w:t>
      </w:r>
    </w:p>
    <w:p w:rsidR="00000FBA" w:rsidRPr="00284B51" w:rsidRDefault="00650952" w:rsidP="00284B51">
      <w:pPr>
        <w:rPr>
          <w:lang w:eastAsia="nl-BE"/>
        </w:rPr>
      </w:pPr>
      <w:r>
        <w:rPr>
          <w:lang w:eastAsia="nl-BE"/>
        </w:rPr>
        <w:t xml:space="preserve">Op basis van de aanbesteding werd in 2014 in </w:t>
      </w:r>
      <w:r w:rsidRPr="00482D77">
        <w:rPr>
          <w:lang w:eastAsia="nl-BE"/>
        </w:rPr>
        <w:t xml:space="preserve">totaal </w:t>
      </w:r>
      <w:r w:rsidR="00482D77" w:rsidRPr="00482D77">
        <w:rPr>
          <w:b/>
          <w:lang w:eastAsia="nl-BE"/>
        </w:rPr>
        <w:t>9.829,54</w:t>
      </w:r>
      <w:r w:rsidRPr="00482D77">
        <w:rPr>
          <w:b/>
          <w:lang w:eastAsia="nl-BE"/>
        </w:rPr>
        <w:t xml:space="preserve"> ton</w:t>
      </w:r>
      <w:r>
        <w:rPr>
          <w:lang w:eastAsia="nl-BE"/>
        </w:rPr>
        <w:t xml:space="preserve"> voedingsmiddelen geleverd aan de verschillende </w:t>
      </w:r>
      <w:proofErr w:type="spellStart"/>
      <w:r w:rsidRPr="000F4688">
        <w:rPr>
          <w:lang w:eastAsia="nl-BE"/>
        </w:rPr>
        <w:t>OCMW’s</w:t>
      </w:r>
      <w:proofErr w:type="spellEnd"/>
      <w:r w:rsidRPr="000F4688">
        <w:rPr>
          <w:lang w:eastAsia="nl-BE"/>
        </w:rPr>
        <w:t xml:space="preserve"> en erkende partnerorganisaties. De gedetailleerde hoeveelheden per product zijn terug te vinden in bijlage II.</w:t>
      </w:r>
      <w:r>
        <w:rPr>
          <w:lang w:eastAsia="nl-BE"/>
        </w:rPr>
        <w:tab/>
      </w:r>
      <w:r>
        <w:rPr>
          <w:lang w:eastAsia="nl-BE"/>
        </w:rPr>
        <w:br/>
      </w:r>
      <w:r w:rsidR="000074C1">
        <w:rPr>
          <w:bCs/>
          <w:spacing w:val="5"/>
          <w:szCs w:val="24"/>
          <w:lang w:eastAsia="nl-BE"/>
        </w:rPr>
        <w:t xml:space="preserve">Van de oorspronkelijk voorziene 11.871.000,00 euro werd </w:t>
      </w:r>
      <w:r w:rsidR="000074C1">
        <w:t>9.687.087,65 euro aan facturen voor de aankoop van levensmiddelen effectief betaald in 2014</w:t>
      </w:r>
      <w:r>
        <w:t xml:space="preserve"> (= inputindicatoren)</w:t>
      </w:r>
      <w:r w:rsidR="000074C1">
        <w:t xml:space="preserve">. </w:t>
      </w:r>
    </w:p>
    <w:p w:rsidR="008A70C3" w:rsidRDefault="00BC0251" w:rsidP="00C27177">
      <w:pPr>
        <w:pStyle w:val="Kop4"/>
        <w:numPr>
          <w:ilvl w:val="3"/>
          <w:numId w:val="2"/>
        </w:numPr>
        <w:spacing w:after="240" w:line="276" w:lineRule="auto"/>
        <w:rPr>
          <w:lang w:eastAsia="nl-BE"/>
        </w:rPr>
      </w:pPr>
      <w:r w:rsidRPr="009F7D6C">
        <w:rPr>
          <w:lang w:eastAsia="nl-BE"/>
        </w:rPr>
        <w:t>Verdeling van de voedingsmiddelen en artikelen door de partnerorganisaties</w:t>
      </w:r>
    </w:p>
    <w:p w:rsidR="0035767E" w:rsidRDefault="0035767E" w:rsidP="00C27177">
      <w:pPr>
        <w:rPr>
          <w:lang w:eastAsia="nl-BE"/>
        </w:rPr>
      </w:pPr>
      <w:r>
        <w:rPr>
          <w:lang w:eastAsia="nl-BE"/>
        </w:rPr>
        <w:t>Zoals reeds hoger vermeld is de verdeling van de voedingsmiddelen gestart omstreeks juli-augustus 2014.</w:t>
      </w:r>
    </w:p>
    <w:p w:rsidR="0035767E" w:rsidRDefault="0035767E" w:rsidP="00C27177">
      <w:pPr>
        <w:tabs>
          <w:tab w:val="left" w:pos="720"/>
        </w:tabs>
        <w:spacing w:after="0"/>
        <w:rPr>
          <w:lang w:val="nl-NL" w:eastAsia="nl-BE"/>
        </w:rPr>
      </w:pPr>
      <w:r w:rsidRPr="0035767E">
        <w:rPr>
          <w:lang w:val="nl-NL" w:eastAsia="nl-BE"/>
        </w:rPr>
        <w:t>De erkende partnerorganisaties mochten zelf bepalen op welke wijze zij de producten verdelen zolang zij de geldende reglementering respecteren.</w:t>
      </w:r>
      <w:r w:rsidRPr="0035767E">
        <w:rPr>
          <w:lang w:val="nl-NL" w:eastAsia="nl-BE"/>
        </w:rPr>
        <w:tab/>
      </w:r>
      <w:r w:rsidRPr="0035767E">
        <w:rPr>
          <w:lang w:val="nl-NL" w:eastAsia="nl-BE"/>
        </w:rPr>
        <w:br/>
        <w:t xml:space="preserve">De manier waarop de goederen verdeeld worden aan de eindontvangers verschilt dan ook danig al naargelang het soort organisaties (779 organisaties in het </w:t>
      </w:r>
      <w:r>
        <w:rPr>
          <w:lang w:val="nl-NL" w:eastAsia="nl-BE"/>
        </w:rPr>
        <w:t>totaal). Er zijn verschillen in:</w:t>
      </w:r>
    </w:p>
    <w:p w:rsidR="0035767E" w:rsidRDefault="0035767E" w:rsidP="00C27177">
      <w:pPr>
        <w:pStyle w:val="Lijstalinea"/>
        <w:numPr>
          <w:ilvl w:val="0"/>
          <w:numId w:val="11"/>
        </w:numPr>
        <w:tabs>
          <w:tab w:val="left" w:pos="720"/>
        </w:tabs>
        <w:spacing w:after="0"/>
        <w:rPr>
          <w:lang w:val="nl-NL" w:eastAsia="nl-BE"/>
        </w:rPr>
      </w:pPr>
      <w:r w:rsidRPr="0035767E">
        <w:rPr>
          <w:lang w:val="nl-NL" w:eastAsia="nl-BE"/>
        </w:rPr>
        <w:t>Frequentie van de verdeling: wekelijks, maandelijks, enkel sporadisch bij crisissituaties, …</w:t>
      </w:r>
    </w:p>
    <w:p w:rsidR="0035767E" w:rsidRDefault="0035767E" w:rsidP="00C27177">
      <w:pPr>
        <w:pStyle w:val="Lijstalinea"/>
        <w:numPr>
          <w:ilvl w:val="0"/>
          <w:numId w:val="11"/>
        </w:numPr>
        <w:tabs>
          <w:tab w:val="left" w:pos="720"/>
        </w:tabs>
        <w:spacing w:after="0"/>
        <w:rPr>
          <w:lang w:val="nl-NL" w:eastAsia="nl-BE"/>
        </w:rPr>
      </w:pPr>
      <w:r w:rsidRPr="0035767E">
        <w:rPr>
          <w:lang w:val="nl-NL" w:eastAsia="nl-BE"/>
        </w:rPr>
        <w:t>Samenstelling van de voedselpakketten: op voorhand samengesteld, al dan niet keuzemogelijkheden voor de eindontvanger, al dan niet samen met voedingsmiddelen niet afkomstig van het FEAD, …</w:t>
      </w:r>
    </w:p>
    <w:p w:rsidR="0035767E" w:rsidRDefault="0035767E" w:rsidP="00C27177">
      <w:pPr>
        <w:pStyle w:val="Lijstalinea"/>
        <w:numPr>
          <w:ilvl w:val="0"/>
          <w:numId w:val="11"/>
        </w:numPr>
        <w:tabs>
          <w:tab w:val="left" w:pos="720"/>
        </w:tabs>
        <w:spacing w:after="0"/>
        <w:rPr>
          <w:lang w:val="nl-NL" w:eastAsia="nl-BE"/>
        </w:rPr>
      </w:pPr>
      <w:r w:rsidRPr="0035767E">
        <w:rPr>
          <w:lang w:val="nl-NL" w:eastAsia="nl-BE"/>
        </w:rPr>
        <w:t xml:space="preserve">Manier van verdeling: </w:t>
      </w:r>
      <w:r w:rsidR="000F4688">
        <w:rPr>
          <w:lang w:val="nl-NL" w:eastAsia="nl-BE"/>
        </w:rPr>
        <w:t xml:space="preserve">in de vorm van voedselpakketten (hoofdzakelijk), </w:t>
      </w:r>
      <w:r w:rsidRPr="0035767E">
        <w:rPr>
          <w:lang w:val="nl-NL" w:eastAsia="nl-BE"/>
        </w:rPr>
        <w:t xml:space="preserve">in de vorm van maaltijden, kookworkshops, winkelvorm als sociale kruidenier, … </w:t>
      </w:r>
    </w:p>
    <w:p w:rsidR="0035767E" w:rsidRDefault="0035767E" w:rsidP="00650952">
      <w:pPr>
        <w:tabs>
          <w:tab w:val="left" w:pos="720"/>
        </w:tabs>
        <w:spacing w:after="0"/>
        <w:rPr>
          <w:lang w:val="nl-NL" w:eastAsia="nl-BE"/>
        </w:rPr>
      </w:pPr>
    </w:p>
    <w:p w:rsidR="00650952" w:rsidRDefault="00650952" w:rsidP="00650952">
      <w:pPr>
        <w:rPr>
          <w:lang w:eastAsia="nl-BE"/>
        </w:rPr>
      </w:pPr>
      <w:r>
        <w:rPr>
          <w:lang w:eastAsia="nl-BE"/>
        </w:rPr>
        <w:t xml:space="preserve">Teneinde te weten welke van de geleverde hoeveelheden reeds effectief verdeeld werden aan de meest behoeftigen in het jaar 2014 werd alle </w:t>
      </w:r>
      <w:proofErr w:type="spellStart"/>
      <w:r>
        <w:rPr>
          <w:lang w:eastAsia="nl-BE"/>
        </w:rPr>
        <w:t>OCMW’s</w:t>
      </w:r>
      <w:proofErr w:type="spellEnd"/>
      <w:r>
        <w:rPr>
          <w:lang w:eastAsia="nl-BE"/>
        </w:rPr>
        <w:t xml:space="preserve"> en erkende partnerorganisaties gevraagd hun voorraadstaat op 31/12/2014 over te maken.</w:t>
      </w:r>
    </w:p>
    <w:p w:rsidR="00650952" w:rsidRDefault="00650952" w:rsidP="00650952">
      <w:pPr>
        <w:rPr>
          <w:lang w:eastAsia="nl-BE"/>
        </w:rPr>
      </w:pPr>
      <w:r>
        <w:rPr>
          <w:lang w:eastAsia="nl-BE"/>
        </w:rPr>
        <w:t>608 van de 779 organisaties (78,05%) stuurden hun voorraadstaat van 31/12/2014 door. Voor de organisaties die hun voorraadstaat niet overmaakten (171 organisaties in het totaal), werden percentages gehanteerd per product op basis van de wel ontvangen voorraadstaten.</w:t>
      </w:r>
    </w:p>
    <w:p w:rsidR="00650952" w:rsidRDefault="00650952" w:rsidP="00650952">
      <w:pPr>
        <w:rPr>
          <w:lang w:eastAsia="nl-BE"/>
        </w:rPr>
      </w:pPr>
      <w:r>
        <w:rPr>
          <w:lang w:eastAsia="nl-BE"/>
        </w:rPr>
        <w:t xml:space="preserve">In de loop van 2014 werd </w:t>
      </w:r>
      <w:r w:rsidR="00482D77">
        <w:rPr>
          <w:lang w:eastAsia="nl-BE"/>
        </w:rPr>
        <w:t>4.608,95 ton</w:t>
      </w:r>
      <w:r>
        <w:rPr>
          <w:lang w:eastAsia="nl-BE"/>
        </w:rPr>
        <w:t xml:space="preserve"> voedingsmiddelen effectief verdeeld aan de meest behoeftigen, hetzij 46,85% van de hoeveelheden die aangekocht en geleverd werden </w:t>
      </w:r>
      <w:r w:rsidRPr="00650952">
        <w:rPr>
          <w:lang w:eastAsia="nl-BE"/>
        </w:rPr>
        <w:t>(=</w:t>
      </w:r>
      <w:r w:rsidR="00482D77">
        <w:rPr>
          <w:lang w:eastAsia="nl-BE"/>
        </w:rPr>
        <w:t xml:space="preserve"> 9.829,54 ton</w:t>
      </w:r>
      <w:r w:rsidRPr="00650952">
        <w:rPr>
          <w:lang w:eastAsia="nl-BE"/>
        </w:rPr>
        <w:t>).</w:t>
      </w:r>
      <w:r>
        <w:rPr>
          <w:lang w:eastAsia="nl-BE"/>
        </w:rPr>
        <w:t xml:space="preserve"> De gedetailleerde hoeveelheden per product zijn terug te vinden in bijlage II. De outputindicatoren zijn terug te vinden onder punt 2.3.2. </w:t>
      </w:r>
    </w:p>
    <w:p w:rsidR="00650952" w:rsidRDefault="00650952" w:rsidP="00650952">
      <w:pPr>
        <w:rPr>
          <w:lang w:eastAsia="nl-BE"/>
        </w:rPr>
      </w:pPr>
      <w:r>
        <w:rPr>
          <w:lang w:eastAsia="nl-BE"/>
        </w:rPr>
        <w:lastRenderedPageBreak/>
        <w:t xml:space="preserve">In de loop van de programmaperiode wil de BA het proces om stocks te beheren en </w:t>
      </w:r>
      <w:r w:rsidR="008D2480">
        <w:rPr>
          <w:lang w:eastAsia="nl-BE"/>
        </w:rPr>
        <w:t xml:space="preserve">deze </w:t>
      </w:r>
      <w:r>
        <w:rPr>
          <w:lang w:eastAsia="nl-BE"/>
        </w:rPr>
        <w:t>in kaart te brengen integreren</w:t>
      </w:r>
      <w:r w:rsidR="008D2480">
        <w:rPr>
          <w:lang w:eastAsia="nl-BE"/>
        </w:rPr>
        <w:t xml:space="preserve"> in de elektronische applicatie. Dit </w:t>
      </w:r>
      <w:r>
        <w:rPr>
          <w:lang w:eastAsia="nl-BE"/>
        </w:rPr>
        <w:t>teneinde een beter zicht te hebben waar nog grote hoeveelheden levensmiddelen in voorraad zijn en welke hoeveelheden al effectief verdeeld werden aan de eindontvangers.</w:t>
      </w:r>
    </w:p>
    <w:p w:rsidR="000F4688" w:rsidRDefault="000F4688" w:rsidP="00650952">
      <w:pPr>
        <w:rPr>
          <w:lang w:eastAsia="nl-BE"/>
        </w:rPr>
      </w:pPr>
      <w:r>
        <w:rPr>
          <w:lang w:eastAsia="nl-BE"/>
        </w:rPr>
        <w:t xml:space="preserve">De verdeling van de producten van 2014 gaat verder in de loop van 2015. Dit stelt geen enkel probleem gezien de houdbaarheidsdata tot 2018 gaan. </w:t>
      </w:r>
    </w:p>
    <w:p w:rsidR="00BC0251" w:rsidRPr="00BC0251" w:rsidRDefault="00BC0251" w:rsidP="00C27177">
      <w:pPr>
        <w:pStyle w:val="Kop4"/>
        <w:numPr>
          <w:ilvl w:val="3"/>
          <w:numId w:val="2"/>
        </w:numPr>
        <w:spacing w:after="240" w:line="276" w:lineRule="auto"/>
        <w:rPr>
          <w:lang w:eastAsia="nl-BE"/>
        </w:rPr>
      </w:pPr>
      <w:r>
        <w:rPr>
          <w:lang w:eastAsia="nl-BE"/>
        </w:rPr>
        <w:t>Technische bijstand</w:t>
      </w:r>
    </w:p>
    <w:p w:rsidR="00C75A01" w:rsidRDefault="00BC0251" w:rsidP="00C27177">
      <w:r>
        <w:t>In het jaar 2014 werd nog geen gebruik gemaakt van de beschikbare technische bijstand. Dit omwille van begrotingstechnische red</w:t>
      </w:r>
      <w:r w:rsidR="004A6747">
        <w:t xml:space="preserve">enen </w:t>
      </w:r>
      <w:r>
        <w:t>gezien de POD MI pas in de loop van het jaar 2014 officieel werd aangeduid als verantwoordelijke administratie was hiervoor geen budget voorzien in de Belgische begroting voor het jaar 2014.</w:t>
      </w:r>
    </w:p>
    <w:p w:rsidR="00C75A01" w:rsidRDefault="00C75A01" w:rsidP="00C27177">
      <w:pPr>
        <w:pStyle w:val="Kop3"/>
        <w:numPr>
          <w:ilvl w:val="2"/>
          <w:numId w:val="2"/>
        </w:numPr>
        <w:spacing w:after="240" w:line="276" w:lineRule="auto"/>
      </w:pPr>
      <w:bookmarkStart w:id="10" w:name="_Toc422390653"/>
      <w:r w:rsidRPr="004B5BBC">
        <w:t>Selectie van partnerorganisaties</w:t>
      </w:r>
      <w:bookmarkEnd w:id="10"/>
    </w:p>
    <w:p w:rsidR="00297AA5" w:rsidRPr="00A14886" w:rsidRDefault="00A14886" w:rsidP="00C27177">
      <w:pPr>
        <w:spacing w:after="240"/>
        <w:rPr>
          <w:lang w:val="nl-NL" w:eastAsia="fr-BE"/>
        </w:rPr>
      </w:pPr>
      <w:r>
        <w:rPr>
          <w:lang w:val="nl-NL" w:eastAsia="fr-BE"/>
        </w:rPr>
        <w:t xml:space="preserve">Zoals ook bepaald in het OP, gebeurt de selectie van de partners die instaan </w:t>
      </w:r>
      <w:r w:rsidR="00297AA5">
        <w:rPr>
          <w:lang w:val="nl-NL" w:eastAsia="fr-BE"/>
        </w:rPr>
        <w:t>voor de verdeling van het gratis voedsel op basis van een erkenning</w:t>
      </w:r>
      <w:r w:rsidR="0008043B">
        <w:rPr>
          <w:lang w:val="nl-NL" w:eastAsia="fr-BE"/>
        </w:rPr>
        <w:t xml:space="preserve">. Deze erkenning gebeurt in samenwerking met de bevoegde regionale entiteiten. </w:t>
      </w:r>
      <w:r w:rsidR="00297AA5" w:rsidRPr="00297AA5">
        <w:rPr>
          <w:lang w:eastAsia="fr-BE"/>
        </w:rPr>
        <w:t>Iedere partnerorganisatie wordt erkend voor een bepaald aantal eindontvangers.</w:t>
      </w:r>
      <w:r w:rsidR="00524BD2">
        <w:rPr>
          <w:lang w:eastAsia="fr-BE"/>
        </w:rPr>
        <w:tab/>
      </w:r>
      <w:r w:rsidR="00524BD2">
        <w:rPr>
          <w:lang w:eastAsia="fr-BE"/>
        </w:rPr>
        <w:br/>
        <w:t xml:space="preserve">Er wordt een onderscheid gemaakt tussen enerzijds de </w:t>
      </w:r>
      <w:proofErr w:type="spellStart"/>
      <w:r w:rsidR="00524BD2">
        <w:rPr>
          <w:lang w:eastAsia="fr-BE"/>
        </w:rPr>
        <w:t>OCMW’s</w:t>
      </w:r>
      <w:proofErr w:type="spellEnd"/>
      <w:r w:rsidR="00524BD2">
        <w:rPr>
          <w:lang w:eastAsia="fr-BE"/>
        </w:rPr>
        <w:t xml:space="preserve"> en anderzijds de erkende partnerorganisaties. </w:t>
      </w:r>
    </w:p>
    <w:p w:rsidR="00297AA5" w:rsidRPr="001D32D4" w:rsidRDefault="00297AA5" w:rsidP="00C27177">
      <w:pPr>
        <w:spacing w:before="240" w:after="240"/>
        <w:rPr>
          <w:lang w:eastAsia="nl-BE"/>
        </w:rPr>
      </w:pPr>
      <w:r w:rsidRPr="001D32D4">
        <w:rPr>
          <w:bCs/>
          <w:lang w:eastAsia="nl-BE"/>
        </w:rPr>
        <w:t xml:space="preserve">De </w:t>
      </w:r>
      <w:proofErr w:type="spellStart"/>
      <w:r w:rsidRPr="001D32D4">
        <w:rPr>
          <w:b/>
          <w:bCs/>
          <w:lang w:eastAsia="nl-BE"/>
        </w:rPr>
        <w:t>OCMW’s</w:t>
      </w:r>
      <w:proofErr w:type="spellEnd"/>
      <w:r w:rsidRPr="001D32D4">
        <w:rPr>
          <w:bCs/>
          <w:lang w:eastAsia="nl-BE"/>
        </w:rPr>
        <w:t xml:space="preserve"> die door hun statuut en functies beantwoorden aan alle verplichtingen van een partnerorganisatie en die een taak van openbare dienst op zich nemen in de strijd tegen de armoede en de uitsluiting, worden van ambtswege erkend mits inschrijving bij het</w:t>
      </w:r>
      <w:r w:rsidRPr="001D32D4">
        <w:rPr>
          <w:lang w:eastAsia="nl-BE"/>
        </w:rPr>
        <w:t xml:space="preserve"> Federaal Agentschap voor de Veiligheid van de Voedselketen (FAVV). Het aantal eindontvangers per OCMW wordt bepaald door het aantal </w:t>
      </w:r>
      <w:proofErr w:type="spellStart"/>
      <w:r w:rsidRPr="001D32D4">
        <w:rPr>
          <w:lang w:eastAsia="nl-BE"/>
        </w:rPr>
        <w:t>leefloners</w:t>
      </w:r>
      <w:proofErr w:type="spellEnd"/>
      <w:r w:rsidRPr="001D32D4">
        <w:rPr>
          <w:lang w:eastAsia="nl-BE"/>
        </w:rPr>
        <w:t>.</w:t>
      </w:r>
    </w:p>
    <w:p w:rsidR="00297AA5" w:rsidRPr="001D32D4" w:rsidRDefault="00297AA5" w:rsidP="00C27177">
      <w:pPr>
        <w:spacing w:before="240" w:after="240"/>
        <w:rPr>
          <w:lang w:eastAsia="nl-BE"/>
        </w:rPr>
      </w:pPr>
      <w:r w:rsidRPr="00297AA5">
        <w:rPr>
          <w:b/>
          <w:bCs/>
          <w:lang w:eastAsia="nl-BE"/>
        </w:rPr>
        <w:t>Partnerorganisaties</w:t>
      </w:r>
      <w:r w:rsidRPr="00297AA5">
        <w:rPr>
          <w:lang w:eastAsia="nl-BE"/>
        </w:rPr>
        <w:t xml:space="preserve">: moeten een erkenningsaanvraag indienen en moeten erkend zijn door de BA. </w:t>
      </w:r>
      <w:r w:rsidRPr="001D32D4">
        <w:rPr>
          <w:lang w:eastAsia="nl-BE"/>
        </w:rPr>
        <w:t>Om erkend te worden door de BA moet de partnerorganisatie aan de volgende voorwaarden voldoen:</w:t>
      </w:r>
    </w:p>
    <w:p w:rsidR="00297AA5" w:rsidRPr="001D32D4" w:rsidRDefault="00297AA5" w:rsidP="00C27177">
      <w:pPr>
        <w:numPr>
          <w:ilvl w:val="0"/>
          <w:numId w:val="22"/>
        </w:numPr>
        <w:tabs>
          <w:tab w:val="left" w:pos="720"/>
        </w:tabs>
        <w:spacing w:before="240" w:after="0"/>
        <w:rPr>
          <w:lang w:eastAsia="nl-BE"/>
        </w:rPr>
      </w:pPr>
      <w:r w:rsidRPr="001D32D4">
        <w:rPr>
          <w:lang w:eastAsia="nl-BE"/>
        </w:rPr>
        <w:t>Het juridisch</w:t>
      </w:r>
      <w:r w:rsidR="0092222A">
        <w:rPr>
          <w:lang w:eastAsia="nl-BE"/>
        </w:rPr>
        <w:t xml:space="preserve"> statuut hebben van een open</w:t>
      </w:r>
      <w:r w:rsidRPr="001D32D4">
        <w:rPr>
          <w:lang w:eastAsia="nl-BE"/>
        </w:rPr>
        <w:t xml:space="preserve"> instelling of van vereniging zonder winstoogmerk (VZW)</w:t>
      </w:r>
    </w:p>
    <w:p w:rsidR="00297AA5" w:rsidRPr="001D32D4" w:rsidRDefault="00297AA5" w:rsidP="00C27177">
      <w:pPr>
        <w:numPr>
          <w:ilvl w:val="0"/>
          <w:numId w:val="22"/>
        </w:numPr>
        <w:tabs>
          <w:tab w:val="left" w:pos="720"/>
        </w:tabs>
        <w:spacing w:after="0"/>
        <w:rPr>
          <w:lang w:eastAsia="nl-BE"/>
        </w:rPr>
      </w:pPr>
      <w:r w:rsidRPr="001D32D4">
        <w:rPr>
          <w:lang w:eastAsia="nl-BE"/>
        </w:rPr>
        <w:t>Een sociale roeping hebben, inclusief de verdeling van voedingsmiddelen of materiële hulp aan behoeftigen;</w:t>
      </w:r>
    </w:p>
    <w:p w:rsidR="00297AA5" w:rsidRPr="001D32D4" w:rsidRDefault="00297AA5" w:rsidP="00C27177">
      <w:pPr>
        <w:numPr>
          <w:ilvl w:val="0"/>
          <w:numId w:val="22"/>
        </w:numPr>
        <w:tabs>
          <w:tab w:val="left" w:pos="720"/>
        </w:tabs>
        <w:spacing w:after="0"/>
        <w:rPr>
          <w:lang w:eastAsia="nl-BE"/>
        </w:rPr>
      </w:pPr>
      <w:r w:rsidRPr="001D32D4">
        <w:rPr>
          <w:lang w:eastAsia="nl-BE"/>
        </w:rPr>
        <w:t>In staat zijn de verplichtingen opgenomen in de financieringsovereenkomst na te leven;</w:t>
      </w:r>
    </w:p>
    <w:p w:rsidR="00297AA5" w:rsidRPr="001D32D4" w:rsidRDefault="00297AA5" w:rsidP="00C27177">
      <w:pPr>
        <w:numPr>
          <w:ilvl w:val="0"/>
          <w:numId w:val="22"/>
        </w:numPr>
        <w:tabs>
          <w:tab w:val="left" w:pos="720"/>
        </w:tabs>
        <w:spacing w:after="0"/>
        <w:rPr>
          <w:lang w:eastAsia="nl-BE"/>
        </w:rPr>
      </w:pPr>
      <w:r w:rsidRPr="001D32D4">
        <w:rPr>
          <w:lang w:eastAsia="nl-BE"/>
        </w:rPr>
        <w:t>Een partnerschapsovereenkomst afsluiten met het OCMW van elke gemeente in dewelke zij actief is;</w:t>
      </w:r>
    </w:p>
    <w:p w:rsidR="00297AA5" w:rsidRPr="001D32D4" w:rsidRDefault="00297AA5" w:rsidP="00C27177">
      <w:pPr>
        <w:numPr>
          <w:ilvl w:val="0"/>
          <w:numId w:val="22"/>
        </w:numPr>
        <w:tabs>
          <w:tab w:val="left" w:pos="720"/>
        </w:tabs>
        <w:spacing w:after="0"/>
        <w:rPr>
          <w:lang w:eastAsia="nl-BE"/>
        </w:rPr>
      </w:pPr>
      <w:r w:rsidRPr="001D32D4">
        <w:rPr>
          <w:lang w:eastAsia="nl-BE"/>
        </w:rPr>
        <w:t>Bij de regionaal bevoegde autoriteit erkend zijn als caritatieve instelling;</w:t>
      </w:r>
    </w:p>
    <w:p w:rsidR="00297AA5" w:rsidRPr="001D32D4" w:rsidRDefault="00297AA5" w:rsidP="00C27177">
      <w:pPr>
        <w:numPr>
          <w:ilvl w:val="0"/>
          <w:numId w:val="22"/>
        </w:numPr>
        <w:tabs>
          <w:tab w:val="left" w:pos="720"/>
        </w:tabs>
        <w:spacing w:after="0"/>
        <w:rPr>
          <w:lang w:eastAsia="nl-BE"/>
        </w:rPr>
      </w:pPr>
      <w:r w:rsidRPr="001D32D4">
        <w:rPr>
          <w:lang w:eastAsia="nl-BE"/>
        </w:rPr>
        <w:t>Zich ertoe verbinden de van kracht zijnde reglementen na te leven, met inbegrip van de bepalingen van de verordening (EU) NR. 223/2014, met name de desbetreffende bepalingen van het artikel 5 van deze verordening;</w:t>
      </w:r>
    </w:p>
    <w:p w:rsidR="00297AA5" w:rsidRPr="001D32D4" w:rsidRDefault="00297AA5" w:rsidP="00C27177">
      <w:pPr>
        <w:numPr>
          <w:ilvl w:val="0"/>
          <w:numId w:val="22"/>
        </w:numPr>
        <w:tabs>
          <w:tab w:val="left" w:pos="720"/>
        </w:tabs>
        <w:spacing w:after="0"/>
        <w:ind w:left="714" w:hanging="357"/>
        <w:rPr>
          <w:lang w:eastAsia="nl-BE"/>
        </w:rPr>
      </w:pPr>
      <w:r w:rsidRPr="001D32D4">
        <w:rPr>
          <w:lang w:eastAsia="nl-BE"/>
        </w:rPr>
        <w:lastRenderedPageBreak/>
        <w:t>Indien de partnerorganisatie voedselhulp verdeelt, geregistreerd zijn bij het FAVV.</w:t>
      </w:r>
    </w:p>
    <w:p w:rsidR="00297AA5" w:rsidRPr="00414FB4" w:rsidRDefault="00297AA5" w:rsidP="00C27177">
      <w:pPr>
        <w:tabs>
          <w:tab w:val="left" w:pos="720"/>
        </w:tabs>
        <w:spacing w:after="0"/>
        <w:ind w:left="714"/>
        <w:rPr>
          <w:highlight w:val="yellow"/>
          <w:lang w:eastAsia="nl-BE"/>
        </w:rPr>
      </w:pPr>
    </w:p>
    <w:p w:rsidR="00364185" w:rsidRDefault="00297AA5" w:rsidP="00C27177">
      <w:pPr>
        <w:tabs>
          <w:tab w:val="left" w:pos="720"/>
        </w:tabs>
        <w:spacing w:after="240"/>
        <w:rPr>
          <w:lang w:eastAsia="nl-BE"/>
        </w:rPr>
      </w:pPr>
      <w:r w:rsidRPr="001D32D4">
        <w:rPr>
          <w:lang w:eastAsia="nl-BE"/>
        </w:rPr>
        <w:t xml:space="preserve">Het aantal eindontvangers wordt vermeld in de erkenning. De erkenningen van het aantal begunstigden door de BA zijn beperkt per gemeente (in functie van het gemeentelijk plafond en het aantal binnen de gemeente actieve partnerorganisaties). </w:t>
      </w:r>
      <w:r w:rsidR="00364185">
        <w:rPr>
          <w:lang w:eastAsia="nl-BE"/>
        </w:rPr>
        <w:t xml:space="preserve">Voor het jaar 2014 werd het gemeentelijk plafond berekend in functie van het aantal leefloonbegunstigden. </w:t>
      </w:r>
      <w:r w:rsidR="00D27A1B">
        <w:rPr>
          <w:lang w:eastAsia="nl-BE"/>
        </w:rPr>
        <w:t xml:space="preserve">Op basis van dit plafond werden de beschikbare levensmiddelen uiteindelijk verdeeld over de verschillende organisaties die een bestelling van levensmiddelen indienden. </w:t>
      </w:r>
    </w:p>
    <w:p w:rsidR="009941D5" w:rsidRDefault="0008043B" w:rsidP="00C27177">
      <w:pPr>
        <w:tabs>
          <w:tab w:val="left" w:pos="720"/>
        </w:tabs>
        <w:spacing w:after="240"/>
      </w:pPr>
      <w:r>
        <w:rPr>
          <w:lang w:eastAsia="nl-BE"/>
        </w:rPr>
        <w:t xml:space="preserve">Omwille van de tijdsdruk heeft de POD MI alle erkenningen van het BIRB integraal overgenomen. De BA </w:t>
      </w:r>
      <w:r w:rsidR="00892B52">
        <w:rPr>
          <w:lang w:eastAsia="nl-BE"/>
        </w:rPr>
        <w:t>ontving</w:t>
      </w:r>
      <w:r>
        <w:rPr>
          <w:lang w:eastAsia="nl-BE"/>
        </w:rPr>
        <w:t xml:space="preserve"> daarenboven ook 15 nieuwe erkenningsaanvragen. </w:t>
      </w:r>
      <w:r>
        <w:rPr>
          <w:lang w:eastAsia="nl-BE"/>
        </w:rPr>
        <w:tab/>
      </w:r>
      <w:r>
        <w:rPr>
          <w:lang w:eastAsia="nl-BE"/>
        </w:rPr>
        <w:br/>
      </w:r>
      <w:r w:rsidR="00297AA5">
        <w:t>Gezien het OP pas in december 2014 werd goedgekeurd, is er in 2014 nog geen samenwerking geweest met de regionale entiteiten om de</w:t>
      </w:r>
      <w:r>
        <w:t>ze</w:t>
      </w:r>
      <w:r w:rsidR="00297AA5">
        <w:t xml:space="preserve"> nieuwe erkenningsaanvragen te behandelen. </w:t>
      </w:r>
      <w:r>
        <w:t xml:space="preserve">De erkenning van de 15 nieuwe aanvragen </w:t>
      </w:r>
      <w:r w:rsidR="00364185">
        <w:t>zal dus pas afgerond worden in 2015.</w:t>
      </w:r>
      <w:r w:rsidR="009941D5">
        <w:br/>
        <w:t>Voor het jaar 2014 werden deze nieuwe erkenningsaanvragen goedgekeurd onder voorbehoud zodat de betrokken organisaties toch al levensmiddelen konden ontvangen. De erkenningsaanvraag werd enkel goedgekeurd onder voorbehoud wanneer de aanvraag volledig in ord</w:t>
      </w:r>
      <w:r w:rsidR="00892B52">
        <w:t>e was.</w:t>
      </w:r>
    </w:p>
    <w:p w:rsidR="00892B52" w:rsidRPr="00297AA5" w:rsidRDefault="00892B52" w:rsidP="00C27177">
      <w:pPr>
        <w:tabs>
          <w:tab w:val="left" w:pos="720"/>
        </w:tabs>
        <w:spacing w:after="240"/>
      </w:pPr>
      <w:r>
        <w:t xml:space="preserve">Alle erkenningen overgenomen van het BIRB zullen in de loop van het jaar 2015 vernieuwd worden. </w:t>
      </w:r>
    </w:p>
    <w:p w:rsidR="00011F50" w:rsidRDefault="009B3A39" w:rsidP="00C27177">
      <w:pPr>
        <w:pStyle w:val="Kop3"/>
        <w:numPr>
          <w:ilvl w:val="2"/>
          <w:numId w:val="2"/>
        </w:numPr>
        <w:spacing w:after="240" w:line="276" w:lineRule="auto"/>
      </w:pPr>
      <w:bookmarkStart w:id="11" w:name="_Toc422390654"/>
      <w:r>
        <w:t>Opstart beheers- en controlesystemen</w:t>
      </w:r>
      <w:bookmarkEnd w:id="11"/>
    </w:p>
    <w:p w:rsidR="008A70C3" w:rsidRDefault="008A70C3" w:rsidP="00C27177">
      <w:r>
        <w:t xml:space="preserve">Met de uitvoering van de eerste aanbesteding om de levensmiddelen voor het jaar 2014 aan te kopen, </w:t>
      </w:r>
      <w:r w:rsidR="007B6B33">
        <w:t xml:space="preserve">werd ook een eerste aanzet van het </w:t>
      </w:r>
      <w:r w:rsidR="00C53DDD">
        <w:t>beheers- en controlesysteem</w:t>
      </w:r>
      <w:r w:rsidR="007B6B33">
        <w:t xml:space="preserve"> uitgewerkt</w:t>
      </w:r>
      <w:r w:rsidR="00C53DDD">
        <w:t xml:space="preserve"> teneinde te garanderen dat de aanbesteding werd gerea</w:t>
      </w:r>
      <w:r w:rsidR="007B6B33">
        <w:t>liseerd conform het lastenboek.</w:t>
      </w:r>
    </w:p>
    <w:p w:rsidR="00A408F5" w:rsidRDefault="00A408F5" w:rsidP="00C27177">
      <w:pPr>
        <w:pStyle w:val="Kop4"/>
        <w:numPr>
          <w:ilvl w:val="3"/>
          <w:numId w:val="2"/>
        </w:numPr>
        <w:spacing w:after="240" w:line="276" w:lineRule="auto"/>
      </w:pPr>
      <w:r>
        <w:t>Productiecontroles</w:t>
      </w:r>
    </w:p>
    <w:p w:rsidR="00331F62" w:rsidRDefault="007B76DD" w:rsidP="00C27177">
      <w:r>
        <w:t xml:space="preserve">Omstreeks juni 2014 is de BA gestart met het uitvoeren van </w:t>
      </w:r>
      <w:r w:rsidRPr="00435789">
        <w:t>de productiecontroles.</w:t>
      </w:r>
      <w:r>
        <w:t xml:space="preserve"> Tijdens deze controles worden </w:t>
      </w:r>
      <w:r w:rsidR="00A408F5">
        <w:t xml:space="preserve">de verpakkingen gecontroleerd, hoeveelheden nageteld en worden stalen genomen per </w:t>
      </w:r>
      <w:proofErr w:type="spellStart"/>
      <w:r w:rsidR="00A408F5">
        <w:t>productielot</w:t>
      </w:r>
      <w:proofErr w:type="spellEnd"/>
      <w:r w:rsidR="00A408F5">
        <w:t xml:space="preserve">. Deze stalen worden nadien geanalyseerd in het laboratorium waar geverifieerd wordt of het product conform het lastenboek is geproduceerd. Voor het jaar 2014 kon de BA hiertoe rekenen op de samenwerking met het Laboratorium der Douane en Accijnzen. Deze samenwerking verliep bijzonder vlot, het laboratorium stond de BA steeds bij met raad en daad. </w:t>
      </w:r>
      <w:r w:rsidR="00A408F5">
        <w:tab/>
      </w:r>
      <w:r w:rsidR="00A408F5">
        <w:br/>
      </w:r>
      <w:r>
        <w:t xml:space="preserve">Voor dit type controle </w:t>
      </w:r>
      <w:r w:rsidR="00A408F5">
        <w:t>betrof de steekproef 100%: er werden stalen genomen van alle productieloten.</w:t>
      </w:r>
      <w:r w:rsidR="00331F62">
        <w:t xml:space="preserve"> In totaal werden 315 stalen geanalyseerd door het laboratorium. </w:t>
      </w:r>
    </w:p>
    <w:p w:rsidR="00331F62" w:rsidRDefault="00331F62" w:rsidP="00C27177">
      <w:r>
        <w:t>Wanneer het labo</w:t>
      </w:r>
      <w:r w:rsidR="00DD5DC2">
        <w:t>ratorium een non-conformiteit vaststelde van één van de stalen, kreeg de opdrachthouder de kans hierop te reageren. Bij volgende producten werden afwijkingen vastgesteld.</w:t>
      </w:r>
    </w:p>
    <w:p w:rsidR="00DD5DC2" w:rsidRDefault="00DD5DC2" w:rsidP="00C27177">
      <w:pPr>
        <w:pStyle w:val="Lijstalinea"/>
        <w:numPr>
          <w:ilvl w:val="0"/>
          <w:numId w:val="18"/>
        </w:numPr>
      </w:pPr>
      <w:r>
        <w:lastRenderedPageBreak/>
        <w:t>Het stoofvlees. Voor het stoofvlees ontstond discussie over de notie ‘zorgvuldig ontvet en ontbeend’ uit het lastenboek. Na onderhandeling heeft de opdrachtnemer het productieproces aangepast.</w:t>
      </w:r>
    </w:p>
    <w:p w:rsidR="00DD5DC2" w:rsidRDefault="002B1A2B" w:rsidP="00C27177">
      <w:pPr>
        <w:pStyle w:val="Lijstalinea"/>
        <w:numPr>
          <w:ilvl w:val="0"/>
          <w:numId w:val="18"/>
        </w:numPr>
      </w:pPr>
      <w:r>
        <w:t xml:space="preserve">De fruitcocktail. Bij 5 van de 17 productieloten werd teveel suiker vastgesteld, de </w:t>
      </w:r>
      <w:proofErr w:type="spellStart"/>
      <w:r>
        <w:t>Brix</w:t>
      </w:r>
      <w:proofErr w:type="spellEnd"/>
      <w:r>
        <w:t xml:space="preserve">-waarde van sommige loten fruitcocktail was niet conform het lastenboek. Er werd een tegenanalyse uitgevoerd door een ander labo op de B-stalen van de betreffende productieloten. De tegenanalyse stelde dezelfde tendens vast. Uiteindelijk werd de opdrachthouder gevraagd een bedrag van 5.959,50 euro terug te betalen. </w:t>
      </w:r>
    </w:p>
    <w:p w:rsidR="003E78A9" w:rsidRDefault="003E78A9" w:rsidP="00C27177">
      <w:pPr>
        <w:pStyle w:val="Kop4"/>
        <w:numPr>
          <w:ilvl w:val="3"/>
          <w:numId w:val="2"/>
        </w:numPr>
        <w:spacing w:after="240" w:line="276" w:lineRule="auto"/>
      </w:pPr>
      <w:r>
        <w:t>Controles op facturen</w:t>
      </w:r>
    </w:p>
    <w:p w:rsidR="00DD5DC2" w:rsidRDefault="003E78A9" w:rsidP="00C27177">
      <w:r>
        <w:t xml:space="preserve">Met de ontvangst van de eerste facturen in augustus 2014 is de </w:t>
      </w:r>
      <w:proofErr w:type="spellStart"/>
      <w:r>
        <w:t>beheersautoriteit</w:t>
      </w:r>
      <w:proofErr w:type="spellEnd"/>
      <w:r>
        <w:t xml:space="preserve"> in de loop van augustus 2014 gestart met de controles op facturen. Voor iedere gefactureerde levering moet de opdrachthouder een bewijsstuk van levering kunnen voorleggen.</w:t>
      </w:r>
      <w:r w:rsidR="000F4688">
        <w:t xml:space="preserve"> Dit document moet ondertekend worden door de ontvanger van de producten.</w:t>
      </w:r>
      <w:r>
        <w:t xml:space="preserve"> </w:t>
      </w:r>
      <w:r w:rsidR="00331F62">
        <w:t xml:space="preserve">Ook de </w:t>
      </w:r>
      <w:r>
        <w:t xml:space="preserve">facturen </w:t>
      </w:r>
      <w:r w:rsidR="00331F62">
        <w:t xml:space="preserve">en bijhorende bewijsstukken </w:t>
      </w:r>
      <w:r>
        <w:t xml:space="preserve">werden voor 100% gecontroleerd. </w:t>
      </w:r>
      <w:r w:rsidR="00DD5DC2">
        <w:t xml:space="preserve">Waar vereist werden onduidelijke bewijsstukken geverifieerd en ontbrekende bewijsstukken opgevraagd. Indien nodig werd de opdrachthouder verzocht een kredietnota </w:t>
      </w:r>
      <w:r w:rsidR="002B1A2B">
        <w:t>te bezorgen</w:t>
      </w:r>
      <w:r w:rsidR="00DD5DC2">
        <w:t xml:space="preserve">. </w:t>
      </w:r>
    </w:p>
    <w:p w:rsidR="00A408F5" w:rsidRDefault="00A408F5" w:rsidP="00C27177">
      <w:pPr>
        <w:pStyle w:val="Kop4"/>
        <w:numPr>
          <w:ilvl w:val="3"/>
          <w:numId w:val="2"/>
        </w:numPr>
        <w:spacing w:after="240" w:line="276" w:lineRule="auto"/>
      </w:pPr>
      <w:r>
        <w:t>Controles op leveringen</w:t>
      </w:r>
    </w:p>
    <w:p w:rsidR="00A408F5" w:rsidRDefault="003E78A9" w:rsidP="00C27177">
      <w:r>
        <w:t>Met de komst van extra personeel is de BA begin november 2014 ook gestart met het uitvoeren van controles op leveringen. Tijdens</w:t>
      </w:r>
      <w:r w:rsidR="00DD5DC2">
        <w:t xml:space="preserve"> deze controles gaat de BA na of</w:t>
      </w:r>
      <w:r>
        <w:t xml:space="preserve"> de voorwaarden voor leveringen zoals gedefinieerd in het lastenboek in realiteit worden nageleefd. Ook wordt geverifieerd of de goederen in goede staat worden geleverd. Deze controle werd i</w:t>
      </w:r>
      <w:r w:rsidR="00DD5DC2">
        <w:t xml:space="preserve">n 2014 uitgevoerd bij 5,46% van de geleverde hoeveelheden. </w:t>
      </w:r>
    </w:p>
    <w:p w:rsidR="007D60E8" w:rsidRDefault="007D60E8" w:rsidP="007D60E8">
      <w:pPr>
        <w:pStyle w:val="Kop4"/>
        <w:numPr>
          <w:ilvl w:val="3"/>
          <w:numId w:val="2"/>
        </w:numPr>
        <w:spacing w:after="240"/>
      </w:pPr>
      <w:r>
        <w:t>Controles organisaties</w:t>
      </w:r>
    </w:p>
    <w:p w:rsidR="007D60E8" w:rsidRDefault="007D60E8" w:rsidP="005A417B">
      <w:pPr>
        <w:spacing w:after="0"/>
      </w:pPr>
      <w:r>
        <w:t xml:space="preserve">Door gebrek aan tijd en personeel vonden nog geen controles van organisaties die het voedsel effectief verdelen plaats in 2014. De eerste controles van organisaties zijn voorzien voor begin 2015. </w:t>
      </w:r>
      <w:r>
        <w:tab/>
      </w:r>
      <w:r>
        <w:br/>
      </w:r>
    </w:p>
    <w:p w:rsidR="007D60E8" w:rsidRPr="00A408F5" w:rsidRDefault="007D60E8" w:rsidP="00C27177">
      <w:r>
        <w:t>Deze eerste aanzet van de beheers- en controlesystemen zal in de loop van het jaar 2015 verder worden uitgewerkt opdat de procedure voor de aanwijzing van de beheers- en certificeringsautoriteit zoals bepaald in artikel 35 van de verordening (EU) nr. 223/2014 kan worden afgerond.</w:t>
      </w:r>
    </w:p>
    <w:p w:rsidR="003E78A9" w:rsidRDefault="002063B3" w:rsidP="00C27177">
      <w:pPr>
        <w:pStyle w:val="Kop4"/>
        <w:numPr>
          <w:ilvl w:val="3"/>
          <w:numId w:val="2"/>
        </w:numPr>
        <w:spacing w:after="240" w:line="276" w:lineRule="auto"/>
      </w:pPr>
      <w:r>
        <w:t>De ICT-applicatie</w:t>
      </w:r>
    </w:p>
    <w:p w:rsidR="002063B3" w:rsidRDefault="002063B3" w:rsidP="00C27177">
      <w:r>
        <w:t xml:space="preserve">Voorts kon de BA in het jaar 2014 rekenen op een ICT-toepassing </w:t>
      </w:r>
      <w:r w:rsidR="00524BD2">
        <w:t xml:space="preserve">die </w:t>
      </w:r>
      <w:r>
        <w:t>ontwikkeld</w:t>
      </w:r>
      <w:r w:rsidR="00524BD2">
        <w:t xml:space="preserve"> werd</w:t>
      </w:r>
      <w:r>
        <w:t xml:space="preserve"> en gebruikt door het BIRB. Deze toepassing werd voor het jaar 2014 integraal en onveranderd overgenomen door de BA.</w:t>
      </w:r>
      <w:r w:rsidR="00297AA5">
        <w:t xml:space="preserve"> Via deze toepassing konden, via verschillende modules, de volgende elementen beheerd worden:</w:t>
      </w:r>
    </w:p>
    <w:p w:rsidR="00297AA5" w:rsidRPr="00297AA5" w:rsidRDefault="00297AA5" w:rsidP="00C27177">
      <w:pPr>
        <w:pStyle w:val="Default"/>
        <w:numPr>
          <w:ilvl w:val="0"/>
          <w:numId w:val="21"/>
        </w:numPr>
        <w:spacing w:line="276" w:lineRule="auto"/>
        <w:jc w:val="both"/>
        <w:rPr>
          <w:rFonts w:ascii="Gill Sans MT" w:eastAsiaTheme="majorEastAsia" w:hAnsi="Gill Sans MT" w:cstheme="majorBidi"/>
          <w:color w:val="auto"/>
          <w:szCs w:val="22"/>
          <w:lang w:eastAsia="en-US" w:bidi="ar-SA"/>
        </w:rPr>
      </w:pPr>
      <w:r w:rsidRPr="00297AA5">
        <w:rPr>
          <w:rFonts w:ascii="Gill Sans MT" w:eastAsiaTheme="majorEastAsia" w:hAnsi="Gill Sans MT" w:cstheme="majorBidi"/>
          <w:color w:val="auto"/>
          <w:szCs w:val="22"/>
          <w:lang w:eastAsia="en-US" w:bidi="ar-SA"/>
        </w:rPr>
        <w:t>De erkende partnerorganisaties: erkenningen, contactgegevens, enz.</w:t>
      </w:r>
    </w:p>
    <w:p w:rsidR="00297AA5" w:rsidRDefault="00297AA5" w:rsidP="00C27177">
      <w:pPr>
        <w:pStyle w:val="Default"/>
        <w:numPr>
          <w:ilvl w:val="0"/>
          <w:numId w:val="21"/>
        </w:numPr>
        <w:spacing w:line="276" w:lineRule="auto"/>
        <w:jc w:val="both"/>
        <w:rPr>
          <w:rFonts w:ascii="Gill Sans MT" w:eastAsiaTheme="majorEastAsia" w:hAnsi="Gill Sans MT" w:cstheme="majorBidi"/>
          <w:color w:val="auto"/>
          <w:szCs w:val="22"/>
          <w:lang w:eastAsia="en-US" w:bidi="ar-SA"/>
        </w:rPr>
      </w:pPr>
      <w:r w:rsidRPr="00297AA5">
        <w:rPr>
          <w:rFonts w:ascii="Gill Sans MT" w:eastAsiaTheme="majorEastAsia" w:hAnsi="Gill Sans MT" w:cstheme="majorBidi"/>
          <w:color w:val="auto"/>
          <w:szCs w:val="22"/>
          <w:lang w:eastAsia="en-US" w:bidi="ar-SA"/>
        </w:rPr>
        <w:lastRenderedPageBreak/>
        <w:t xml:space="preserve">De bestellingen: </w:t>
      </w:r>
      <w:r>
        <w:rPr>
          <w:rFonts w:ascii="Gill Sans MT" w:eastAsiaTheme="majorEastAsia" w:hAnsi="Gill Sans MT" w:cstheme="majorBidi"/>
          <w:color w:val="auto"/>
          <w:szCs w:val="22"/>
          <w:lang w:eastAsia="en-US" w:bidi="ar-SA"/>
        </w:rPr>
        <w:t xml:space="preserve">beheren en verwerken van de bestellingen. </w:t>
      </w:r>
    </w:p>
    <w:p w:rsidR="00297AA5" w:rsidRPr="00297AA5" w:rsidRDefault="00297AA5" w:rsidP="00C27177">
      <w:pPr>
        <w:pStyle w:val="Default"/>
        <w:numPr>
          <w:ilvl w:val="0"/>
          <w:numId w:val="21"/>
        </w:numPr>
        <w:spacing w:line="276" w:lineRule="auto"/>
        <w:jc w:val="both"/>
        <w:rPr>
          <w:rFonts w:ascii="Gill Sans MT" w:eastAsiaTheme="majorEastAsia" w:hAnsi="Gill Sans MT" w:cstheme="majorBidi"/>
          <w:color w:val="auto"/>
          <w:szCs w:val="22"/>
          <w:lang w:eastAsia="en-US" w:bidi="ar-SA"/>
        </w:rPr>
      </w:pPr>
      <w:r>
        <w:rPr>
          <w:rFonts w:ascii="Gill Sans MT" w:eastAsiaTheme="majorEastAsia" w:hAnsi="Gill Sans MT" w:cstheme="majorBidi"/>
          <w:color w:val="auto"/>
          <w:szCs w:val="22"/>
          <w:lang w:eastAsia="en-US" w:bidi="ar-SA"/>
        </w:rPr>
        <w:t xml:space="preserve">De verdeling: uitvoeren verdeling volgens beschikbare hoeveelheden, bestelde hoeveelheden en gemeentelijke plafonds. </w:t>
      </w:r>
    </w:p>
    <w:p w:rsidR="00297AA5" w:rsidRPr="007D60E8" w:rsidRDefault="00297AA5" w:rsidP="00C27177">
      <w:pPr>
        <w:pStyle w:val="Default"/>
        <w:numPr>
          <w:ilvl w:val="0"/>
          <w:numId w:val="21"/>
        </w:numPr>
        <w:spacing w:line="276" w:lineRule="auto"/>
        <w:jc w:val="both"/>
        <w:rPr>
          <w:rFonts w:ascii="Gill Sans MT" w:eastAsiaTheme="majorEastAsia" w:hAnsi="Gill Sans MT" w:cstheme="majorBidi"/>
          <w:color w:val="auto"/>
          <w:szCs w:val="22"/>
          <w:lang w:eastAsia="en-US" w:bidi="ar-SA"/>
        </w:rPr>
      </w:pPr>
      <w:r w:rsidRPr="00297AA5">
        <w:rPr>
          <w:rFonts w:ascii="Gill Sans MT" w:eastAsiaTheme="majorEastAsia" w:hAnsi="Gill Sans MT" w:cstheme="majorBidi"/>
          <w:color w:val="auto"/>
          <w:szCs w:val="22"/>
          <w:lang w:eastAsia="en-US" w:bidi="ar-SA"/>
        </w:rPr>
        <w:t xml:space="preserve">De leveringen: beheer leveradressen, hoeveelheid te leveren producten per adres, enz. </w:t>
      </w:r>
    </w:p>
    <w:p w:rsidR="005B6C30" w:rsidRDefault="005B6C30" w:rsidP="005B6C30">
      <w:pPr>
        <w:pStyle w:val="Kop3"/>
        <w:numPr>
          <w:ilvl w:val="2"/>
          <w:numId w:val="2"/>
        </w:numPr>
        <w:spacing w:after="240"/>
      </w:pPr>
      <w:bookmarkStart w:id="12" w:name="_Toc422390655"/>
      <w:r>
        <w:t>Informatie en communicatie</w:t>
      </w:r>
      <w:bookmarkEnd w:id="12"/>
    </w:p>
    <w:p w:rsidR="005B6C30" w:rsidRDefault="005B6C30" w:rsidP="005B6C30">
      <w:r>
        <w:t>In het jaar 2014 werden volgende acties ondernomen in kader van artikel 19 van de verordening (EU) 223/2014 omtrent informatie en communicatie.</w:t>
      </w:r>
    </w:p>
    <w:p w:rsidR="005B6C30" w:rsidRDefault="005B6C30" w:rsidP="005B6C30">
      <w:pPr>
        <w:pStyle w:val="Lijstalinea"/>
        <w:numPr>
          <w:ilvl w:val="0"/>
          <w:numId w:val="21"/>
        </w:numPr>
      </w:pPr>
      <w:r>
        <w:t>In april 2014 werden alle organisaties erkend bij het BIRB aangeschreven per brief teneinde de gewijzigde context zowel op Europees als Belgisch niveau te verduidelijken. In diezelfde brief werd ook de oproep om bestellingen voor het jaar 2014 in te dienen gelanceerd samen met reglement met de voorwaarden voor steun.</w:t>
      </w:r>
    </w:p>
    <w:p w:rsidR="005B6C30" w:rsidRDefault="005B6C30" w:rsidP="005B6C30">
      <w:pPr>
        <w:pStyle w:val="Lijstalinea"/>
      </w:pPr>
      <w:r>
        <w:t>Deze brief vermeldt duidelijk de rol van de Unie.</w:t>
      </w:r>
    </w:p>
    <w:p w:rsidR="005B6C30" w:rsidRDefault="005B6C30" w:rsidP="005B6C30">
      <w:pPr>
        <w:pStyle w:val="Lijstalinea"/>
        <w:numPr>
          <w:ilvl w:val="0"/>
          <w:numId w:val="21"/>
        </w:numPr>
      </w:pPr>
      <w:r>
        <w:t>Het reglement 2014</w:t>
      </w:r>
      <w:r w:rsidR="005A417B">
        <w:t>,</w:t>
      </w:r>
      <w:r w:rsidR="00A278C1">
        <w:t xml:space="preserve"> gelanceerd samen met de oproep om bestellingen in te dienen</w:t>
      </w:r>
      <w:r w:rsidR="005A417B">
        <w:t>,</w:t>
      </w:r>
      <w:r w:rsidR="00A278C1">
        <w:t xml:space="preserve"> bepaalt dat de Europese vlag moet worden opgehangen in elk stadium van de verdeling. Het minimale A3-formaat werd niet vermeld, dit zal worden gecorrigeerd in 2015.</w:t>
      </w:r>
    </w:p>
    <w:p w:rsidR="007D60E8" w:rsidRDefault="007D60E8" w:rsidP="005B6C30">
      <w:pPr>
        <w:pStyle w:val="Lijstalinea"/>
        <w:numPr>
          <w:ilvl w:val="0"/>
          <w:numId w:val="21"/>
        </w:numPr>
      </w:pPr>
      <w:r>
        <w:t xml:space="preserve">Het FEAD was ook één van de onderwerpen die gepresenteerd werd tijdens de provinciale ontmoetingsdagen die de POD MI jaarlijks organiseert. Tijdens deze presentatie werd het fonds voorgesteld: waarom, voor wie, voorgeschiedenis, nieuwigheden, budget, werking van het systeem, perspectieven voor de toekomst, … </w:t>
      </w:r>
    </w:p>
    <w:p w:rsidR="005B6C30" w:rsidRDefault="005B6C30" w:rsidP="005B6C30">
      <w:pPr>
        <w:pStyle w:val="Lijstalinea"/>
        <w:numPr>
          <w:ilvl w:val="0"/>
          <w:numId w:val="21"/>
        </w:numPr>
      </w:pPr>
      <w:r>
        <w:t xml:space="preserve">Eind 2014 startten ook de voorbereidingen omtrent een colloquium </w:t>
      </w:r>
      <w:r w:rsidR="005A417B">
        <w:t>dat</w:t>
      </w:r>
      <w:r>
        <w:t xml:space="preserve"> zal worden georganiseerd  in het kader van het FEAD in april 2015.</w:t>
      </w:r>
    </w:p>
    <w:p w:rsidR="002F3C06" w:rsidRDefault="002F3C06" w:rsidP="005B6C30">
      <w:pPr>
        <w:pStyle w:val="Lijstalinea"/>
        <w:numPr>
          <w:ilvl w:val="0"/>
          <w:numId w:val="21"/>
        </w:numPr>
      </w:pPr>
      <w:r>
        <w:t xml:space="preserve">De POD MI organiseerde in 2015 tevens een externe tevredenheidsenquête waarin ook enkele vragen omtrent de werking van het FEAD in 2014 werden gesteld. </w:t>
      </w:r>
      <w:r w:rsidR="005324CB">
        <w:t xml:space="preserve">308 FEAD-respondenten vulden de enquête in. De resultaten zijn positief, enkel over de timing van de leveringen zijn de respondenten eerder ontevreden, dit omdat de leveringen pas in juli 2014 van start gingen en zodus geconcentreerd waren in de tweede helft van het jaar. </w:t>
      </w:r>
      <w:r w:rsidR="00973304">
        <w:t xml:space="preserve">Het beter spreiden van de leveringen in de tijd wordt de komende jaren een belangrijk </w:t>
      </w:r>
      <w:proofErr w:type="spellStart"/>
      <w:r w:rsidR="00973304">
        <w:t>werkpunt</w:t>
      </w:r>
      <w:proofErr w:type="spellEnd"/>
      <w:r w:rsidR="00973304">
        <w:t xml:space="preserve"> voor de BA. </w:t>
      </w:r>
    </w:p>
    <w:p w:rsidR="005B6C30" w:rsidRDefault="005B6C30" w:rsidP="005B6C30">
      <w:r>
        <w:t xml:space="preserve">Voorts werd op alle communicatie het logo van de Unie afgebeeld met de vermelding ‘Met de steun van de Europese Unie – het Fonds voor Europese hulp aan de meest behoeftigen’. </w:t>
      </w:r>
    </w:p>
    <w:p w:rsidR="005B6C30" w:rsidRPr="005B6C30" w:rsidRDefault="005B6C30" w:rsidP="005B6C30">
      <w:r>
        <w:t>Een overzicht van alle organisaties die steun ontvingen uit het fonds in 2014 zal in de loop van het jaar 2015 op de website van de POD MI</w:t>
      </w:r>
      <w:r w:rsidR="00160A0A">
        <w:t xml:space="preserve"> worden gepubliceerd.</w:t>
      </w:r>
      <w:r w:rsidR="00160A0A">
        <w:tab/>
      </w:r>
      <w:r w:rsidR="00160A0A">
        <w:br/>
        <w:t>Ook de definitieve versie van d</w:t>
      </w:r>
      <w:r w:rsidR="00892B52">
        <w:t>it</w:t>
      </w:r>
      <w:r w:rsidR="00160A0A">
        <w:t xml:space="preserve"> jaarrapport zal op de website worden gepubliceerd. </w:t>
      </w:r>
    </w:p>
    <w:p w:rsidR="008617D4" w:rsidRDefault="00302054" w:rsidP="005B6C30">
      <w:pPr>
        <w:pStyle w:val="Kop3"/>
        <w:numPr>
          <w:ilvl w:val="2"/>
          <w:numId w:val="2"/>
        </w:numPr>
        <w:spacing w:after="240"/>
      </w:pPr>
      <w:bookmarkStart w:id="13" w:name="_Toc422390656"/>
      <w:r>
        <w:t>Optimaliseren huidige systeem en v</w:t>
      </w:r>
      <w:r w:rsidR="008617D4">
        <w:t>oorbereidingen voor het jaar 2015</w:t>
      </w:r>
      <w:bookmarkEnd w:id="13"/>
    </w:p>
    <w:p w:rsidR="007D60E8" w:rsidRDefault="00302054" w:rsidP="00C27177">
      <w:r>
        <w:t xml:space="preserve">De continuïteit van het systeem garanderen was in 2014 erg belangrijk, maar zoals ook bepaald in het OP is er ook de wens het systeem te optimaliseren, nieuwe accenten te </w:t>
      </w:r>
      <w:r>
        <w:lastRenderedPageBreak/>
        <w:t>leggen en het aan te passen aan de w</w:t>
      </w:r>
      <w:r w:rsidR="007D60E8">
        <w:t>erkelijke noden op het terrein.</w:t>
      </w:r>
      <w:r w:rsidR="007D60E8">
        <w:tab/>
      </w:r>
      <w:r w:rsidR="007D60E8">
        <w:br/>
      </w:r>
      <w:r w:rsidR="001F0A71">
        <w:t xml:space="preserve">Ook wil de POD MI op zoek gaan naar budgettaire oplossingen om ook de materiële hulp voor kinderen in armoede te organiseren zoals vermeld in het OP. </w:t>
      </w:r>
    </w:p>
    <w:p w:rsidR="00F246CF" w:rsidRDefault="007D60E8" w:rsidP="00C27177">
      <w:r>
        <w:t>In de context van verbeteringen en optimalisatie</w:t>
      </w:r>
      <w:r w:rsidR="00302054">
        <w:t xml:space="preserve"> heeft de POD MI een overleg met de belangrijkste sectoren van de voedselhulp opgezet. Dit overleg wordt iedere 2 à 3 maanden georganiseerd. De belangrijkste aanwezigen zijn: de Belgische Federatie van Voedselbanken, het Rode Kruis, la </w:t>
      </w:r>
      <w:proofErr w:type="spellStart"/>
      <w:r w:rsidR="00302054">
        <w:t>Fédération</w:t>
      </w:r>
      <w:proofErr w:type="spellEnd"/>
      <w:r w:rsidR="00302054">
        <w:t xml:space="preserve"> des Services </w:t>
      </w:r>
      <w:proofErr w:type="spellStart"/>
      <w:r w:rsidR="00302054">
        <w:t>Sociaux</w:t>
      </w:r>
      <w:proofErr w:type="spellEnd"/>
      <w:r w:rsidR="00302054">
        <w:t xml:space="preserve"> (FDSS), </w:t>
      </w:r>
      <w:r w:rsidR="00B949A1">
        <w:t>het Belgisch Netwerk Armoedebestrijding (BAPN), de verenigingen van Steden en Gemeenten en enkele ervaringsdeskundigen in armoede en sociale uitsluiting. Tijdens deze vergaderingen worden niet alleen de voortgang van de belangrijkste werkzaamheden in het kader van het FEAD besproken, maar ook nieuwe en complementaire initiatieven, bestaande drempels, moeilijkhed</w:t>
      </w:r>
      <w:r w:rsidR="00B949A1" w:rsidRPr="00230D2C">
        <w:t>en, … In 2014 werd di</w:t>
      </w:r>
      <w:r w:rsidR="00F246CF" w:rsidRPr="00230D2C">
        <w:t xml:space="preserve">t overleg </w:t>
      </w:r>
      <w:r w:rsidR="00230D2C">
        <w:t>reeds 3 keer georganiseerd op volgende data</w:t>
      </w:r>
      <w:r w:rsidR="00892B52">
        <w:t>:</w:t>
      </w:r>
      <w:r w:rsidR="00230D2C">
        <w:t xml:space="preserve"> 05/02/2014, 28/08/2014 en 14/11/2014. </w:t>
      </w:r>
    </w:p>
    <w:p w:rsidR="007D60E8" w:rsidRDefault="00F246CF" w:rsidP="00C27177">
      <w:r>
        <w:t xml:space="preserve">Verder heeft de BA in de loop van het jaar 2014 ook een heel aantal bezoeken ter plaatse uitgevoerd teneinde de realiteit van het terrein beter </w:t>
      </w:r>
      <w:r w:rsidR="00780F87">
        <w:t>te begrijpen</w:t>
      </w:r>
      <w:r>
        <w:t>. Eén van de medewerkers van de BA deed bovendien een inleefstage van meerdere dagen bij de Voedselbank van Bruss</w:t>
      </w:r>
      <w:r w:rsidR="007D60E8">
        <w:t>el.</w:t>
      </w:r>
    </w:p>
    <w:p w:rsidR="008617D4" w:rsidRDefault="00302054" w:rsidP="00C27177">
      <w:r>
        <w:t>Rond november 2014</w:t>
      </w:r>
      <w:r w:rsidR="002C2D90">
        <w:t xml:space="preserve"> startte </w:t>
      </w:r>
      <w:r>
        <w:t xml:space="preserve">de BA voorts met de voorbereiding van de werkzaamheden voor het werkjaar 2015. Dit betrof </w:t>
      </w:r>
      <w:r w:rsidR="00780F87">
        <w:t xml:space="preserve">volgende </w:t>
      </w:r>
      <w:r>
        <w:t>2 activiteiten.</w:t>
      </w:r>
    </w:p>
    <w:p w:rsidR="00302054" w:rsidRDefault="00302054" w:rsidP="00C27177">
      <w:pPr>
        <w:pStyle w:val="Kop4"/>
        <w:numPr>
          <w:ilvl w:val="3"/>
          <w:numId w:val="2"/>
        </w:numPr>
        <w:spacing w:after="240" w:line="276" w:lineRule="auto"/>
      </w:pPr>
      <w:r>
        <w:t>De productenlijst 2015</w:t>
      </w:r>
    </w:p>
    <w:p w:rsidR="00302054" w:rsidRDefault="00302054" w:rsidP="00C27177">
      <w:r>
        <w:t>Er werd hard gewerkt om de productenlijst voor het jaar 2015 te verbeteren, zie punt 2.2.3.</w:t>
      </w:r>
    </w:p>
    <w:p w:rsidR="00302054" w:rsidRDefault="00302054" w:rsidP="00C27177">
      <w:pPr>
        <w:pStyle w:val="Kop4"/>
        <w:numPr>
          <w:ilvl w:val="3"/>
          <w:numId w:val="2"/>
        </w:numPr>
        <w:spacing w:after="240" w:line="276" w:lineRule="auto"/>
      </w:pPr>
      <w:r>
        <w:t>De transportkosten</w:t>
      </w:r>
    </w:p>
    <w:p w:rsidR="00616B54" w:rsidRDefault="00230D2C" w:rsidP="00C27177">
      <w:r>
        <w:t>Een belangrijk verbeterpunt dat</w:t>
      </w:r>
      <w:r w:rsidR="00616B54">
        <w:t xml:space="preserve"> de BA in de loop van de programmaperiode wil aanpakken zijn de hoge vervoerskosten. </w:t>
      </w:r>
      <w:r w:rsidR="00780F87">
        <w:t xml:space="preserve">De transportkosten in het kader van de aanbesteding om de levensmiddelen aan te kopen, </w:t>
      </w:r>
      <w:r w:rsidR="005B15B8">
        <w:t>zijn bijzonder hoog</w:t>
      </w:r>
      <w:r w:rsidR="00780F87">
        <w:t xml:space="preserve">. In het lastenboek 2014 waren maar liefst 387 verschillende leverpunten voorzien. Dit hoge aantal is te wijten aan het feit dat de </w:t>
      </w:r>
      <w:proofErr w:type="spellStart"/>
      <w:r w:rsidR="00780F87">
        <w:t>OCMW’s</w:t>
      </w:r>
      <w:proofErr w:type="spellEnd"/>
      <w:r w:rsidR="00780F87">
        <w:t xml:space="preserve"> allen rechtstreeks geleverd worden.</w:t>
      </w:r>
      <w:r w:rsidR="005B15B8">
        <w:t xml:space="preserve"> Bedoeling is dan ook deze problematiek aan te pakken in de loop van de programmaperiode 2014-2020.</w:t>
      </w:r>
    </w:p>
    <w:p w:rsidR="005B15B8" w:rsidRDefault="005B15B8" w:rsidP="00C27177">
      <w:r>
        <w:t>In het kader van de voorbereiding van de werkzaamheden van het jaar 2015 werden</w:t>
      </w:r>
      <w:r w:rsidR="00230D2C">
        <w:t xml:space="preserve"> eind 2014</w:t>
      </w:r>
      <w:r>
        <w:t xml:space="preserve"> hiertoe de eerste stappen ondernomen. De BA lanceerde een kleine studie in samenwerking met studiebureau </w:t>
      </w:r>
      <w:proofErr w:type="spellStart"/>
      <w:r>
        <w:t>Ipropeller</w:t>
      </w:r>
      <w:proofErr w:type="spellEnd"/>
      <w:r>
        <w:t xml:space="preserve">. Bedoeling </w:t>
      </w:r>
      <w:r w:rsidR="0002013B">
        <w:t xml:space="preserve">was potentiële partners te identificeren die de functie van opslagplaats zouden kunnen krijgen voor de goederen bestemd voor de </w:t>
      </w:r>
      <w:proofErr w:type="spellStart"/>
      <w:r w:rsidR="0002013B">
        <w:t>OCMW’s</w:t>
      </w:r>
      <w:proofErr w:type="spellEnd"/>
      <w:r w:rsidR="0002013B">
        <w:t>. De eerste resultaten bleven eerder algemeen, maar hierop zal verder gewerkt worden in de loop van het jaar 2015.</w:t>
      </w:r>
    </w:p>
    <w:p w:rsidR="00230D2C" w:rsidRDefault="0002013B" w:rsidP="00C27177">
      <w:r>
        <w:t>In afwachting van een structurele oplossing, kon eind 2014 toch al een tussenoplossing worden gevonden voor het jaar 2015. Deze oplossing kwam er dankzij de inzet van de Belgische Federatie van Voedselbanken.</w:t>
      </w:r>
      <w:r w:rsidR="00230D2C">
        <w:t xml:space="preserve"> Deze tussenoplossing is de volgende:</w:t>
      </w:r>
    </w:p>
    <w:p w:rsidR="00230D2C" w:rsidRDefault="0002013B" w:rsidP="00C27177">
      <w:pPr>
        <w:pStyle w:val="Lijstalinea"/>
        <w:numPr>
          <w:ilvl w:val="0"/>
          <w:numId w:val="21"/>
        </w:numPr>
      </w:pPr>
      <w:r>
        <w:lastRenderedPageBreak/>
        <w:t xml:space="preserve">De voedselbanken van West-Vlaanderen en Oost-Vlaanderen verklaarden zich bereid ook de goederen bestemd voor de </w:t>
      </w:r>
      <w:proofErr w:type="spellStart"/>
      <w:r>
        <w:t>OCMW’s</w:t>
      </w:r>
      <w:proofErr w:type="spellEnd"/>
      <w:r>
        <w:t xml:space="preserve"> uit hun provincie te ontvangen</w:t>
      </w:r>
      <w:r w:rsidR="00230D2C">
        <w:t xml:space="preserve"> en te stockeren.</w:t>
      </w:r>
    </w:p>
    <w:p w:rsidR="00230D2C" w:rsidRDefault="0002013B" w:rsidP="00C27177">
      <w:pPr>
        <w:pStyle w:val="Lijstalinea"/>
        <w:numPr>
          <w:ilvl w:val="0"/>
          <w:numId w:val="21"/>
        </w:numPr>
      </w:pPr>
      <w:r>
        <w:t xml:space="preserve">De voedselbank van Brussel verklaarde zich bereid de goederen bestemd voor de </w:t>
      </w:r>
      <w:proofErr w:type="spellStart"/>
      <w:r>
        <w:t>OCMW’s</w:t>
      </w:r>
      <w:proofErr w:type="spellEnd"/>
      <w:r>
        <w:t xml:space="preserve"> te ontvangen en te stockeren voor zover het gaat om hoeveelheden kleiner da</w:t>
      </w:r>
      <w:r w:rsidR="00230D2C">
        <w:t>n één pallet van een product.</w:t>
      </w:r>
    </w:p>
    <w:p w:rsidR="00230D2C" w:rsidRDefault="0002013B" w:rsidP="00C27177">
      <w:pPr>
        <w:pStyle w:val="Lijstalinea"/>
        <w:numPr>
          <w:ilvl w:val="0"/>
          <w:numId w:val="21"/>
        </w:numPr>
      </w:pPr>
      <w:r>
        <w:t xml:space="preserve">Ook voor de provincie Luxemburg werd een oplossing gevonden. Daar verklaarde de </w:t>
      </w:r>
      <w:proofErr w:type="spellStart"/>
      <w:r>
        <w:t>asbl</w:t>
      </w:r>
      <w:proofErr w:type="spellEnd"/>
      <w:r>
        <w:t xml:space="preserve"> NGE zich bereid de goederen te ontvangen en te stockeren voor de </w:t>
      </w:r>
      <w:proofErr w:type="spellStart"/>
      <w:r>
        <w:t>OCMW’s</w:t>
      </w:r>
      <w:proofErr w:type="spellEnd"/>
      <w:r>
        <w:t xml:space="preserve"> van de provincie Luxemburg en dit in het kader van </w:t>
      </w:r>
      <w:r w:rsidR="00230D2C">
        <w:t>een sociale economie project.</w:t>
      </w:r>
    </w:p>
    <w:p w:rsidR="00780F87" w:rsidRPr="00616B54" w:rsidRDefault="0002013B" w:rsidP="00C27177">
      <w:r>
        <w:t xml:space="preserve">Dankzij </w:t>
      </w:r>
      <w:r w:rsidR="00892B52">
        <w:t>deze</w:t>
      </w:r>
      <w:r>
        <w:t xml:space="preserve"> (tussen)oplossing kon het aantal leverpunten voor het jaar 2015 verminderd worden van 387 naar 274, hetzij een vermindering van meer dan 100 lever</w:t>
      </w:r>
      <w:r w:rsidR="00892B52">
        <w:t>punten</w:t>
      </w:r>
      <w:r>
        <w:t xml:space="preserve">. </w:t>
      </w:r>
    </w:p>
    <w:p w:rsidR="00011F50" w:rsidRPr="0087680D" w:rsidRDefault="0087680D" w:rsidP="0087680D">
      <w:pPr>
        <w:pStyle w:val="Kop3"/>
        <w:numPr>
          <w:ilvl w:val="1"/>
          <w:numId w:val="2"/>
        </w:numPr>
        <w:spacing w:after="240" w:line="276" w:lineRule="auto"/>
      </w:pPr>
      <w:bookmarkStart w:id="14" w:name="_Toc422390657"/>
      <w:r w:rsidRPr="0087680D">
        <w:t>Informatie over de evaluatie van acties die</w:t>
      </w:r>
      <w:r>
        <w:t xml:space="preserve"> rekening houden met</w:t>
      </w:r>
      <w:r w:rsidRPr="0087680D">
        <w:t xml:space="preserve"> de principes van artikels </w:t>
      </w:r>
      <w:r w:rsidR="000E45F4" w:rsidRPr="0087680D">
        <w:t xml:space="preserve">5(6), 5 (11), </w:t>
      </w:r>
      <w:r w:rsidRPr="0087680D">
        <w:t>en waar nodig</w:t>
      </w:r>
      <w:r w:rsidR="00FB0AE2">
        <w:t>, a</w:t>
      </w:r>
      <w:r>
        <w:t>rtikel</w:t>
      </w:r>
      <w:r w:rsidR="000E45F4" w:rsidRPr="0087680D">
        <w:t xml:space="preserve"> 5(13) </w:t>
      </w:r>
      <w:r>
        <w:t>van de verordening</w:t>
      </w:r>
      <w:r w:rsidR="000E45F4" w:rsidRPr="0087680D">
        <w:t xml:space="preserve"> (EU) N° 223/2014.</w:t>
      </w:r>
      <w:bookmarkEnd w:id="14"/>
    </w:p>
    <w:p w:rsidR="00011F50" w:rsidRDefault="00011F50" w:rsidP="00C27177">
      <w:pPr>
        <w:pStyle w:val="Kop4"/>
        <w:numPr>
          <w:ilvl w:val="2"/>
          <w:numId w:val="2"/>
        </w:numPr>
        <w:spacing w:after="240" w:line="276" w:lineRule="auto"/>
      </w:pPr>
      <w:r w:rsidRPr="00C40D5C">
        <w:t xml:space="preserve">Artikel 5 (6) </w:t>
      </w:r>
      <w:r w:rsidR="00C40D5C" w:rsidRPr="00C40D5C">
        <w:t>– Het risico op dubbele subsidi</w:t>
      </w:r>
      <w:r w:rsidR="00E82B11">
        <w:t>ëring</w:t>
      </w:r>
    </w:p>
    <w:p w:rsidR="00C40D5C" w:rsidRDefault="00C40D5C" w:rsidP="00C27177">
      <w:r>
        <w:t>Er is geen enkel risico op dubbele subsidiëring met het Europees Sociaal Fonds, zoals bepaald in het operationeel programma</w:t>
      </w:r>
      <w:r w:rsidR="00C27177">
        <w:t xml:space="preserve"> wordt er immers</w:t>
      </w:r>
      <w:r>
        <w:t xml:space="preserve"> geen gebruik gemaakt van de 5% financiering voor begeleidende maatregelen.</w:t>
      </w:r>
    </w:p>
    <w:p w:rsidR="00011F50" w:rsidRDefault="00C40D5C" w:rsidP="00C27177">
      <w:r>
        <w:t>Ook op het vlak van andere relevante beleidsmaatregelen is het risico op dubbele subsidiëring onbestaande daar alle financiële stromen ophouden bij de</w:t>
      </w:r>
      <w:r w:rsidR="00892B52">
        <w:t xml:space="preserve"> BA</w:t>
      </w:r>
      <w:r>
        <w:t>.</w:t>
      </w:r>
    </w:p>
    <w:p w:rsidR="00E82B11" w:rsidRDefault="00E82B11" w:rsidP="00C27177">
      <w:pPr>
        <w:pStyle w:val="Kop4"/>
        <w:numPr>
          <w:ilvl w:val="2"/>
          <w:numId w:val="2"/>
        </w:numPr>
        <w:spacing w:after="240" w:line="276" w:lineRule="auto"/>
      </w:pPr>
      <w:r w:rsidRPr="00C40D5C">
        <w:t xml:space="preserve">Artikel 5 </w:t>
      </w:r>
      <w:r>
        <w:t>(11) – Gelijkheid van mannen en vrouwen</w:t>
      </w:r>
    </w:p>
    <w:p w:rsidR="00160A0A" w:rsidRDefault="005D5DAE" w:rsidP="00C27177">
      <w:r w:rsidRPr="00160A0A">
        <w:t>Er werden in het jaar 2014 geen specifieke acties ondernomen om de gelijkheid van mannen en vrouwen te bevorderen.</w:t>
      </w:r>
    </w:p>
    <w:p w:rsidR="00AF60A1" w:rsidRPr="00AF60A1" w:rsidRDefault="00160A0A" w:rsidP="00284B51">
      <w:r>
        <w:t xml:space="preserve">De BA heeft wel een standpunt geformuleerd in het kader van voedselhulp en mensen zonder papieren, daar dit bij sommige </w:t>
      </w:r>
      <w:proofErr w:type="spellStart"/>
      <w:r>
        <w:t>OCMW’s</w:t>
      </w:r>
      <w:proofErr w:type="spellEnd"/>
      <w:r>
        <w:t xml:space="preserve"> problemen stelde in het kader van hun wettelijke opdracht. </w:t>
      </w:r>
      <w:r w:rsidR="00284B51">
        <w:t xml:space="preserve">Hierbij werd gesteld dat er bij het organiseren van voedselhulp in het kader van het FEAD op geen enkel vlak gediscrimineerd mag worden. Dus ook niet over het feit of iemand al dan niet over verblijfspapieren beschikt. </w:t>
      </w:r>
    </w:p>
    <w:p w:rsidR="00160A0A" w:rsidRPr="00AF60A1" w:rsidRDefault="00284B51" w:rsidP="00C27177">
      <w:pPr>
        <w:rPr>
          <w:lang w:val="nl-NL"/>
        </w:rPr>
      </w:pPr>
      <w:r>
        <w:rPr>
          <w:lang w:val="nl-NL"/>
        </w:rPr>
        <w:t xml:space="preserve">Er zal aan dit aspect ook aandacht worden besteed tijdens de controles van de organisaties die het voedsel verdelen die uitgevoerd zullen worden in 2015. </w:t>
      </w:r>
    </w:p>
    <w:p w:rsidR="00B917A1" w:rsidRPr="00B917A1" w:rsidRDefault="00E82B11" w:rsidP="00C27177">
      <w:pPr>
        <w:pStyle w:val="Kop4"/>
        <w:numPr>
          <w:ilvl w:val="2"/>
          <w:numId w:val="2"/>
        </w:numPr>
        <w:spacing w:after="240" w:line="276" w:lineRule="auto"/>
      </w:pPr>
      <w:r w:rsidRPr="00C40D5C">
        <w:t xml:space="preserve">Artikel </w:t>
      </w:r>
      <w:r>
        <w:t>5 (13) – Objectieve criteria/ klimatologische en ecologische aspecten</w:t>
      </w:r>
      <w:r w:rsidR="006B2C43">
        <w:t xml:space="preserve"> bij keuze voedselhulp</w:t>
      </w:r>
    </w:p>
    <w:p w:rsidR="007947E9" w:rsidRDefault="001E7FB5" w:rsidP="00C27177">
      <w:pPr>
        <w:pStyle w:val="Kop5"/>
        <w:numPr>
          <w:ilvl w:val="0"/>
          <w:numId w:val="8"/>
        </w:numPr>
        <w:spacing w:after="240" w:line="276" w:lineRule="auto"/>
      </w:pPr>
      <w:r>
        <w:t>Productenlijst 2014</w:t>
      </w:r>
    </w:p>
    <w:p w:rsidR="006D6CA6" w:rsidRDefault="00B917A1" w:rsidP="00C27177">
      <w:r>
        <w:t>Zoals hierboven reeds vermeld werd de productenlijst van het jaar 2013 quasi integraal overgenomen voor het jaa</w:t>
      </w:r>
      <w:r w:rsidR="005915A1">
        <w:t>r 2014 omwille van de tijdsdruk.</w:t>
      </w:r>
      <w:r w:rsidR="006D6CA6">
        <w:t xml:space="preserve"> De lijst werd vastgelegd na </w:t>
      </w:r>
      <w:r w:rsidR="006D6CA6">
        <w:lastRenderedPageBreak/>
        <w:t xml:space="preserve">overleg met de Belgische Federatie van Voedselbanken. Er werden slechts 2 kleine aanpassingen doorgevoerd. </w:t>
      </w:r>
    </w:p>
    <w:p w:rsidR="006D6CA6" w:rsidRDefault="006B2C43" w:rsidP="00C27177">
      <w:r>
        <w:t xml:space="preserve">De Belgische Federatie van Voedselbanken deed een kleine rondvraag bij de bij hun aangesloten organisaties. Op basis van hun opmerkingen werd </w:t>
      </w:r>
      <w:r w:rsidR="006D6CA6">
        <w:t xml:space="preserve">koolzaadolie vervangen door arachideolie. Dit omdat met deze olie ook gekookt kan worden. </w:t>
      </w:r>
    </w:p>
    <w:p w:rsidR="00B917A1" w:rsidRDefault="006D6CA6" w:rsidP="00C27177">
      <w:r>
        <w:t>Ook werd</w:t>
      </w:r>
      <w:r w:rsidR="00B917A1">
        <w:t xml:space="preserve"> rekening gehouden met klimatologische en ecologische aspecten van de gekozen producten. </w:t>
      </w:r>
      <w:r w:rsidR="00564750">
        <w:t>Zo werd</w:t>
      </w:r>
      <w:r>
        <w:t xml:space="preserve"> beslist de tonijn uit de lijst te schrappen gezien dit een bedreigde diersoort betreft. De 2 tonijnproducten in de lijst werden vervangen door zalm. </w:t>
      </w:r>
    </w:p>
    <w:p w:rsidR="006D6CA6" w:rsidRDefault="006D6CA6" w:rsidP="00C27177">
      <w:r>
        <w:t>Ter info, hierna de vergelijking van de productenlijst 2013 tegenover deze van 2014.</w:t>
      </w:r>
    </w:p>
    <w:tbl>
      <w:tblPr>
        <w:tblStyle w:val="Tabelraster"/>
        <w:tblW w:w="0" w:type="auto"/>
        <w:tblLook w:val="04A0" w:firstRow="1" w:lastRow="0" w:firstColumn="1" w:lastColumn="0" w:noHBand="0" w:noVBand="1"/>
      </w:tblPr>
      <w:tblGrid>
        <w:gridCol w:w="4606"/>
        <w:gridCol w:w="4606"/>
      </w:tblGrid>
      <w:tr w:rsidR="006D6CA6" w:rsidTr="006D6CA6">
        <w:tc>
          <w:tcPr>
            <w:tcW w:w="4606" w:type="dxa"/>
            <w:shd w:val="clear" w:color="auto" w:fill="A6A6A6" w:themeFill="background1" w:themeFillShade="A6"/>
          </w:tcPr>
          <w:p w:rsidR="006D6CA6" w:rsidRPr="00564750" w:rsidRDefault="006D6CA6" w:rsidP="00C27177">
            <w:pPr>
              <w:spacing w:line="276" w:lineRule="auto"/>
              <w:rPr>
                <w:b/>
              </w:rPr>
            </w:pPr>
            <w:r w:rsidRPr="00564750">
              <w:rPr>
                <w:b/>
              </w:rPr>
              <w:t>Producten 2013</w:t>
            </w:r>
          </w:p>
        </w:tc>
        <w:tc>
          <w:tcPr>
            <w:tcW w:w="4606" w:type="dxa"/>
            <w:shd w:val="clear" w:color="auto" w:fill="A6A6A6" w:themeFill="background1" w:themeFillShade="A6"/>
          </w:tcPr>
          <w:p w:rsidR="006D6CA6" w:rsidRPr="00564750" w:rsidRDefault="006D6CA6" w:rsidP="00C27177">
            <w:pPr>
              <w:spacing w:line="276" w:lineRule="auto"/>
              <w:rPr>
                <w:b/>
              </w:rPr>
            </w:pPr>
            <w:r w:rsidRPr="00564750">
              <w:rPr>
                <w:b/>
              </w:rPr>
              <w:t>Producten 2014</w:t>
            </w:r>
          </w:p>
        </w:tc>
      </w:tr>
      <w:tr w:rsidR="006D6CA6" w:rsidTr="006D6CA6">
        <w:tc>
          <w:tcPr>
            <w:tcW w:w="4606" w:type="dxa"/>
          </w:tcPr>
          <w:p w:rsidR="006D6CA6" w:rsidRDefault="006D6CA6" w:rsidP="00C27177">
            <w:pPr>
              <w:spacing w:before="100" w:beforeAutospacing="1" w:after="100" w:afterAutospacing="1" w:line="276" w:lineRule="auto"/>
            </w:pPr>
            <w:r w:rsidRPr="00F66ED4">
              <w:rPr>
                <w:bCs/>
                <w:lang w:val="nl-NL"/>
              </w:rPr>
              <w:t>Halfvolle melk</w:t>
            </w:r>
          </w:p>
        </w:tc>
        <w:tc>
          <w:tcPr>
            <w:tcW w:w="4606" w:type="dxa"/>
          </w:tcPr>
          <w:p w:rsidR="006D6CA6" w:rsidRPr="00B21FA1" w:rsidRDefault="006D6CA6" w:rsidP="00C27177">
            <w:pPr>
              <w:spacing w:before="100" w:beforeAutospacing="1" w:after="100" w:afterAutospacing="1" w:line="276" w:lineRule="auto"/>
              <w:rPr>
                <w:rFonts w:ascii="Verdana" w:hAnsi="Verdana"/>
                <w:sz w:val="20"/>
              </w:rPr>
            </w:pPr>
            <w:r>
              <w:rPr>
                <w:bCs/>
                <w:lang w:val="nl-NL"/>
              </w:rPr>
              <w:t>Halfvolle melk</w:t>
            </w:r>
          </w:p>
        </w:tc>
      </w:tr>
      <w:tr w:rsidR="006D6CA6" w:rsidTr="006D6CA6">
        <w:tc>
          <w:tcPr>
            <w:tcW w:w="4606" w:type="dxa"/>
            <w:shd w:val="clear" w:color="auto" w:fill="D9D9D9" w:themeFill="background1" w:themeFillShade="D9"/>
          </w:tcPr>
          <w:p w:rsidR="006D6CA6" w:rsidRDefault="006D6CA6" w:rsidP="00C27177">
            <w:pPr>
              <w:spacing w:before="100" w:beforeAutospacing="1" w:after="100" w:afterAutospacing="1" w:line="276" w:lineRule="auto"/>
            </w:pPr>
            <w:r w:rsidRPr="00F66ED4">
              <w:rPr>
                <w:bCs/>
                <w:lang w:val="nl-NL"/>
              </w:rPr>
              <w:t>Tonijn natuur</w:t>
            </w:r>
          </w:p>
        </w:tc>
        <w:tc>
          <w:tcPr>
            <w:tcW w:w="4606" w:type="dxa"/>
            <w:shd w:val="clear" w:color="auto" w:fill="D9D9D9" w:themeFill="background1" w:themeFillShade="D9"/>
          </w:tcPr>
          <w:p w:rsidR="006D6CA6" w:rsidRPr="00A66F3F" w:rsidRDefault="006D6CA6" w:rsidP="00C27177">
            <w:pPr>
              <w:spacing w:before="100" w:beforeAutospacing="1" w:after="100" w:afterAutospacing="1" w:line="276" w:lineRule="auto"/>
              <w:rPr>
                <w:rFonts w:ascii="Verdana" w:hAnsi="Verdana"/>
                <w:sz w:val="20"/>
              </w:rPr>
            </w:pPr>
            <w:r w:rsidRPr="006D6CA6">
              <w:rPr>
                <w:bCs/>
                <w:lang w:val="nl-NL"/>
              </w:rPr>
              <w:t>Zalm in blik</w:t>
            </w:r>
          </w:p>
        </w:tc>
      </w:tr>
      <w:tr w:rsidR="006D6CA6" w:rsidTr="006D6CA6">
        <w:tc>
          <w:tcPr>
            <w:tcW w:w="4606" w:type="dxa"/>
          </w:tcPr>
          <w:p w:rsidR="006D6CA6" w:rsidRDefault="006D6CA6" w:rsidP="00C27177">
            <w:pPr>
              <w:spacing w:before="100" w:beforeAutospacing="1" w:after="100" w:afterAutospacing="1" w:line="276" w:lineRule="auto"/>
            </w:pPr>
            <w:r w:rsidRPr="00F66ED4">
              <w:rPr>
                <w:bCs/>
                <w:lang w:val="nl-NL"/>
              </w:rPr>
              <w:t>Makreelfilet in tomatensaus</w:t>
            </w:r>
          </w:p>
        </w:tc>
        <w:tc>
          <w:tcPr>
            <w:tcW w:w="4606" w:type="dxa"/>
          </w:tcPr>
          <w:p w:rsidR="006D6CA6" w:rsidRPr="00B21FA1" w:rsidRDefault="006D6CA6" w:rsidP="00C27177">
            <w:pPr>
              <w:spacing w:before="100" w:beforeAutospacing="1" w:after="100" w:afterAutospacing="1" w:line="276" w:lineRule="auto"/>
              <w:rPr>
                <w:rFonts w:ascii="Verdana" w:hAnsi="Verdana"/>
                <w:sz w:val="20"/>
              </w:rPr>
            </w:pPr>
            <w:r>
              <w:rPr>
                <w:bCs/>
                <w:lang w:val="nl-NL"/>
              </w:rPr>
              <w:t>Makreelfilets in tomatensaus</w:t>
            </w:r>
          </w:p>
        </w:tc>
      </w:tr>
      <w:tr w:rsidR="006D6CA6" w:rsidTr="006D6CA6">
        <w:tc>
          <w:tcPr>
            <w:tcW w:w="4606" w:type="dxa"/>
          </w:tcPr>
          <w:p w:rsidR="006D6CA6" w:rsidRPr="006D6CA6" w:rsidRDefault="006D6CA6" w:rsidP="00C27177">
            <w:pPr>
              <w:spacing w:before="100" w:beforeAutospacing="1" w:after="100" w:afterAutospacing="1" w:line="276" w:lineRule="auto"/>
              <w:rPr>
                <w:bCs/>
                <w:lang w:val="nl-NL"/>
              </w:rPr>
            </w:pPr>
            <w:r w:rsidRPr="00F66ED4">
              <w:rPr>
                <w:bCs/>
                <w:lang w:val="nl-NL"/>
              </w:rPr>
              <w:t>Rundsstoofvlees</w:t>
            </w:r>
          </w:p>
        </w:tc>
        <w:tc>
          <w:tcPr>
            <w:tcW w:w="4606" w:type="dxa"/>
          </w:tcPr>
          <w:p w:rsidR="006D6CA6" w:rsidRPr="006D6CA6" w:rsidRDefault="006D6CA6" w:rsidP="00C27177">
            <w:pPr>
              <w:spacing w:line="276" w:lineRule="auto"/>
              <w:rPr>
                <w:bCs/>
                <w:lang w:val="nl-NL"/>
              </w:rPr>
            </w:pPr>
            <w:r w:rsidRPr="006D6CA6">
              <w:rPr>
                <w:bCs/>
                <w:lang w:val="nl-NL"/>
              </w:rPr>
              <w:t>Rundstoofvlees</w:t>
            </w:r>
          </w:p>
        </w:tc>
      </w:tr>
      <w:tr w:rsidR="006D6CA6" w:rsidTr="006D6CA6">
        <w:tc>
          <w:tcPr>
            <w:tcW w:w="4606" w:type="dxa"/>
          </w:tcPr>
          <w:p w:rsidR="006D6CA6" w:rsidRPr="006D6CA6" w:rsidRDefault="006D6CA6" w:rsidP="00C27177">
            <w:pPr>
              <w:spacing w:before="100" w:beforeAutospacing="1" w:after="100" w:afterAutospacing="1" w:line="276" w:lineRule="auto"/>
              <w:rPr>
                <w:bCs/>
                <w:lang w:val="nl-NL"/>
              </w:rPr>
            </w:pPr>
            <w:r w:rsidRPr="00F66ED4">
              <w:rPr>
                <w:bCs/>
                <w:lang w:val="nl-NL"/>
              </w:rPr>
              <w:t>Macaroni</w:t>
            </w:r>
          </w:p>
        </w:tc>
        <w:tc>
          <w:tcPr>
            <w:tcW w:w="4606" w:type="dxa"/>
          </w:tcPr>
          <w:p w:rsidR="006D6CA6" w:rsidRPr="006D6CA6" w:rsidRDefault="006D6CA6" w:rsidP="00C27177">
            <w:pPr>
              <w:spacing w:line="276" w:lineRule="auto"/>
              <w:rPr>
                <w:bCs/>
                <w:lang w:val="nl-NL"/>
              </w:rPr>
            </w:pPr>
            <w:r w:rsidRPr="006D6CA6">
              <w:rPr>
                <w:bCs/>
                <w:lang w:val="nl-NL"/>
              </w:rPr>
              <w:t>Macaroni</w:t>
            </w:r>
          </w:p>
        </w:tc>
      </w:tr>
      <w:tr w:rsidR="006D6CA6" w:rsidTr="006D6CA6">
        <w:tc>
          <w:tcPr>
            <w:tcW w:w="4606" w:type="dxa"/>
          </w:tcPr>
          <w:p w:rsidR="006D6CA6" w:rsidRDefault="00564750" w:rsidP="00C27177">
            <w:pPr>
              <w:spacing w:before="100" w:beforeAutospacing="1" w:after="100" w:afterAutospacing="1" w:line="276" w:lineRule="auto"/>
            </w:pPr>
            <w:r w:rsidRPr="00F66ED4">
              <w:rPr>
                <w:bCs/>
                <w:lang w:val="nl-NL"/>
              </w:rPr>
              <w:t>Aardappelvlokken</w:t>
            </w:r>
          </w:p>
        </w:tc>
        <w:tc>
          <w:tcPr>
            <w:tcW w:w="4606" w:type="dxa"/>
          </w:tcPr>
          <w:p w:rsidR="006D6CA6" w:rsidRPr="00B21FA1" w:rsidRDefault="00564750" w:rsidP="00C27177">
            <w:pPr>
              <w:spacing w:before="100" w:beforeAutospacing="1" w:after="100" w:afterAutospacing="1" w:line="276" w:lineRule="auto"/>
              <w:rPr>
                <w:rFonts w:ascii="Verdana" w:hAnsi="Verdana"/>
                <w:sz w:val="20"/>
              </w:rPr>
            </w:pPr>
            <w:r>
              <w:rPr>
                <w:bCs/>
                <w:lang w:val="nl-NL"/>
              </w:rPr>
              <w:t>Aardappelvlokken</w:t>
            </w:r>
            <w:r w:rsidR="006D6CA6" w:rsidRPr="00B21FA1">
              <w:rPr>
                <w:rFonts w:ascii="Verdana" w:hAnsi="Verdana"/>
                <w:sz w:val="20"/>
              </w:rPr>
              <w:t xml:space="preserve"> </w:t>
            </w:r>
          </w:p>
        </w:tc>
      </w:tr>
      <w:tr w:rsidR="006D6CA6" w:rsidTr="006D6CA6">
        <w:tc>
          <w:tcPr>
            <w:tcW w:w="4606" w:type="dxa"/>
          </w:tcPr>
          <w:p w:rsidR="006D6CA6" w:rsidRDefault="00564750" w:rsidP="00C27177">
            <w:pPr>
              <w:spacing w:before="100" w:beforeAutospacing="1" w:after="100" w:afterAutospacing="1" w:line="276" w:lineRule="auto"/>
            </w:pPr>
            <w:r>
              <w:t>Gepelde tomaten</w:t>
            </w:r>
          </w:p>
        </w:tc>
        <w:tc>
          <w:tcPr>
            <w:tcW w:w="4606" w:type="dxa"/>
          </w:tcPr>
          <w:p w:rsidR="006D6CA6" w:rsidRPr="00564750" w:rsidRDefault="006D6CA6" w:rsidP="00C27177">
            <w:pPr>
              <w:spacing w:before="100" w:beforeAutospacing="1" w:after="100" w:afterAutospacing="1" w:line="276" w:lineRule="auto"/>
              <w:rPr>
                <w:bCs/>
                <w:lang w:val="nl-NL"/>
              </w:rPr>
            </w:pPr>
            <w:r w:rsidRPr="00564750">
              <w:rPr>
                <w:bCs/>
                <w:lang w:val="nl-NL"/>
              </w:rPr>
              <w:t xml:space="preserve">Gepelde tomaten </w:t>
            </w:r>
          </w:p>
        </w:tc>
      </w:tr>
      <w:tr w:rsidR="006D6CA6" w:rsidTr="006D6CA6">
        <w:tc>
          <w:tcPr>
            <w:tcW w:w="4606" w:type="dxa"/>
          </w:tcPr>
          <w:p w:rsidR="006D6CA6" w:rsidRPr="00564750" w:rsidRDefault="00564750" w:rsidP="00C27177">
            <w:pPr>
              <w:spacing w:before="100" w:beforeAutospacing="1" w:after="100" w:afterAutospacing="1" w:line="276" w:lineRule="auto"/>
            </w:pPr>
            <w:r w:rsidRPr="00F66ED4">
              <w:rPr>
                <w:bCs/>
                <w:lang w:val="nl-NL"/>
              </w:rPr>
              <w:t>Erwten en wortelen</w:t>
            </w:r>
          </w:p>
        </w:tc>
        <w:tc>
          <w:tcPr>
            <w:tcW w:w="4606" w:type="dxa"/>
          </w:tcPr>
          <w:p w:rsidR="006D6CA6" w:rsidRPr="00564750" w:rsidRDefault="00564750" w:rsidP="00C27177">
            <w:pPr>
              <w:spacing w:before="100" w:beforeAutospacing="1" w:after="100" w:afterAutospacing="1" w:line="276" w:lineRule="auto"/>
              <w:rPr>
                <w:bCs/>
                <w:lang w:val="nl-NL"/>
              </w:rPr>
            </w:pPr>
            <w:r w:rsidRPr="00564750">
              <w:rPr>
                <w:bCs/>
                <w:lang w:val="nl-NL"/>
              </w:rPr>
              <w:t>Erwten en wortelen</w:t>
            </w:r>
            <w:r w:rsidR="006D6CA6" w:rsidRPr="00564750">
              <w:rPr>
                <w:bCs/>
                <w:lang w:val="nl-NL"/>
              </w:rPr>
              <w:t xml:space="preserve"> </w:t>
            </w:r>
          </w:p>
        </w:tc>
      </w:tr>
      <w:tr w:rsidR="006D6CA6" w:rsidTr="006D6CA6">
        <w:tc>
          <w:tcPr>
            <w:tcW w:w="4606" w:type="dxa"/>
          </w:tcPr>
          <w:p w:rsidR="006D6CA6" w:rsidRPr="00564750" w:rsidRDefault="00564750" w:rsidP="00C27177">
            <w:pPr>
              <w:spacing w:before="100" w:beforeAutospacing="1" w:after="100" w:afterAutospacing="1" w:line="276" w:lineRule="auto"/>
            </w:pPr>
            <w:r>
              <w:t>Champignons</w:t>
            </w:r>
          </w:p>
        </w:tc>
        <w:tc>
          <w:tcPr>
            <w:tcW w:w="4606" w:type="dxa"/>
          </w:tcPr>
          <w:p w:rsidR="006D6CA6" w:rsidRPr="00564750" w:rsidRDefault="00564750" w:rsidP="00C27177">
            <w:pPr>
              <w:spacing w:before="100" w:beforeAutospacing="1" w:after="100" w:afterAutospacing="1" w:line="276" w:lineRule="auto"/>
              <w:rPr>
                <w:bCs/>
                <w:lang w:val="nl-NL"/>
              </w:rPr>
            </w:pPr>
            <w:r w:rsidRPr="00564750">
              <w:rPr>
                <w:bCs/>
                <w:lang w:val="nl-NL"/>
              </w:rPr>
              <w:t>Champignons</w:t>
            </w:r>
          </w:p>
        </w:tc>
      </w:tr>
      <w:tr w:rsidR="006D6CA6" w:rsidTr="006D6CA6">
        <w:tc>
          <w:tcPr>
            <w:tcW w:w="4606" w:type="dxa"/>
          </w:tcPr>
          <w:p w:rsidR="006D6CA6" w:rsidRPr="00F66ED4" w:rsidRDefault="00564750" w:rsidP="00C27177">
            <w:pPr>
              <w:spacing w:before="100" w:beforeAutospacing="1" w:after="100" w:afterAutospacing="1" w:line="276" w:lineRule="auto"/>
              <w:rPr>
                <w:bCs/>
                <w:lang w:val="nl-NL"/>
              </w:rPr>
            </w:pPr>
            <w:r>
              <w:rPr>
                <w:bCs/>
                <w:lang w:val="nl-NL"/>
              </w:rPr>
              <w:t>Fruitcocktail op lichte siroop</w:t>
            </w:r>
          </w:p>
        </w:tc>
        <w:tc>
          <w:tcPr>
            <w:tcW w:w="4606" w:type="dxa"/>
          </w:tcPr>
          <w:p w:rsidR="006D6CA6" w:rsidRPr="00564750" w:rsidRDefault="00564750" w:rsidP="00C27177">
            <w:pPr>
              <w:spacing w:before="100" w:beforeAutospacing="1" w:after="100" w:afterAutospacing="1" w:line="276" w:lineRule="auto"/>
              <w:rPr>
                <w:bCs/>
                <w:lang w:val="nl-NL"/>
              </w:rPr>
            </w:pPr>
            <w:r w:rsidRPr="00564750">
              <w:rPr>
                <w:bCs/>
                <w:lang w:val="nl-NL"/>
              </w:rPr>
              <w:t>Fruitcocktail op lichte siroop</w:t>
            </w:r>
          </w:p>
        </w:tc>
      </w:tr>
      <w:tr w:rsidR="006D6CA6" w:rsidTr="00564750">
        <w:tc>
          <w:tcPr>
            <w:tcW w:w="4606" w:type="dxa"/>
            <w:shd w:val="clear" w:color="auto" w:fill="D9D9D9" w:themeFill="background1" w:themeFillShade="D9"/>
          </w:tcPr>
          <w:p w:rsidR="006D6CA6" w:rsidRPr="00F66ED4" w:rsidRDefault="00564750" w:rsidP="00C27177">
            <w:pPr>
              <w:spacing w:before="100" w:beforeAutospacing="1" w:after="100" w:afterAutospacing="1" w:line="276" w:lineRule="auto"/>
              <w:rPr>
                <w:bCs/>
                <w:lang w:val="nl-NL"/>
              </w:rPr>
            </w:pPr>
            <w:r>
              <w:rPr>
                <w:bCs/>
                <w:lang w:val="nl-NL"/>
              </w:rPr>
              <w:t>Koolzaadolie</w:t>
            </w:r>
          </w:p>
        </w:tc>
        <w:tc>
          <w:tcPr>
            <w:tcW w:w="4606" w:type="dxa"/>
            <w:shd w:val="clear" w:color="auto" w:fill="D9D9D9" w:themeFill="background1" w:themeFillShade="D9"/>
          </w:tcPr>
          <w:p w:rsidR="006D6CA6" w:rsidRPr="00B21FA1" w:rsidRDefault="006D6CA6" w:rsidP="00C27177">
            <w:pPr>
              <w:spacing w:line="276" w:lineRule="auto"/>
              <w:rPr>
                <w:rFonts w:ascii="Verdana" w:hAnsi="Verdana"/>
                <w:sz w:val="20"/>
              </w:rPr>
            </w:pPr>
            <w:r w:rsidRPr="00564750">
              <w:rPr>
                <w:bCs/>
                <w:lang w:val="nl-NL"/>
              </w:rPr>
              <w:t>Arachideolie</w:t>
            </w:r>
          </w:p>
        </w:tc>
      </w:tr>
      <w:tr w:rsidR="006D6CA6" w:rsidTr="006D6CA6">
        <w:tc>
          <w:tcPr>
            <w:tcW w:w="4606" w:type="dxa"/>
          </w:tcPr>
          <w:p w:rsidR="006D6CA6" w:rsidRPr="00F66ED4" w:rsidRDefault="00564750" w:rsidP="00C27177">
            <w:pPr>
              <w:spacing w:before="100" w:beforeAutospacing="1" w:after="100" w:afterAutospacing="1" w:line="276" w:lineRule="auto"/>
              <w:rPr>
                <w:bCs/>
                <w:lang w:val="nl-NL"/>
              </w:rPr>
            </w:pPr>
            <w:r w:rsidRPr="00564750">
              <w:rPr>
                <w:bCs/>
                <w:lang w:val="nl-NL"/>
              </w:rPr>
              <w:t>Extra confituur van vier soorten rood fruit</w:t>
            </w:r>
          </w:p>
        </w:tc>
        <w:tc>
          <w:tcPr>
            <w:tcW w:w="4606" w:type="dxa"/>
          </w:tcPr>
          <w:p w:rsidR="006D6CA6" w:rsidRPr="00564750" w:rsidRDefault="006D6CA6" w:rsidP="00C27177">
            <w:pPr>
              <w:spacing w:line="276" w:lineRule="auto"/>
              <w:rPr>
                <w:bCs/>
                <w:lang w:val="nl-NL"/>
              </w:rPr>
            </w:pPr>
            <w:r w:rsidRPr="00564750">
              <w:rPr>
                <w:bCs/>
                <w:lang w:val="nl-NL"/>
              </w:rPr>
              <w:t>Extra confituur</w:t>
            </w:r>
            <w:r w:rsidR="00564750" w:rsidRPr="00564750">
              <w:rPr>
                <w:bCs/>
                <w:lang w:val="nl-NL"/>
              </w:rPr>
              <w:t xml:space="preserve"> van vier soorten rood fruit</w:t>
            </w:r>
          </w:p>
        </w:tc>
      </w:tr>
      <w:tr w:rsidR="006D6CA6" w:rsidTr="006D6CA6">
        <w:tc>
          <w:tcPr>
            <w:tcW w:w="4606" w:type="dxa"/>
          </w:tcPr>
          <w:p w:rsidR="00564750" w:rsidRPr="00F66ED4" w:rsidRDefault="00564750" w:rsidP="00C27177">
            <w:pPr>
              <w:spacing w:before="100" w:beforeAutospacing="1" w:after="100" w:afterAutospacing="1" w:line="276" w:lineRule="auto"/>
              <w:rPr>
                <w:bCs/>
                <w:lang w:val="nl-NL"/>
              </w:rPr>
            </w:pPr>
            <w:r w:rsidRPr="00564750">
              <w:rPr>
                <w:bCs/>
                <w:lang w:val="nl-NL"/>
              </w:rPr>
              <w:t>Ontbijtgranen (gepofte tarwe bedekt met honing)</w:t>
            </w:r>
          </w:p>
        </w:tc>
        <w:tc>
          <w:tcPr>
            <w:tcW w:w="4606" w:type="dxa"/>
          </w:tcPr>
          <w:p w:rsidR="006D6CA6" w:rsidRPr="00564750" w:rsidRDefault="006D6CA6" w:rsidP="00C27177">
            <w:pPr>
              <w:spacing w:line="276" w:lineRule="auto"/>
              <w:rPr>
                <w:bCs/>
                <w:lang w:val="nl-NL"/>
              </w:rPr>
            </w:pPr>
            <w:r w:rsidRPr="00564750">
              <w:rPr>
                <w:bCs/>
                <w:lang w:val="nl-NL"/>
              </w:rPr>
              <w:t>Ontbijtgranen (gepofte tarwe bedekt</w:t>
            </w:r>
            <w:r w:rsidR="00564750" w:rsidRPr="00564750">
              <w:rPr>
                <w:bCs/>
                <w:lang w:val="nl-NL"/>
              </w:rPr>
              <w:t xml:space="preserve"> met honing)</w:t>
            </w:r>
          </w:p>
        </w:tc>
      </w:tr>
      <w:tr w:rsidR="006D6CA6" w:rsidTr="006D6CA6">
        <w:tc>
          <w:tcPr>
            <w:tcW w:w="4606" w:type="dxa"/>
          </w:tcPr>
          <w:p w:rsidR="006D6CA6" w:rsidRPr="00564750" w:rsidRDefault="00564750" w:rsidP="00C27177">
            <w:pPr>
              <w:spacing w:before="100" w:beforeAutospacing="1" w:after="100" w:afterAutospacing="1" w:line="276" w:lineRule="auto"/>
              <w:rPr>
                <w:bCs/>
                <w:lang w:val="nl-NL"/>
              </w:rPr>
            </w:pPr>
            <w:r w:rsidRPr="00564750">
              <w:rPr>
                <w:bCs/>
                <w:lang w:val="nl-NL"/>
              </w:rPr>
              <w:t>Vanillepuddingpoeder</w:t>
            </w:r>
          </w:p>
        </w:tc>
        <w:tc>
          <w:tcPr>
            <w:tcW w:w="4606" w:type="dxa"/>
          </w:tcPr>
          <w:p w:rsidR="006D6CA6" w:rsidRPr="00564750" w:rsidRDefault="00564750" w:rsidP="00C27177">
            <w:pPr>
              <w:spacing w:line="276" w:lineRule="auto"/>
              <w:rPr>
                <w:bCs/>
                <w:lang w:val="nl-NL"/>
              </w:rPr>
            </w:pPr>
            <w:r w:rsidRPr="00564750">
              <w:rPr>
                <w:bCs/>
                <w:lang w:val="nl-NL"/>
              </w:rPr>
              <w:t>Vanillepuddingpoeder</w:t>
            </w:r>
          </w:p>
        </w:tc>
      </w:tr>
      <w:tr w:rsidR="00564750" w:rsidTr="00564750">
        <w:tc>
          <w:tcPr>
            <w:tcW w:w="4606" w:type="dxa"/>
          </w:tcPr>
          <w:p w:rsidR="00564750" w:rsidRPr="00F66ED4" w:rsidRDefault="00564750" w:rsidP="00C27177">
            <w:pPr>
              <w:spacing w:before="100" w:beforeAutospacing="1" w:after="100" w:afterAutospacing="1" w:line="276" w:lineRule="auto"/>
            </w:pPr>
            <w:r w:rsidRPr="00F66ED4">
              <w:rPr>
                <w:bCs/>
                <w:lang w:val="nl-NL"/>
              </w:rPr>
              <w:t>Rijstsalade met tonijn</w:t>
            </w:r>
          </w:p>
        </w:tc>
        <w:tc>
          <w:tcPr>
            <w:tcW w:w="4606" w:type="dxa"/>
            <w:shd w:val="clear" w:color="auto" w:fill="D9D9D9" w:themeFill="background1" w:themeFillShade="D9"/>
          </w:tcPr>
          <w:p w:rsidR="00564750" w:rsidRPr="00B21FA1" w:rsidRDefault="00564750" w:rsidP="00C27177">
            <w:pPr>
              <w:spacing w:before="100" w:beforeAutospacing="1" w:after="100" w:afterAutospacing="1" w:line="276" w:lineRule="auto"/>
              <w:rPr>
                <w:rFonts w:ascii="Verdana" w:hAnsi="Verdana"/>
                <w:sz w:val="20"/>
              </w:rPr>
            </w:pPr>
            <w:r w:rsidRPr="00564750">
              <w:rPr>
                <w:bCs/>
                <w:lang w:val="nl-NL"/>
              </w:rPr>
              <w:t>(Niet vervangen)</w:t>
            </w:r>
          </w:p>
        </w:tc>
      </w:tr>
    </w:tbl>
    <w:p w:rsidR="00564750" w:rsidRDefault="00564750" w:rsidP="00C27177"/>
    <w:p w:rsidR="009F3236" w:rsidRDefault="001E7FB5" w:rsidP="00C27177">
      <w:pPr>
        <w:pStyle w:val="Kop5"/>
        <w:numPr>
          <w:ilvl w:val="0"/>
          <w:numId w:val="8"/>
        </w:numPr>
        <w:spacing w:after="240" w:line="276" w:lineRule="auto"/>
      </w:pPr>
      <w:r>
        <w:t>Productenlijst 2015</w:t>
      </w:r>
    </w:p>
    <w:p w:rsidR="0092222A" w:rsidRDefault="0092222A" w:rsidP="00C27177">
      <w:r>
        <w:t>In november 2014 startte de BA de voorbereidingen voor het werkingsjaar 2015, waaronder het aanpassen van de productenlijst voor</w:t>
      </w:r>
      <w:r w:rsidR="00E6683B">
        <w:t xml:space="preserve"> het jaar 2015.</w:t>
      </w:r>
    </w:p>
    <w:p w:rsidR="00E6683B" w:rsidRDefault="00E6683B" w:rsidP="00C27177">
      <w:r>
        <w:t>Hiervoor werd eerst en vooral het advies ingewonnen van enkele voedingsexperten en experten duurzaamheid van de FOD Volksgezondheid, Veiligheid van</w:t>
      </w:r>
      <w:r w:rsidR="007A1555">
        <w:t xml:space="preserve"> de Voedselketen en Leefmilieu. Hiertoe werd een vergadering georganiseerd op </w:t>
      </w:r>
      <w:r>
        <w:t>03/11/2014.</w:t>
      </w:r>
    </w:p>
    <w:p w:rsidR="00826523" w:rsidRDefault="00E6683B" w:rsidP="00C27177">
      <w:r>
        <w:t xml:space="preserve">De bevindingen en voorgestelde aanpassingen aan de productenlijst van de experten werden daarna afgetoetst in het </w:t>
      </w:r>
      <w:r w:rsidR="007A1555">
        <w:t>FEAD-overleg</w:t>
      </w:r>
      <w:r>
        <w:t xml:space="preserve"> (zie supra) met de belangrijkste actoren uit de sector van de voedselhulp in België. </w:t>
      </w:r>
      <w:r w:rsidR="00826523">
        <w:t>Er vond hieromtrent een vergadering plaats op 14/11/2014.</w:t>
      </w:r>
    </w:p>
    <w:p w:rsidR="00E6683B" w:rsidRDefault="00E6683B" w:rsidP="00C27177">
      <w:r>
        <w:lastRenderedPageBreak/>
        <w:t xml:space="preserve">Voorts werd ook rekening gehouden met enkele aanbevelingen gedaan door het Overleg Voedselhulp van het FDSS die een studie uitvoerde gesteund door Leefmilieu Brussel met als doel de kwaliteit van de verdeelde voedselproducten te </w:t>
      </w:r>
      <w:r w:rsidR="007A1555">
        <w:t xml:space="preserve">analyseren. </w:t>
      </w:r>
    </w:p>
    <w:p w:rsidR="00E6683B" w:rsidRDefault="00E6683B" w:rsidP="00C27177">
      <w:r>
        <w:t xml:space="preserve">De productenlijst werd uiteindelijk grondig aangepast. In de tabel hieronder ziet u de wijzigingen tegenover de productenlijst van het jaar 2014. </w:t>
      </w:r>
    </w:p>
    <w:tbl>
      <w:tblPr>
        <w:tblStyle w:val="Tabelraster"/>
        <w:tblW w:w="0" w:type="auto"/>
        <w:tblLook w:val="04A0" w:firstRow="1" w:lastRow="0" w:firstColumn="1" w:lastColumn="0" w:noHBand="0" w:noVBand="1"/>
      </w:tblPr>
      <w:tblGrid>
        <w:gridCol w:w="4606"/>
        <w:gridCol w:w="4606"/>
      </w:tblGrid>
      <w:tr w:rsidR="00E6683B" w:rsidTr="00D13D3A">
        <w:tc>
          <w:tcPr>
            <w:tcW w:w="4606" w:type="dxa"/>
            <w:shd w:val="clear" w:color="auto" w:fill="A6A6A6" w:themeFill="background1" w:themeFillShade="A6"/>
          </w:tcPr>
          <w:p w:rsidR="00E6683B" w:rsidRPr="00564750" w:rsidRDefault="00E6683B" w:rsidP="00C27177">
            <w:pPr>
              <w:spacing w:line="276" w:lineRule="auto"/>
              <w:rPr>
                <w:b/>
              </w:rPr>
            </w:pPr>
            <w:r w:rsidRPr="00564750">
              <w:rPr>
                <w:b/>
              </w:rPr>
              <w:t>Producten 2014</w:t>
            </w:r>
          </w:p>
        </w:tc>
        <w:tc>
          <w:tcPr>
            <w:tcW w:w="4606" w:type="dxa"/>
            <w:shd w:val="clear" w:color="auto" w:fill="A6A6A6" w:themeFill="background1" w:themeFillShade="A6"/>
          </w:tcPr>
          <w:p w:rsidR="00E6683B" w:rsidRPr="00564750" w:rsidRDefault="00E6683B" w:rsidP="00C27177">
            <w:pPr>
              <w:spacing w:line="276" w:lineRule="auto"/>
              <w:rPr>
                <w:b/>
              </w:rPr>
            </w:pPr>
            <w:r w:rsidRPr="00564750">
              <w:rPr>
                <w:b/>
              </w:rPr>
              <w:t>Producten 2015</w:t>
            </w:r>
          </w:p>
        </w:tc>
      </w:tr>
      <w:tr w:rsidR="00E6683B" w:rsidTr="00D13D3A">
        <w:tc>
          <w:tcPr>
            <w:tcW w:w="4606" w:type="dxa"/>
          </w:tcPr>
          <w:p w:rsidR="00E6683B" w:rsidRPr="00B21FA1" w:rsidRDefault="00E6683B" w:rsidP="00C27177">
            <w:pPr>
              <w:spacing w:before="100" w:beforeAutospacing="1" w:after="100" w:afterAutospacing="1" w:line="276" w:lineRule="auto"/>
              <w:rPr>
                <w:rFonts w:ascii="Verdana" w:hAnsi="Verdana"/>
                <w:sz w:val="20"/>
              </w:rPr>
            </w:pPr>
            <w:r>
              <w:rPr>
                <w:bCs/>
                <w:lang w:val="nl-NL"/>
              </w:rPr>
              <w:t>Halfvolle melk</w:t>
            </w:r>
          </w:p>
        </w:tc>
        <w:tc>
          <w:tcPr>
            <w:tcW w:w="4606" w:type="dxa"/>
          </w:tcPr>
          <w:p w:rsidR="00E6683B" w:rsidRPr="00564750" w:rsidRDefault="00E6683B" w:rsidP="00C27177">
            <w:pPr>
              <w:spacing w:line="276" w:lineRule="auto"/>
            </w:pPr>
            <w:r>
              <w:t>Halfvolle melk</w:t>
            </w:r>
          </w:p>
        </w:tc>
      </w:tr>
      <w:tr w:rsidR="00E6683B" w:rsidTr="00D13D3A">
        <w:tc>
          <w:tcPr>
            <w:tcW w:w="4606" w:type="dxa"/>
            <w:shd w:val="clear" w:color="auto" w:fill="D9D9D9" w:themeFill="background1" w:themeFillShade="D9"/>
          </w:tcPr>
          <w:p w:rsidR="00E6683B" w:rsidRPr="00A66F3F" w:rsidRDefault="00E6683B" w:rsidP="00C27177">
            <w:pPr>
              <w:spacing w:before="100" w:beforeAutospacing="1" w:after="100" w:afterAutospacing="1" w:line="276" w:lineRule="auto"/>
              <w:rPr>
                <w:rFonts w:ascii="Verdana" w:hAnsi="Verdana"/>
                <w:sz w:val="20"/>
              </w:rPr>
            </w:pPr>
            <w:r w:rsidRPr="006D6CA6">
              <w:rPr>
                <w:bCs/>
                <w:lang w:val="nl-NL"/>
              </w:rPr>
              <w:t>Zalm in blik</w:t>
            </w:r>
          </w:p>
        </w:tc>
        <w:tc>
          <w:tcPr>
            <w:tcW w:w="4606" w:type="dxa"/>
            <w:shd w:val="clear" w:color="auto" w:fill="D9D9D9" w:themeFill="background1" w:themeFillShade="D9"/>
          </w:tcPr>
          <w:p w:rsidR="00E6683B" w:rsidRPr="00564750" w:rsidRDefault="00E6683B" w:rsidP="00C27177">
            <w:pPr>
              <w:spacing w:line="276" w:lineRule="auto"/>
            </w:pPr>
            <w:r w:rsidRPr="00564750">
              <w:t>Sardienen in olijfolie</w:t>
            </w:r>
          </w:p>
        </w:tc>
      </w:tr>
      <w:tr w:rsidR="00E6683B" w:rsidTr="00D13D3A">
        <w:tc>
          <w:tcPr>
            <w:tcW w:w="4606" w:type="dxa"/>
            <w:shd w:val="clear" w:color="auto" w:fill="D9D9D9" w:themeFill="background1" w:themeFillShade="D9"/>
          </w:tcPr>
          <w:p w:rsidR="00E6683B" w:rsidRPr="00B21FA1" w:rsidRDefault="00E6683B" w:rsidP="00C27177">
            <w:pPr>
              <w:spacing w:before="100" w:beforeAutospacing="1" w:after="100" w:afterAutospacing="1" w:line="276" w:lineRule="auto"/>
              <w:rPr>
                <w:rFonts w:ascii="Verdana" w:hAnsi="Verdana"/>
                <w:sz w:val="20"/>
              </w:rPr>
            </w:pPr>
            <w:r>
              <w:rPr>
                <w:bCs/>
                <w:lang w:val="nl-NL"/>
              </w:rPr>
              <w:t>Makreelfilets in tomatensaus</w:t>
            </w:r>
          </w:p>
        </w:tc>
        <w:tc>
          <w:tcPr>
            <w:tcW w:w="4606" w:type="dxa"/>
            <w:shd w:val="clear" w:color="auto" w:fill="D9D9D9" w:themeFill="background1" w:themeFillShade="D9"/>
          </w:tcPr>
          <w:p w:rsidR="00E6683B" w:rsidRPr="00564750" w:rsidRDefault="00E6683B" w:rsidP="00C27177">
            <w:pPr>
              <w:spacing w:line="276" w:lineRule="auto"/>
            </w:pPr>
            <w:r w:rsidRPr="00564750">
              <w:t>Linzen in blik</w:t>
            </w:r>
          </w:p>
        </w:tc>
      </w:tr>
      <w:tr w:rsidR="00E6683B" w:rsidTr="00D13D3A">
        <w:tc>
          <w:tcPr>
            <w:tcW w:w="4606" w:type="dxa"/>
            <w:shd w:val="clear" w:color="auto" w:fill="D9D9D9" w:themeFill="background1" w:themeFillShade="D9"/>
          </w:tcPr>
          <w:p w:rsidR="00E6683B" w:rsidRPr="006D6CA6" w:rsidRDefault="00E6683B" w:rsidP="00C27177">
            <w:pPr>
              <w:spacing w:line="276" w:lineRule="auto"/>
              <w:rPr>
                <w:bCs/>
                <w:lang w:val="nl-NL"/>
              </w:rPr>
            </w:pPr>
            <w:r w:rsidRPr="006D6CA6">
              <w:rPr>
                <w:bCs/>
                <w:lang w:val="nl-NL"/>
              </w:rPr>
              <w:t>Rundstoofvlees</w:t>
            </w:r>
          </w:p>
        </w:tc>
        <w:tc>
          <w:tcPr>
            <w:tcW w:w="4606" w:type="dxa"/>
            <w:shd w:val="clear" w:color="auto" w:fill="D9D9D9" w:themeFill="background1" w:themeFillShade="D9"/>
          </w:tcPr>
          <w:p w:rsidR="00E6683B" w:rsidRPr="00564750" w:rsidRDefault="00E6683B" w:rsidP="00C27177">
            <w:pPr>
              <w:spacing w:line="276" w:lineRule="auto"/>
            </w:pPr>
            <w:r w:rsidRPr="00564750">
              <w:t>Kip in saus</w:t>
            </w:r>
          </w:p>
        </w:tc>
      </w:tr>
      <w:tr w:rsidR="00E6683B" w:rsidTr="00D13D3A">
        <w:tc>
          <w:tcPr>
            <w:tcW w:w="4606" w:type="dxa"/>
            <w:shd w:val="clear" w:color="auto" w:fill="D9D9D9" w:themeFill="background1" w:themeFillShade="D9"/>
          </w:tcPr>
          <w:p w:rsidR="00E6683B" w:rsidRPr="006D6CA6" w:rsidRDefault="00E6683B" w:rsidP="00C27177">
            <w:pPr>
              <w:spacing w:line="276" w:lineRule="auto"/>
              <w:rPr>
                <w:bCs/>
                <w:lang w:val="nl-NL"/>
              </w:rPr>
            </w:pPr>
            <w:r w:rsidRPr="006D6CA6">
              <w:rPr>
                <w:bCs/>
                <w:lang w:val="nl-NL"/>
              </w:rPr>
              <w:t>Macaroni</w:t>
            </w:r>
          </w:p>
        </w:tc>
        <w:tc>
          <w:tcPr>
            <w:tcW w:w="4606" w:type="dxa"/>
            <w:shd w:val="clear" w:color="auto" w:fill="D9D9D9" w:themeFill="background1" w:themeFillShade="D9"/>
          </w:tcPr>
          <w:p w:rsidR="00E6683B" w:rsidRPr="00564750" w:rsidRDefault="00E6683B" w:rsidP="00C27177">
            <w:pPr>
              <w:spacing w:line="276" w:lineRule="auto"/>
            </w:pPr>
            <w:r w:rsidRPr="00564750">
              <w:t>Pasta (2 types)</w:t>
            </w:r>
          </w:p>
        </w:tc>
      </w:tr>
      <w:tr w:rsidR="00E6683B" w:rsidTr="00D13D3A">
        <w:tc>
          <w:tcPr>
            <w:tcW w:w="4606" w:type="dxa"/>
            <w:shd w:val="clear" w:color="auto" w:fill="D9D9D9" w:themeFill="background1" w:themeFillShade="D9"/>
          </w:tcPr>
          <w:p w:rsidR="00E6683B" w:rsidRPr="00B21FA1" w:rsidRDefault="00E6683B" w:rsidP="00C27177">
            <w:pPr>
              <w:spacing w:before="100" w:beforeAutospacing="1" w:after="100" w:afterAutospacing="1" w:line="276" w:lineRule="auto"/>
              <w:rPr>
                <w:rFonts w:ascii="Verdana" w:hAnsi="Verdana"/>
                <w:sz w:val="20"/>
              </w:rPr>
            </w:pPr>
            <w:r>
              <w:rPr>
                <w:bCs/>
                <w:lang w:val="nl-NL"/>
              </w:rPr>
              <w:t>Aardappelvlokken</w:t>
            </w:r>
            <w:r w:rsidRPr="00B21FA1">
              <w:rPr>
                <w:rFonts w:ascii="Verdana" w:hAnsi="Verdana"/>
                <w:sz w:val="20"/>
              </w:rPr>
              <w:t xml:space="preserve"> </w:t>
            </w:r>
          </w:p>
        </w:tc>
        <w:tc>
          <w:tcPr>
            <w:tcW w:w="4606" w:type="dxa"/>
            <w:shd w:val="clear" w:color="auto" w:fill="D9D9D9" w:themeFill="background1" w:themeFillShade="D9"/>
          </w:tcPr>
          <w:p w:rsidR="00E6683B" w:rsidRPr="00564750" w:rsidRDefault="00E6683B" w:rsidP="00C27177">
            <w:pPr>
              <w:spacing w:line="276" w:lineRule="auto"/>
            </w:pPr>
            <w:r w:rsidRPr="00564750">
              <w:t>Griesmeel/ couscous</w:t>
            </w:r>
          </w:p>
        </w:tc>
      </w:tr>
      <w:tr w:rsidR="00E6683B" w:rsidTr="00D13D3A">
        <w:tc>
          <w:tcPr>
            <w:tcW w:w="4606" w:type="dxa"/>
          </w:tcPr>
          <w:p w:rsidR="00E6683B" w:rsidRPr="00564750" w:rsidRDefault="00E6683B" w:rsidP="00C27177">
            <w:pPr>
              <w:spacing w:before="100" w:beforeAutospacing="1" w:after="100" w:afterAutospacing="1" w:line="276" w:lineRule="auto"/>
              <w:rPr>
                <w:bCs/>
                <w:lang w:val="nl-NL"/>
              </w:rPr>
            </w:pPr>
            <w:r w:rsidRPr="00564750">
              <w:rPr>
                <w:bCs/>
                <w:lang w:val="nl-NL"/>
              </w:rPr>
              <w:t xml:space="preserve">Gepelde tomaten </w:t>
            </w:r>
          </w:p>
        </w:tc>
        <w:tc>
          <w:tcPr>
            <w:tcW w:w="4606" w:type="dxa"/>
          </w:tcPr>
          <w:p w:rsidR="00E6683B" w:rsidRPr="00564750" w:rsidRDefault="00E6683B" w:rsidP="00C27177">
            <w:pPr>
              <w:spacing w:line="276" w:lineRule="auto"/>
            </w:pPr>
            <w:r>
              <w:t>Gepelde tomaten</w:t>
            </w:r>
          </w:p>
        </w:tc>
      </w:tr>
      <w:tr w:rsidR="00E6683B" w:rsidTr="00D13D3A">
        <w:tc>
          <w:tcPr>
            <w:tcW w:w="4606" w:type="dxa"/>
            <w:shd w:val="clear" w:color="auto" w:fill="D9D9D9" w:themeFill="background1" w:themeFillShade="D9"/>
          </w:tcPr>
          <w:p w:rsidR="00E6683B" w:rsidRPr="00564750" w:rsidRDefault="00E6683B" w:rsidP="00C27177">
            <w:pPr>
              <w:spacing w:before="100" w:beforeAutospacing="1" w:after="100" w:afterAutospacing="1" w:line="276" w:lineRule="auto"/>
              <w:rPr>
                <w:bCs/>
                <w:lang w:val="nl-NL"/>
              </w:rPr>
            </w:pPr>
            <w:r w:rsidRPr="00564750">
              <w:rPr>
                <w:bCs/>
                <w:lang w:val="nl-NL"/>
              </w:rPr>
              <w:t xml:space="preserve">Erwten en wortelen </w:t>
            </w:r>
          </w:p>
        </w:tc>
        <w:tc>
          <w:tcPr>
            <w:tcW w:w="4606" w:type="dxa"/>
            <w:shd w:val="clear" w:color="auto" w:fill="D9D9D9" w:themeFill="background1" w:themeFillShade="D9"/>
          </w:tcPr>
          <w:p w:rsidR="00E6683B" w:rsidRPr="00564750" w:rsidRDefault="00E6683B" w:rsidP="00C27177">
            <w:pPr>
              <w:spacing w:line="276" w:lineRule="auto"/>
            </w:pPr>
            <w:r w:rsidRPr="00564750">
              <w:t>Hele sperziebonen zeer fijn in blik</w:t>
            </w:r>
          </w:p>
        </w:tc>
      </w:tr>
      <w:tr w:rsidR="00E6683B" w:rsidTr="00D13D3A">
        <w:tc>
          <w:tcPr>
            <w:tcW w:w="4606" w:type="dxa"/>
            <w:shd w:val="clear" w:color="auto" w:fill="D9D9D9" w:themeFill="background1" w:themeFillShade="D9"/>
          </w:tcPr>
          <w:p w:rsidR="00E6683B" w:rsidRPr="00564750" w:rsidRDefault="00E6683B" w:rsidP="00C27177">
            <w:pPr>
              <w:spacing w:before="100" w:beforeAutospacing="1" w:after="100" w:afterAutospacing="1" w:line="276" w:lineRule="auto"/>
              <w:rPr>
                <w:bCs/>
                <w:lang w:val="nl-NL"/>
              </w:rPr>
            </w:pPr>
            <w:r w:rsidRPr="00564750">
              <w:rPr>
                <w:bCs/>
                <w:lang w:val="nl-NL"/>
              </w:rPr>
              <w:t>Champignons</w:t>
            </w:r>
          </w:p>
        </w:tc>
        <w:tc>
          <w:tcPr>
            <w:tcW w:w="4606" w:type="dxa"/>
            <w:shd w:val="clear" w:color="auto" w:fill="D9D9D9" w:themeFill="background1" w:themeFillShade="D9"/>
          </w:tcPr>
          <w:p w:rsidR="00E6683B" w:rsidRPr="00564750" w:rsidRDefault="00E6683B" w:rsidP="00C27177">
            <w:pPr>
              <w:spacing w:line="276" w:lineRule="auto"/>
            </w:pPr>
            <w:r w:rsidRPr="00564750">
              <w:t>Verwerkte smeerkaas</w:t>
            </w:r>
          </w:p>
        </w:tc>
      </w:tr>
      <w:tr w:rsidR="00E6683B" w:rsidTr="00D13D3A">
        <w:tc>
          <w:tcPr>
            <w:tcW w:w="4606" w:type="dxa"/>
            <w:shd w:val="clear" w:color="auto" w:fill="D9D9D9" w:themeFill="background1" w:themeFillShade="D9"/>
          </w:tcPr>
          <w:p w:rsidR="00E6683B" w:rsidRPr="00564750" w:rsidRDefault="00E6683B" w:rsidP="00C27177">
            <w:pPr>
              <w:spacing w:before="100" w:beforeAutospacing="1" w:after="100" w:afterAutospacing="1" w:line="276" w:lineRule="auto"/>
              <w:rPr>
                <w:bCs/>
                <w:lang w:val="nl-NL"/>
              </w:rPr>
            </w:pPr>
            <w:r w:rsidRPr="00564750">
              <w:rPr>
                <w:bCs/>
                <w:lang w:val="nl-NL"/>
              </w:rPr>
              <w:t>Fruitcocktail op lichte siroop</w:t>
            </w:r>
          </w:p>
        </w:tc>
        <w:tc>
          <w:tcPr>
            <w:tcW w:w="4606" w:type="dxa"/>
            <w:shd w:val="clear" w:color="auto" w:fill="D9D9D9" w:themeFill="background1" w:themeFillShade="D9"/>
          </w:tcPr>
          <w:p w:rsidR="00E6683B" w:rsidRPr="00564750" w:rsidRDefault="00E6683B" w:rsidP="00C27177">
            <w:pPr>
              <w:spacing w:line="276" w:lineRule="auto"/>
            </w:pPr>
            <w:r w:rsidRPr="00564750">
              <w:t>Appelmousseline (zonder toegevoegde suikers!)</w:t>
            </w:r>
          </w:p>
        </w:tc>
      </w:tr>
      <w:tr w:rsidR="00E6683B" w:rsidTr="00D13D3A">
        <w:tc>
          <w:tcPr>
            <w:tcW w:w="4606" w:type="dxa"/>
            <w:shd w:val="clear" w:color="auto" w:fill="D9D9D9" w:themeFill="background1" w:themeFillShade="D9"/>
          </w:tcPr>
          <w:p w:rsidR="00E6683B" w:rsidRPr="00B21FA1" w:rsidRDefault="00E6683B" w:rsidP="00C27177">
            <w:pPr>
              <w:spacing w:line="276" w:lineRule="auto"/>
              <w:rPr>
                <w:rFonts w:ascii="Verdana" w:hAnsi="Verdana"/>
                <w:sz w:val="20"/>
              </w:rPr>
            </w:pPr>
            <w:r w:rsidRPr="00564750">
              <w:rPr>
                <w:bCs/>
                <w:lang w:val="nl-NL"/>
              </w:rPr>
              <w:t>Arachideolie</w:t>
            </w:r>
          </w:p>
        </w:tc>
        <w:tc>
          <w:tcPr>
            <w:tcW w:w="4606" w:type="dxa"/>
            <w:shd w:val="clear" w:color="auto" w:fill="D9D9D9" w:themeFill="background1" w:themeFillShade="D9"/>
          </w:tcPr>
          <w:p w:rsidR="00E6683B" w:rsidRPr="00564750" w:rsidRDefault="00E6683B" w:rsidP="00C27177">
            <w:pPr>
              <w:spacing w:line="276" w:lineRule="auto"/>
            </w:pPr>
            <w:r w:rsidRPr="00564750">
              <w:t>Olijfolie</w:t>
            </w:r>
          </w:p>
        </w:tc>
      </w:tr>
      <w:tr w:rsidR="00E6683B" w:rsidTr="00D13D3A">
        <w:tc>
          <w:tcPr>
            <w:tcW w:w="4606" w:type="dxa"/>
            <w:shd w:val="clear" w:color="auto" w:fill="D9D9D9" w:themeFill="background1" w:themeFillShade="D9"/>
          </w:tcPr>
          <w:p w:rsidR="00E6683B" w:rsidRPr="00564750" w:rsidRDefault="00E6683B" w:rsidP="00C27177">
            <w:pPr>
              <w:spacing w:line="276" w:lineRule="auto"/>
              <w:rPr>
                <w:bCs/>
                <w:lang w:val="nl-NL"/>
              </w:rPr>
            </w:pPr>
            <w:r w:rsidRPr="00564750">
              <w:rPr>
                <w:bCs/>
                <w:lang w:val="nl-NL"/>
              </w:rPr>
              <w:t>Extra confituur van vier soorten rood fruit</w:t>
            </w:r>
          </w:p>
        </w:tc>
        <w:tc>
          <w:tcPr>
            <w:tcW w:w="4606" w:type="dxa"/>
            <w:shd w:val="clear" w:color="auto" w:fill="D9D9D9" w:themeFill="background1" w:themeFillShade="D9"/>
          </w:tcPr>
          <w:p w:rsidR="00E6683B" w:rsidRPr="00564750" w:rsidRDefault="00E6683B" w:rsidP="00C27177">
            <w:pPr>
              <w:spacing w:line="276" w:lineRule="auto"/>
            </w:pPr>
            <w:r w:rsidRPr="00564750">
              <w:t>Extra confituur van aardbeien</w:t>
            </w:r>
          </w:p>
        </w:tc>
      </w:tr>
      <w:tr w:rsidR="00E6683B" w:rsidTr="00D13D3A">
        <w:tc>
          <w:tcPr>
            <w:tcW w:w="4606" w:type="dxa"/>
            <w:shd w:val="clear" w:color="auto" w:fill="D9D9D9" w:themeFill="background1" w:themeFillShade="D9"/>
          </w:tcPr>
          <w:p w:rsidR="00E6683B" w:rsidRPr="00564750" w:rsidRDefault="00E6683B" w:rsidP="00C27177">
            <w:pPr>
              <w:spacing w:line="276" w:lineRule="auto"/>
              <w:rPr>
                <w:bCs/>
                <w:lang w:val="nl-NL"/>
              </w:rPr>
            </w:pPr>
            <w:r w:rsidRPr="00564750">
              <w:rPr>
                <w:bCs/>
                <w:lang w:val="nl-NL"/>
              </w:rPr>
              <w:t>Ontbijtgranen (gepofte tarwe bedekt met honing)</w:t>
            </w:r>
          </w:p>
        </w:tc>
        <w:tc>
          <w:tcPr>
            <w:tcW w:w="4606" w:type="dxa"/>
            <w:shd w:val="clear" w:color="auto" w:fill="D9D9D9" w:themeFill="background1" w:themeFillShade="D9"/>
          </w:tcPr>
          <w:p w:rsidR="00E6683B" w:rsidRPr="00564750" w:rsidRDefault="00E6683B" w:rsidP="00C27177">
            <w:pPr>
              <w:spacing w:line="276" w:lineRule="auto"/>
            </w:pPr>
            <w:r w:rsidRPr="00564750">
              <w:t>Gesuikerde maïsvlokken</w:t>
            </w:r>
          </w:p>
        </w:tc>
      </w:tr>
      <w:tr w:rsidR="00E6683B" w:rsidTr="00D13D3A">
        <w:tc>
          <w:tcPr>
            <w:tcW w:w="4606" w:type="dxa"/>
            <w:shd w:val="clear" w:color="auto" w:fill="D9D9D9" w:themeFill="background1" w:themeFillShade="D9"/>
          </w:tcPr>
          <w:p w:rsidR="00E6683B" w:rsidRPr="00564750" w:rsidRDefault="00E6683B" w:rsidP="00C27177">
            <w:pPr>
              <w:spacing w:line="276" w:lineRule="auto"/>
              <w:rPr>
                <w:bCs/>
                <w:lang w:val="nl-NL"/>
              </w:rPr>
            </w:pPr>
            <w:r w:rsidRPr="00564750">
              <w:rPr>
                <w:bCs/>
                <w:lang w:val="nl-NL"/>
              </w:rPr>
              <w:t>Vanillepuddingpoeder</w:t>
            </w:r>
          </w:p>
        </w:tc>
        <w:tc>
          <w:tcPr>
            <w:tcW w:w="4606" w:type="dxa"/>
            <w:shd w:val="clear" w:color="auto" w:fill="D9D9D9" w:themeFill="background1" w:themeFillShade="D9"/>
          </w:tcPr>
          <w:p w:rsidR="00E6683B" w:rsidRPr="00564750" w:rsidRDefault="00E6683B" w:rsidP="00C27177">
            <w:pPr>
              <w:spacing w:line="276" w:lineRule="auto"/>
            </w:pPr>
            <w:r w:rsidRPr="00564750">
              <w:t>Tarwevlokken met chocolade</w:t>
            </w:r>
          </w:p>
        </w:tc>
      </w:tr>
      <w:tr w:rsidR="00E6683B" w:rsidTr="00D13D3A">
        <w:tc>
          <w:tcPr>
            <w:tcW w:w="4606" w:type="dxa"/>
            <w:shd w:val="clear" w:color="auto" w:fill="D9D9D9" w:themeFill="background1" w:themeFillShade="D9"/>
          </w:tcPr>
          <w:p w:rsidR="00E6683B" w:rsidRPr="00564750" w:rsidRDefault="00E6683B" w:rsidP="00C27177">
            <w:pPr>
              <w:spacing w:line="276" w:lineRule="auto"/>
              <w:rPr>
                <w:bCs/>
                <w:lang w:val="nl-NL"/>
              </w:rPr>
            </w:pPr>
          </w:p>
        </w:tc>
        <w:tc>
          <w:tcPr>
            <w:tcW w:w="4606" w:type="dxa"/>
            <w:shd w:val="clear" w:color="auto" w:fill="D9D9D9" w:themeFill="background1" w:themeFillShade="D9"/>
          </w:tcPr>
          <w:p w:rsidR="00E6683B" w:rsidRPr="00564750" w:rsidRDefault="00E6683B" w:rsidP="00C27177">
            <w:pPr>
              <w:spacing w:line="276" w:lineRule="auto"/>
            </w:pPr>
            <w:r w:rsidRPr="00564750">
              <w:t>Melkchocolade</w:t>
            </w:r>
          </w:p>
        </w:tc>
      </w:tr>
    </w:tbl>
    <w:p w:rsidR="00E6683B" w:rsidRDefault="00E6683B" w:rsidP="00C27177"/>
    <w:p w:rsidR="00E6683B" w:rsidRDefault="00E6683B" w:rsidP="00C27177">
      <w:r>
        <w:t>Er werden verschillende elementen in rekening gebracht om de productenlijst aan te passen waaronder:</w:t>
      </w:r>
    </w:p>
    <w:p w:rsidR="00E6683B" w:rsidRDefault="00E6683B" w:rsidP="00C27177">
      <w:pPr>
        <w:pStyle w:val="Lijstalinea"/>
        <w:numPr>
          <w:ilvl w:val="0"/>
          <w:numId w:val="25"/>
        </w:numPr>
      </w:pPr>
      <w:r>
        <w:t>De retour van het terrein: welke producten w</w:t>
      </w:r>
      <w:r w:rsidR="007A1555">
        <w:t>orden al dan niet geapprecieerd?</w:t>
      </w:r>
    </w:p>
    <w:p w:rsidR="00E6683B" w:rsidRDefault="00E6683B" w:rsidP="00C27177">
      <w:pPr>
        <w:pStyle w:val="Lijstalinea"/>
        <w:numPr>
          <w:ilvl w:val="0"/>
          <w:numId w:val="25"/>
        </w:numPr>
      </w:pPr>
      <w:r>
        <w:t xml:space="preserve">Verscheidenheid van de voorgestelde producten en dit binnen de productenlijst zelf, maar ook in vergelijking met voorgaande jaren. </w:t>
      </w:r>
    </w:p>
    <w:p w:rsidR="00E6683B" w:rsidRDefault="00E6683B" w:rsidP="00C27177">
      <w:pPr>
        <w:pStyle w:val="Lijstalinea"/>
        <w:numPr>
          <w:ilvl w:val="0"/>
          <w:numId w:val="25"/>
        </w:numPr>
      </w:pPr>
      <w:r>
        <w:t xml:space="preserve">De voedingskwaliteit: aandacht voor de </w:t>
      </w:r>
      <w:proofErr w:type="spellStart"/>
      <w:r>
        <w:t>glycemische</w:t>
      </w:r>
      <w:proofErr w:type="spellEnd"/>
      <w:r>
        <w:t xml:space="preserve"> index, plantaardige eiwitten, suiker, bewaarmiddelen, …</w:t>
      </w:r>
    </w:p>
    <w:p w:rsidR="00E6683B" w:rsidRDefault="00E6683B" w:rsidP="00C27177">
      <w:pPr>
        <w:pStyle w:val="Lijstalinea"/>
        <w:numPr>
          <w:ilvl w:val="0"/>
          <w:numId w:val="25"/>
        </w:numPr>
      </w:pPr>
      <w:r>
        <w:t>Duurzaamheid: bij het uitwerken van de technische fiches van de producten w</w:t>
      </w:r>
      <w:r w:rsidR="007A1555">
        <w:t xml:space="preserve">erd </w:t>
      </w:r>
      <w:r>
        <w:t xml:space="preserve">aandacht besteed aan </w:t>
      </w:r>
      <w:proofErr w:type="spellStart"/>
      <w:r>
        <w:t>duurzaamheidslabels</w:t>
      </w:r>
      <w:proofErr w:type="spellEnd"/>
      <w:r>
        <w:t xml:space="preserve">, het gebruik van palmolie, het gebruik van niet-gemodificeerde gewassen, … </w:t>
      </w:r>
    </w:p>
    <w:p w:rsidR="007A1555" w:rsidRDefault="007A1555" w:rsidP="00C27177">
      <w:r>
        <w:t>Dit resulteerde in</w:t>
      </w:r>
      <w:r w:rsidR="00905D07">
        <w:t>,</w:t>
      </w:r>
      <w:r>
        <w:t xml:space="preserve"> onder andere</w:t>
      </w:r>
      <w:r w:rsidR="00905D07">
        <w:t>,</w:t>
      </w:r>
      <w:r>
        <w:t xml:space="preserve"> volgende wijzigingen:</w:t>
      </w:r>
    </w:p>
    <w:p w:rsidR="006E3E4D" w:rsidRDefault="006E3E4D" w:rsidP="00C27177">
      <w:pPr>
        <w:pStyle w:val="Lijstalinea"/>
        <w:numPr>
          <w:ilvl w:val="0"/>
          <w:numId w:val="25"/>
        </w:numPr>
      </w:pPr>
      <w:r>
        <w:t xml:space="preserve">Het vervangen van rundsstoofvlees door kip in saus. </w:t>
      </w:r>
    </w:p>
    <w:p w:rsidR="006E3E4D" w:rsidRDefault="006E3E4D" w:rsidP="00C27177">
      <w:pPr>
        <w:pStyle w:val="Lijstalinea"/>
        <w:numPr>
          <w:ilvl w:val="0"/>
          <w:numId w:val="25"/>
        </w:numPr>
      </w:pPr>
      <w:r>
        <w:t xml:space="preserve">Het vervangen van zalm door sardienen afkomstig van duurzame visvangst. </w:t>
      </w:r>
    </w:p>
    <w:p w:rsidR="006E3E4D" w:rsidRDefault="006E3E4D" w:rsidP="00C27177">
      <w:pPr>
        <w:pStyle w:val="Lijstalinea"/>
        <w:numPr>
          <w:ilvl w:val="0"/>
          <w:numId w:val="25"/>
        </w:numPr>
      </w:pPr>
      <w:r>
        <w:t>Het vervangen van aardappelvlokken door couscous</w:t>
      </w:r>
      <w:r w:rsidR="00E74292">
        <w:t>.</w:t>
      </w:r>
    </w:p>
    <w:p w:rsidR="00826523" w:rsidRDefault="00826523" w:rsidP="00C27177">
      <w:pPr>
        <w:pStyle w:val="Lijstalinea"/>
        <w:numPr>
          <w:ilvl w:val="0"/>
          <w:numId w:val="25"/>
        </w:numPr>
      </w:pPr>
      <w:r>
        <w:t>De introductie van 2 andere types ontbijtgranen in ver</w:t>
      </w:r>
      <w:r w:rsidR="00905D07">
        <w:t>gelijking met voorgaande jaren.</w:t>
      </w:r>
    </w:p>
    <w:p w:rsidR="00905D07" w:rsidRDefault="00905D07" w:rsidP="00C27177">
      <w:pPr>
        <w:pStyle w:val="Lijstalinea"/>
        <w:numPr>
          <w:ilvl w:val="0"/>
          <w:numId w:val="25"/>
        </w:numPr>
      </w:pPr>
      <w:r>
        <w:lastRenderedPageBreak/>
        <w:t xml:space="preserve">De introductie van 2 andere types pasta in vergelijking met voorgaande jaren. </w:t>
      </w:r>
    </w:p>
    <w:p w:rsidR="00905D07" w:rsidRDefault="00905D07" w:rsidP="00C27177">
      <w:pPr>
        <w:pStyle w:val="Lijstalinea"/>
        <w:numPr>
          <w:ilvl w:val="0"/>
          <w:numId w:val="25"/>
        </w:numPr>
      </w:pPr>
      <w:r>
        <w:t xml:space="preserve">De keuze voor olijfolie in plaats van arachideolie, want meer geapprecieerd. </w:t>
      </w:r>
    </w:p>
    <w:p w:rsidR="00905D07" w:rsidRDefault="00905D07" w:rsidP="00C27177">
      <w:pPr>
        <w:pStyle w:val="Lijstalinea"/>
        <w:numPr>
          <w:ilvl w:val="0"/>
          <w:numId w:val="25"/>
        </w:numPr>
      </w:pPr>
      <w:r>
        <w:t xml:space="preserve">De keuze voor aardbeienconfituur in plaats van confituur van 4 vruchten, want meer geapprecieerd. </w:t>
      </w:r>
    </w:p>
    <w:p w:rsidR="007A1555" w:rsidRDefault="007A1555" w:rsidP="00C27177">
      <w:pPr>
        <w:pStyle w:val="Lijstalinea"/>
        <w:numPr>
          <w:ilvl w:val="0"/>
          <w:numId w:val="25"/>
        </w:numPr>
      </w:pPr>
      <w:r>
        <w:t>Plantaardige eiwitten, die voordien volledig ontbraken in de lijst, werden geïntroduceerd</w:t>
      </w:r>
      <w:r w:rsidR="00D13D3A">
        <w:t xml:space="preserve"> met het product linzen</w:t>
      </w:r>
      <w:r>
        <w:t>.</w:t>
      </w:r>
    </w:p>
    <w:p w:rsidR="007A1555" w:rsidRDefault="007A1555" w:rsidP="00C27177">
      <w:pPr>
        <w:pStyle w:val="Lijstalinea"/>
        <w:numPr>
          <w:ilvl w:val="0"/>
          <w:numId w:val="25"/>
        </w:numPr>
      </w:pPr>
      <w:r>
        <w:t>De fruitcocktail die heel veel suiker bevat, werd vervangen door appelmousseline zonder toegevoegde suikers.</w:t>
      </w:r>
    </w:p>
    <w:p w:rsidR="007A1555" w:rsidRDefault="007A1555" w:rsidP="00C27177">
      <w:pPr>
        <w:pStyle w:val="Lijstalinea"/>
        <w:numPr>
          <w:ilvl w:val="0"/>
          <w:numId w:val="25"/>
        </w:numPr>
      </w:pPr>
      <w:r>
        <w:t>Erwtjes en worteltjes, die veel suiker bevatten, werden vervangen door sperziebonen.</w:t>
      </w:r>
    </w:p>
    <w:p w:rsidR="007A1555" w:rsidRDefault="007A1555" w:rsidP="00C27177">
      <w:pPr>
        <w:pStyle w:val="Lijstalinea"/>
        <w:numPr>
          <w:ilvl w:val="0"/>
          <w:numId w:val="25"/>
        </w:numPr>
      </w:pPr>
      <w:r>
        <w:t>Parijse champignons, die nagenoeg geen voedingswaarde hebben, werden vervangen door smeerkaas. Dit laatste werd gekozen omdat er vraag was naar een extra product om op de boterham te smeren.</w:t>
      </w:r>
    </w:p>
    <w:p w:rsidR="00905D07" w:rsidRDefault="006E3E4D" w:rsidP="00C27177">
      <w:pPr>
        <w:pStyle w:val="Lijstalinea"/>
        <w:numPr>
          <w:ilvl w:val="0"/>
          <w:numId w:val="25"/>
        </w:numPr>
      </w:pPr>
      <w:r>
        <w:t xml:space="preserve">Het vervangen van vanillepuddingpoeder door melkchocolade als dessertproduct, want te gebruiken voor meer verschillende doeleinden. Bovendien was er in 2013 en 2014 erg veel vanillepuddingpoeder beschikbaar. </w:t>
      </w:r>
    </w:p>
    <w:p w:rsidR="00905D07" w:rsidRDefault="007A1555" w:rsidP="00C27177">
      <w:r>
        <w:t xml:space="preserve">Om de technische fiches van het lastenboek voor te bereiden heeft de BA bovendien een marktonderzoek uitgevoerd in samenwerking met een voedingsexpert. </w:t>
      </w:r>
      <w:r w:rsidR="00905D07">
        <w:t xml:space="preserve">Hiertoe werden de producten van de nieuwe lijst aangekocht in verschillende supermarkten en in verschillende prijsgamma’s. De aangekocht producten werden geanalyseerd op vlak van samenstelling en smaak teneinde de technische fiches voor het lastenboek 2015 te kunnen uitwerken. Dit proces werd eind 2014 afgerond. </w:t>
      </w:r>
    </w:p>
    <w:p w:rsidR="000E45F4" w:rsidRDefault="00BC3EE5" w:rsidP="00C27177">
      <w:pPr>
        <w:pStyle w:val="Kop3"/>
        <w:numPr>
          <w:ilvl w:val="1"/>
          <w:numId w:val="2"/>
        </w:numPr>
        <w:spacing w:after="240" w:line="276" w:lineRule="auto"/>
        <w:rPr>
          <w:lang w:val="en-US"/>
        </w:rPr>
      </w:pPr>
      <w:bookmarkStart w:id="15" w:name="_Toc422390658"/>
      <w:proofErr w:type="spellStart"/>
      <w:r>
        <w:rPr>
          <w:lang w:val="en-US"/>
        </w:rPr>
        <w:t>Gemeenschappelijke</w:t>
      </w:r>
      <w:proofErr w:type="spellEnd"/>
      <w:r>
        <w:rPr>
          <w:lang w:val="en-US"/>
        </w:rPr>
        <w:t xml:space="preserve"> </w:t>
      </w:r>
      <w:proofErr w:type="spellStart"/>
      <w:r>
        <w:rPr>
          <w:lang w:val="en-US"/>
        </w:rPr>
        <w:t>indicatoren</w:t>
      </w:r>
      <w:bookmarkEnd w:id="15"/>
      <w:proofErr w:type="spellEnd"/>
    </w:p>
    <w:p w:rsidR="00BC3EE5" w:rsidRDefault="00BC3EE5" w:rsidP="00C27177">
      <w:pPr>
        <w:pStyle w:val="Kop4"/>
        <w:numPr>
          <w:ilvl w:val="2"/>
          <w:numId w:val="2"/>
        </w:numPr>
        <w:spacing w:after="240" w:line="276" w:lineRule="auto"/>
        <w:rPr>
          <w:lang w:val="en-US"/>
        </w:rPr>
      </w:pPr>
      <w:proofErr w:type="spellStart"/>
      <w:r>
        <w:rPr>
          <w:lang w:val="en-US"/>
        </w:rPr>
        <w:t>Inputindicatoren</w:t>
      </w:r>
      <w:proofErr w:type="spellEnd"/>
    </w:p>
    <w:tbl>
      <w:tblPr>
        <w:tblStyle w:val="Tabelraster"/>
        <w:tblW w:w="0" w:type="auto"/>
        <w:tblLayout w:type="fixed"/>
        <w:tblLook w:val="04A0" w:firstRow="1" w:lastRow="0" w:firstColumn="1" w:lastColumn="0" w:noHBand="0" w:noVBand="1"/>
      </w:tblPr>
      <w:tblGrid>
        <w:gridCol w:w="1101"/>
        <w:gridCol w:w="4819"/>
        <w:gridCol w:w="992"/>
        <w:gridCol w:w="2268"/>
      </w:tblGrid>
      <w:tr w:rsidR="00BC3EE5" w:rsidTr="0039613D">
        <w:tc>
          <w:tcPr>
            <w:tcW w:w="1101" w:type="dxa"/>
            <w:shd w:val="clear" w:color="auto" w:fill="A6A6A6" w:themeFill="background1" w:themeFillShade="A6"/>
            <w:vAlign w:val="center"/>
          </w:tcPr>
          <w:p w:rsidR="00BC3EE5" w:rsidRDefault="00BC3EE5" w:rsidP="00C27177">
            <w:pPr>
              <w:spacing w:line="276" w:lineRule="auto"/>
              <w:jc w:val="left"/>
              <w:rPr>
                <w:lang w:val="en-US"/>
              </w:rPr>
            </w:pPr>
            <w:r>
              <w:rPr>
                <w:lang w:val="en-US"/>
              </w:rPr>
              <w:t>Indicator ID</w:t>
            </w:r>
          </w:p>
        </w:tc>
        <w:tc>
          <w:tcPr>
            <w:tcW w:w="4819" w:type="dxa"/>
            <w:shd w:val="clear" w:color="auto" w:fill="A6A6A6" w:themeFill="background1" w:themeFillShade="A6"/>
            <w:vAlign w:val="center"/>
          </w:tcPr>
          <w:p w:rsidR="00BC3EE5" w:rsidRDefault="00BC3EE5" w:rsidP="00C27177">
            <w:pPr>
              <w:spacing w:line="276" w:lineRule="auto"/>
              <w:jc w:val="left"/>
              <w:rPr>
                <w:lang w:val="en-US"/>
              </w:rPr>
            </w:pPr>
            <w:r>
              <w:rPr>
                <w:lang w:val="en-US"/>
              </w:rPr>
              <w:t>Indicator (</w:t>
            </w:r>
            <w:proofErr w:type="spellStart"/>
            <w:r>
              <w:rPr>
                <w:lang w:val="en-US"/>
              </w:rPr>
              <w:t>naam</w:t>
            </w:r>
            <w:proofErr w:type="spellEnd"/>
            <w:r>
              <w:rPr>
                <w:lang w:val="en-US"/>
              </w:rPr>
              <w:t>)</w:t>
            </w:r>
          </w:p>
        </w:tc>
        <w:tc>
          <w:tcPr>
            <w:tcW w:w="992" w:type="dxa"/>
            <w:shd w:val="clear" w:color="auto" w:fill="A6A6A6" w:themeFill="background1" w:themeFillShade="A6"/>
            <w:vAlign w:val="center"/>
          </w:tcPr>
          <w:p w:rsidR="00BC3EE5" w:rsidRDefault="00BC3EE5" w:rsidP="00C27177">
            <w:pPr>
              <w:spacing w:line="276" w:lineRule="auto"/>
              <w:jc w:val="left"/>
              <w:rPr>
                <w:lang w:val="en-US"/>
              </w:rPr>
            </w:pPr>
            <w:r>
              <w:rPr>
                <w:lang w:val="en-US"/>
              </w:rPr>
              <w:t>Meet-</w:t>
            </w:r>
          </w:p>
          <w:p w:rsidR="00BC3EE5" w:rsidRDefault="00BC3EE5" w:rsidP="00C27177">
            <w:pPr>
              <w:spacing w:line="276" w:lineRule="auto"/>
              <w:jc w:val="left"/>
              <w:rPr>
                <w:lang w:val="en-US"/>
              </w:rPr>
            </w:pPr>
            <w:proofErr w:type="spellStart"/>
            <w:r>
              <w:rPr>
                <w:lang w:val="en-US"/>
              </w:rPr>
              <w:t>eenheid</w:t>
            </w:r>
            <w:proofErr w:type="spellEnd"/>
          </w:p>
        </w:tc>
        <w:tc>
          <w:tcPr>
            <w:tcW w:w="2268" w:type="dxa"/>
            <w:shd w:val="clear" w:color="auto" w:fill="A6A6A6" w:themeFill="background1" w:themeFillShade="A6"/>
            <w:vAlign w:val="center"/>
          </w:tcPr>
          <w:p w:rsidR="00BC3EE5" w:rsidRDefault="00BC3EE5" w:rsidP="00C27177">
            <w:pPr>
              <w:spacing w:line="276" w:lineRule="auto"/>
              <w:jc w:val="left"/>
              <w:rPr>
                <w:lang w:val="en-US"/>
              </w:rPr>
            </w:pPr>
            <w:r>
              <w:rPr>
                <w:lang w:val="en-US"/>
              </w:rPr>
              <w:t>2014</w:t>
            </w:r>
          </w:p>
        </w:tc>
      </w:tr>
      <w:tr w:rsidR="00BC3EE5" w:rsidRPr="00BC3EE5" w:rsidTr="0039613D">
        <w:tc>
          <w:tcPr>
            <w:tcW w:w="1101" w:type="dxa"/>
            <w:shd w:val="clear" w:color="auto" w:fill="D9D9D9" w:themeFill="background1" w:themeFillShade="D9"/>
            <w:vAlign w:val="center"/>
          </w:tcPr>
          <w:p w:rsidR="00BC3EE5" w:rsidRDefault="00BC3EE5" w:rsidP="00C27177">
            <w:pPr>
              <w:spacing w:line="276" w:lineRule="auto"/>
              <w:jc w:val="center"/>
              <w:rPr>
                <w:lang w:val="en-US"/>
              </w:rPr>
            </w:pPr>
            <w:r>
              <w:rPr>
                <w:lang w:val="en-US"/>
              </w:rPr>
              <w:t>(1)</w:t>
            </w:r>
          </w:p>
        </w:tc>
        <w:tc>
          <w:tcPr>
            <w:tcW w:w="4819" w:type="dxa"/>
          </w:tcPr>
          <w:p w:rsidR="00BC3EE5" w:rsidRPr="00BC3EE5" w:rsidRDefault="00BC3EE5" w:rsidP="00C27177">
            <w:pPr>
              <w:spacing w:line="276" w:lineRule="auto"/>
            </w:pPr>
            <w:r>
              <w:rPr>
                <w:sz w:val="19"/>
                <w:szCs w:val="19"/>
              </w:rPr>
              <w:t>Totaalbedrag van de subsidiabele overheidsuitgaven dat is goedgekeurd in de documenten waarin de voorwaarden voor de steun voor concrete acties zijn aangegeven</w:t>
            </w:r>
          </w:p>
        </w:tc>
        <w:tc>
          <w:tcPr>
            <w:tcW w:w="992" w:type="dxa"/>
          </w:tcPr>
          <w:p w:rsidR="00BC3EE5" w:rsidRPr="00BC3EE5" w:rsidRDefault="00BC3EE5" w:rsidP="00C27177">
            <w:pPr>
              <w:spacing w:line="276" w:lineRule="auto"/>
            </w:pPr>
            <w:r>
              <w:t>EUR</w:t>
            </w:r>
          </w:p>
        </w:tc>
        <w:tc>
          <w:tcPr>
            <w:tcW w:w="2268" w:type="dxa"/>
            <w:vAlign w:val="center"/>
          </w:tcPr>
          <w:p w:rsidR="00BC3EE5" w:rsidRPr="00BC3EE5" w:rsidRDefault="00BC3EE5" w:rsidP="00C27177">
            <w:pPr>
              <w:spacing w:line="276" w:lineRule="auto"/>
              <w:jc w:val="right"/>
            </w:pPr>
            <w:r>
              <w:t>11.871.000,00</w:t>
            </w:r>
          </w:p>
        </w:tc>
      </w:tr>
      <w:tr w:rsidR="00BC3EE5" w:rsidRPr="00BC3EE5" w:rsidTr="0039613D">
        <w:tc>
          <w:tcPr>
            <w:tcW w:w="1101" w:type="dxa"/>
            <w:shd w:val="clear" w:color="auto" w:fill="D9D9D9" w:themeFill="background1" w:themeFillShade="D9"/>
            <w:vAlign w:val="center"/>
          </w:tcPr>
          <w:p w:rsidR="00BC3EE5" w:rsidRDefault="00BC3EE5" w:rsidP="00C27177">
            <w:pPr>
              <w:spacing w:line="276" w:lineRule="auto"/>
              <w:jc w:val="center"/>
              <w:rPr>
                <w:lang w:val="en-US"/>
              </w:rPr>
            </w:pPr>
            <w:r>
              <w:rPr>
                <w:lang w:val="en-US"/>
              </w:rPr>
              <w:t>(2)</w:t>
            </w:r>
          </w:p>
        </w:tc>
        <w:tc>
          <w:tcPr>
            <w:tcW w:w="4819" w:type="dxa"/>
          </w:tcPr>
          <w:p w:rsidR="00BC3EE5" w:rsidRPr="00BC3EE5" w:rsidRDefault="00BC3EE5" w:rsidP="00C27177">
            <w:pPr>
              <w:spacing w:line="276" w:lineRule="auto"/>
            </w:pPr>
            <w:r>
              <w:rPr>
                <w:sz w:val="19"/>
                <w:szCs w:val="19"/>
              </w:rPr>
              <w:t>Totaalbedrag van door begunstigden gedane subsidiabele overheidsuitgaven dat is betaald voor de uitvoering van concrete acties</w:t>
            </w:r>
          </w:p>
        </w:tc>
        <w:tc>
          <w:tcPr>
            <w:tcW w:w="992" w:type="dxa"/>
          </w:tcPr>
          <w:p w:rsidR="00BC3EE5" w:rsidRPr="00BC3EE5" w:rsidRDefault="00BC3EE5" w:rsidP="00C27177">
            <w:pPr>
              <w:spacing w:line="276" w:lineRule="auto"/>
            </w:pPr>
            <w:r>
              <w:t>EUR</w:t>
            </w:r>
          </w:p>
        </w:tc>
        <w:tc>
          <w:tcPr>
            <w:tcW w:w="2268" w:type="dxa"/>
            <w:vAlign w:val="center"/>
          </w:tcPr>
          <w:p w:rsidR="00BC3EE5" w:rsidRPr="00BC3EE5" w:rsidRDefault="00BC3EE5" w:rsidP="00C27177">
            <w:pPr>
              <w:spacing w:line="276" w:lineRule="auto"/>
              <w:jc w:val="right"/>
            </w:pPr>
            <w:r>
              <w:t>9.687.087,65</w:t>
            </w:r>
          </w:p>
        </w:tc>
      </w:tr>
      <w:tr w:rsidR="00BC3EE5" w:rsidRPr="00BC3EE5" w:rsidTr="0039613D">
        <w:tc>
          <w:tcPr>
            <w:tcW w:w="1101" w:type="dxa"/>
            <w:shd w:val="clear" w:color="auto" w:fill="D9D9D9" w:themeFill="background1" w:themeFillShade="D9"/>
            <w:vAlign w:val="center"/>
          </w:tcPr>
          <w:p w:rsidR="00BC3EE5" w:rsidRDefault="00BC3EE5" w:rsidP="00C27177">
            <w:pPr>
              <w:spacing w:line="276" w:lineRule="auto"/>
              <w:jc w:val="center"/>
              <w:rPr>
                <w:lang w:val="en-US"/>
              </w:rPr>
            </w:pPr>
            <w:r>
              <w:rPr>
                <w:lang w:val="en-US"/>
              </w:rPr>
              <w:t>(2a)</w:t>
            </w:r>
          </w:p>
        </w:tc>
        <w:tc>
          <w:tcPr>
            <w:tcW w:w="4819" w:type="dxa"/>
          </w:tcPr>
          <w:p w:rsidR="00BC3EE5" w:rsidRPr="00BC3EE5" w:rsidRDefault="00BC3EE5" w:rsidP="00C27177">
            <w:pPr>
              <w:spacing w:line="276" w:lineRule="auto"/>
            </w:pPr>
            <w:r>
              <w:rPr>
                <w:sz w:val="19"/>
                <w:szCs w:val="19"/>
              </w:rPr>
              <w:t>Totaalbedrag van door begunstigden gedane subsidiabele overheidsuitgaven dat is betaald voor de uitvoering van concrete acties met betrekking tot voedselhulp</w:t>
            </w:r>
          </w:p>
        </w:tc>
        <w:tc>
          <w:tcPr>
            <w:tcW w:w="992" w:type="dxa"/>
          </w:tcPr>
          <w:p w:rsidR="00BC3EE5" w:rsidRPr="00BC3EE5" w:rsidRDefault="00BC3EE5" w:rsidP="00C27177">
            <w:pPr>
              <w:spacing w:line="276" w:lineRule="auto"/>
            </w:pPr>
            <w:r>
              <w:t>EUR</w:t>
            </w:r>
          </w:p>
        </w:tc>
        <w:tc>
          <w:tcPr>
            <w:tcW w:w="2268" w:type="dxa"/>
            <w:vAlign w:val="center"/>
          </w:tcPr>
          <w:p w:rsidR="00BC3EE5" w:rsidRPr="00BC3EE5" w:rsidRDefault="00BC3EE5" w:rsidP="00C27177">
            <w:pPr>
              <w:spacing w:line="276" w:lineRule="auto"/>
              <w:jc w:val="right"/>
            </w:pPr>
            <w:r>
              <w:t>9.687.087,65</w:t>
            </w:r>
          </w:p>
        </w:tc>
      </w:tr>
      <w:tr w:rsidR="00BC3EE5" w:rsidRPr="00BC3EE5" w:rsidTr="0039613D">
        <w:tc>
          <w:tcPr>
            <w:tcW w:w="1101" w:type="dxa"/>
            <w:shd w:val="clear" w:color="auto" w:fill="D9D9D9" w:themeFill="background1" w:themeFillShade="D9"/>
            <w:vAlign w:val="center"/>
          </w:tcPr>
          <w:p w:rsidR="00BC3EE5" w:rsidRDefault="00BC3EE5" w:rsidP="00C27177">
            <w:pPr>
              <w:spacing w:line="276" w:lineRule="auto"/>
              <w:jc w:val="center"/>
              <w:rPr>
                <w:lang w:val="en-US"/>
              </w:rPr>
            </w:pPr>
            <w:r>
              <w:rPr>
                <w:lang w:val="en-US"/>
              </w:rPr>
              <w:t>(2b)</w:t>
            </w:r>
          </w:p>
        </w:tc>
        <w:tc>
          <w:tcPr>
            <w:tcW w:w="4819" w:type="dxa"/>
          </w:tcPr>
          <w:p w:rsidR="00BC3EE5" w:rsidRPr="00BC3EE5" w:rsidRDefault="00BC3EE5" w:rsidP="00C27177">
            <w:pPr>
              <w:spacing w:line="276" w:lineRule="auto"/>
            </w:pPr>
            <w:r>
              <w:rPr>
                <w:sz w:val="19"/>
                <w:szCs w:val="19"/>
              </w:rPr>
              <w:t>Totaalbedrag van door begunstigden gedane subsidiabele overheidsuitgaven dat is betaald voor de uitvoering van concrete acties met betrekking tot fundamentele materiële bijstand</w:t>
            </w:r>
          </w:p>
        </w:tc>
        <w:tc>
          <w:tcPr>
            <w:tcW w:w="992" w:type="dxa"/>
          </w:tcPr>
          <w:p w:rsidR="00BC3EE5" w:rsidRPr="00BC3EE5" w:rsidRDefault="00BC3EE5" w:rsidP="00C27177">
            <w:pPr>
              <w:spacing w:line="276" w:lineRule="auto"/>
            </w:pPr>
            <w:r>
              <w:t>EUR</w:t>
            </w:r>
          </w:p>
        </w:tc>
        <w:tc>
          <w:tcPr>
            <w:tcW w:w="2268" w:type="dxa"/>
            <w:vAlign w:val="center"/>
          </w:tcPr>
          <w:p w:rsidR="00BC3EE5" w:rsidRPr="00BC3EE5" w:rsidRDefault="00BC3EE5" w:rsidP="00C27177">
            <w:pPr>
              <w:spacing w:line="276" w:lineRule="auto"/>
              <w:jc w:val="right"/>
            </w:pPr>
            <w:r>
              <w:t>0</w:t>
            </w:r>
          </w:p>
        </w:tc>
      </w:tr>
      <w:tr w:rsidR="00BC3EE5" w:rsidRPr="00BC3EE5" w:rsidTr="0039613D">
        <w:tc>
          <w:tcPr>
            <w:tcW w:w="1101" w:type="dxa"/>
            <w:shd w:val="clear" w:color="auto" w:fill="D9D9D9" w:themeFill="background1" w:themeFillShade="D9"/>
            <w:vAlign w:val="center"/>
          </w:tcPr>
          <w:p w:rsidR="00BC3EE5" w:rsidRDefault="00BC3EE5" w:rsidP="00C27177">
            <w:pPr>
              <w:spacing w:line="276" w:lineRule="auto"/>
              <w:jc w:val="center"/>
              <w:rPr>
                <w:lang w:val="en-US"/>
              </w:rPr>
            </w:pPr>
            <w:r>
              <w:rPr>
                <w:lang w:val="en-US"/>
              </w:rPr>
              <w:t>(3)</w:t>
            </w:r>
          </w:p>
        </w:tc>
        <w:tc>
          <w:tcPr>
            <w:tcW w:w="4819" w:type="dxa"/>
          </w:tcPr>
          <w:p w:rsidR="00BC3EE5" w:rsidRPr="00BC3EE5" w:rsidRDefault="00BC3EE5" w:rsidP="00C27177">
            <w:pPr>
              <w:spacing w:line="276" w:lineRule="auto"/>
            </w:pPr>
            <w:r>
              <w:rPr>
                <w:sz w:val="19"/>
                <w:szCs w:val="19"/>
              </w:rPr>
              <w:t>Totaalbedrag van de bij de Commissie gedeclareerde subsidiabele overheidsuitgaven</w:t>
            </w:r>
          </w:p>
        </w:tc>
        <w:tc>
          <w:tcPr>
            <w:tcW w:w="992" w:type="dxa"/>
          </w:tcPr>
          <w:p w:rsidR="00BC3EE5" w:rsidRPr="00BC3EE5" w:rsidRDefault="00BC3EE5" w:rsidP="00C27177">
            <w:pPr>
              <w:spacing w:line="276" w:lineRule="auto"/>
            </w:pPr>
            <w:r>
              <w:t>EUR</w:t>
            </w:r>
          </w:p>
        </w:tc>
        <w:tc>
          <w:tcPr>
            <w:tcW w:w="2268" w:type="dxa"/>
            <w:vAlign w:val="center"/>
          </w:tcPr>
          <w:p w:rsidR="00BC3EE5" w:rsidRPr="00BC3EE5" w:rsidRDefault="00BC3EE5" w:rsidP="00C27177">
            <w:pPr>
              <w:spacing w:line="276" w:lineRule="auto"/>
              <w:jc w:val="right"/>
            </w:pPr>
            <w:r>
              <w:t>0</w:t>
            </w:r>
          </w:p>
        </w:tc>
      </w:tr>
    </w:tbl>
    <w:p w:rsidR="0039613D" w:rsidRDefault="0039613D" w:rsidP="00E11EE1">
      <w:pPr>
        <w:rPr>
          <w:lang w:val="en-US"/>
        </w:rPr>
      </w:pPr>
    </w:p>
    <w:p w:rsidR="000E45F4" w:rsidRDefault="007F1AF8" w:rsidP="00C27177">
      <w:pPr>
        <w:pStyle w:val="Kop4"/>
        <w:numPr>
          <w:ilvl w:val="2"/>
          <w:numId w:val="2"/>
        </w:numPr>
        <w:spacing w:line="276" w:lineRule="auto"/>
        <w:rPr>
          <w:lang w:val="en-US"/>
        </w:rPr>
      </w:pPr>
      <w:proofErr w:type="spellStart"/>
      <w:r>
        <w:rPr>
          <w:lang w:val="en-US"/>
        </w:rPr>
        <w:t>Outputindicatoren</w:t>
      </w:r>
      <w:proofErr w:type="spellEnd"/>
      <w:r>
        <w:rPr>
          <w:lang w:val="en-US"/>
        </w:rPr>
        <w:t xml:space="preserve"> </w:t>
      </w:r>
      <w:proofErr w:type="spellStart"/>
      <w:r>
        <w:rPr>
          <w:lang w:val="en-US"/>
        </w:rPr>
        <w:t>betreffende</w:t>
      </w:r>
      <w:proofErr w:type="spellEnd"/>
      <w:r>
        <w:rPr>
          <w:lang w:val="en-US"/>
        </w:rPr>
        <w:t xml:space="preserve"> </w:t>
      </w:r>
      <w:proofErr w:type="spellStart"/>
      <w:r>
        <w:rPr>
          <w:lang w:val="en-US"/>
        </w:rPr>
        <w:t>verstrekte</w:t>
      </w:r>
      <w:proofErr w:type="spellEnd"/>
      <w:r>
        <w:rPr>
          <w:lang w:val="en-US"/>
        </w:rPr>
        <w:t xml:space="preserve"> </w:t>
      </w:r>
      <w:proofErr w:type="spellStart"/>
      <w:r>
        <w:rPr>
          <w:lang w:val="en-US"/>
        </w:rPr>
        <w:t>voedselhulp</w:t>
      </w:r>
      <w:proofErr w:type="spellEnd"/>
    </w:p>
    <w:tbl>
      <w:tblPr>
        <w:tblStyle w:val="Tabelraster"/>
        <w:tblW w:w="0" w:type="auto"/>
        <w:tblLayout w:type="fixed"/>
        <w:tblLook w:val="04A0" w:firstRow="1" w:lastRow="0" w:firstColumn="1" w:lastColumn="0" w:noHBand="0" w:noVBand="1"/>
      </w:tblPr>
      <w:tblGrid>
        <w:gridCol w:w="1101"/>
        <w:gridCol w:w="4819"/>
        <w:gridCol w:w="992"/>
        <w:gridCol w:w="2268"/>
      </w:tblGrid>
      <w:tr w:rsidR="0039613D" w:rsidTr="0039613D">
        <w:tc>
          <w:tcPr>
            <w:tcW w:w="1101" w:type="dxa"/>
            <w:shd w:val="clear" w:color="auto" w:fill="A6A6A6" w:themeFill="background1" w:themeFillShade="A6"/>
            <w:vAlign w:val="center"/>
          </w:tcPr>
          <w:p w:rsidR="0039613D" w:rsidRDefault="0039613D" w:rsidP="00C27177">
            <w:pPr>
              <w:spacing w:line="276" w:lineRule="auto"/>
              <w:jc w:val="left"/>
              <w:rPr>
                <w:lang w:val="en-US"/>
              </w:rPr>
            </w:pPr>
            <w:r>
              <w:rPr>
                <w:lang w:val="en-US"/>
              </w:rPr>
              <w:lastRenderedPageBreak/>
              <w:t>Indicator ID</w:t>
            </w:r>
          </w:p>
        </w:tc>
        <w:tc>
          <w:tcPr>
            <w:tcW w:w="4819" w:type="dxa"/>
            <w:shd w:val="clear" w:color="auto" w:fill="A6A6A6" w:themeFill="background1" w:themeFillShade="A6"/>
            <w:vAlign w:val="center"/>
          </w:tcPr>
          <w:p w:rsidR="0039613D" w:rsidRDefault="0039613D" w:rsidP="00C27177">
            <w:pPr>
              <w:spacing w:line="276" w:lineRule="auto"/>
              <w:jc w:val="left"/>
              <w:rPr>
                <w:lang w:val="en-US"/>
              </w:rPr>
            </w:pPr>
            <w:r>
              <w:rPr>
                <w:lang w:val="en-US"/>
              </w:rPr>
              <w:t>Indicator (</w:t>
            </w:r>
            <w:proofErr w:type="spellStart"/>
            <w:r>
              <w:rPr>
                <w:lang w:val="en-US"/>
              </w:rPr>
              <w:t>naam</w:t>
            </w:r>
            <w:proofErr w:type="spellEnd"/>
            <w:r>
              <w:rPr>
                <w:lang w:val="en-US"/>
              </w:rPr>
              <w:t>)</w:t>
            </w:r>
          </w:p>
        </w:tc>
        <w:tc>
          <w:tcPr>
            <w:tcW w:w="992" w:type="dxa"/>
            <w:shd w:val="clear" w:color="auto" w:fill="A6A6A6" w:themeFill="background1" w:themeFillShade="A6"/>
            <w:vAlign w:val="center"/>
          </w:tcPr>
          <w:p w:rsidR="0039613D" w:rsidRDefault="0039613D" w:rsidP="00C27177">
            <w:pPr>
              <w:spacing w:line="276" w:lineRule="auto"/>
              <w:jc w:val="left"/>
              <w:rPr>
                <w:lang w:val="en-US"/>
              </w:rPr>
            </w:pPr>
            <w:r>
              <w:rPr>
                <w:lang w:val="en-US"/>
              </w:rPr>
              <w:t>Meet-</w:t>
            </w:r>
          </w:p>
          <w:p w:rsidR="0039613D" w:rsidRDefault="0039613D" w:rsidP="00C27177">
            <w:pPr>
              <w:spacing w:line="276" w:lineRule="auto"/>
              <w:jc w:val="left"/>
              <w:rPr>
                <w:lang w:val="en-US"/>
              </w:rPr>
            </w:pPr>
            <w:proofErr w:type="spellStart"/>
            <w:r>
              <w:rPr>
                <w:lang w:val="en-US"/>
              </w:rPr>
              <w:t>eenheid</w:t>
            </w:r>
            <w:proofErr w:type="spellEnd"/>
          </w:p>
        </w:tc>
        <w:tc>
          <w:tcPr>
            <w:tcW w:w="2268" w:type="dxa"/>
            <w:shd w:val="clear" w:color="auto" w:fill="A6A6A6" w:themeFill="background1" w:themeFillShade="A6"/>
            <w:vAlign w:val="center"/>
          </w:tcPr>
          <w:p w:rsidR="0039613D" w:rsidRDefault="0039613D" w:rsidP="00C27177">
            <w:pPr>
              <w:spacing w:line="276" w:lineRule="auto"/>
              <w:jc w:val="left"/>
              <w:rPr>
                <w:lang w:val="en-US"/>
              </w:rPr>
            </w:pPr>
            <w:r>
              <w:rPr>
                <w:lang w:val="en-US"/>
              </w:rPr>
              <w:t>2014</w:t>
            </w:r>
          </w:p>
        </w:tc>
      </w:tr>
      <w:tr w:rsidR="0039613D" w:rsidRPr="00BC3EE5" w:rsidTr="0039613D">
        <w:tc>
          <w:tcPr>
            <w:tcW w:w="1101" w:type="dxa"/>
            <w:shd w:val="clear" w:color="auto" w:fill="D9D9D9" w:themeFill="background1" w:themeFillShade="D9"/>
            <w:vAlign w:val="center"/>
          </w:tcPr>
          <w:p w:rsidR="0039613D" w:rsidRDefault="0039613D" w:rsidP="00C27177">
            <w:pPr>
              <w:spacing w:line="276" w:lineRule="auto"/>
              <w:jc w:val="center"/>
              <w:rPr>
                <w:lang w:val="en-US"/>
              </w:rPr>
            </w:pPr>
            <w:r>
              <w:rPr>
                <w:lang w:val="en-US"/>
              </w:rPr>
              <w:t>(4)</w:t>
            </w:r>
          </w:p>
        </w:tc>
        <w:tc>
          <w:tcPr>
            <w:tcW w:w="4819" w:type="dxa"/>
          </w:tcPr>
          <w:p w:rsidR="0039613D" w:rsidRPr="00BC3EE5" w:rsidRDefault="0039613D" w:rsidP="00C27177">
            <w:pPr>
              <w:spacing w:line="276" w:lineRule="auto"/>
            </w:pPr>
            <w:r>
              <w:rPr>
                <w:sz w:val="19"/>
                <w:szCs w:val="19"/>
              </w:rPr>
              <w:t>Hoeveelheid fruit en groenten</w:t>
            </w:r>
          </w:p>
        </w:tc>
        <w:tc>
          <w:tcPr>
            <w:tcW w:w="992" w:type="dxa"/>
          </w:tcPr>
          <w:p w:rsidR="0039613D" w:rsidRPr="00BC3EE5" w:rsidRDefault="0039613D" w:rsidP="00C27177">
            <w:pPr>
              <w:spacing w:line="276" w:lineRule="auto"/>
            </w:pPr>
            <w:r>
              <w:t>Ton</w:t>
            </w:r>
          </w:p>
        </w:tc>
        <w:tc>
          <w:tcPr>
            <w:tcW w:w="2268" w:type="dxa"/>
            <w:vAlign w:val="center"/>
          </w:tcPr>
          <w:p w:rsidR="0039613D" w:rsidRPr="00BC3EE5" w:rsidRDefault="00B92CC1" w:rsidP="00C27177">
            <w:pPr>
              <w:spacing w:line="276" w:lineRule="auto"/>
              <w:jc w:val="right"/>
            </w:pPr>
            <w:r>
              <w:t>516,24</w:t>
            </w:r>
          </w:p>
        </w:tc>
      </w:tr>
      <w:tr w:rsidR="0039613D" w:rsidRPr="00BC3EE5" w:rsidTr="0039613D">
        <w:tc>
          <w:tcPr>
            <w:tcW w:w="1101" w:type="dxa"/>
            <w:shd w:val="clear" w:color="auto" w:fill="D9D9D9" w:themeFill="background1" w:themeFillShade="D9"/>
            <w:vAlign w:val="center"/>
          </w:tcPr>
          <w:p w:rsidR="0039613D" w:rsidRDefault="0039613D" w:rsidP="00C27177">
            <w:pPr>
              <w:spacing w:line="276" w:lineRule="auto"/>
              <w:jc w:val="center"/>
              <w:rPr>
                <w:lang w:val="en-US"/>
              </w:rPr>
            </w:pPr>
            <w:r>
              <w:rPr>
                <w:lang w:val="en-US"/>
              </w:rPr>
              <w:t>(5)</w:t>
            </w:r>
          </w:p>
        </w:tc>
        <w:tc>
          <w:tcPr>
            <w:tcW w:w="4819" w:type="dxa"/>
          </w:tcPr>
          <w:p w:rsidR="0039613D" w:rsidRPr="00BC3EE5" w:rsidRDefault="0039613D" w:rsidP="00C27177">
            <w:pPr>
              <w:spacing w:line="276" w:lineRule="auto"/>
            </w:pPr>
            <w:r>
              <w:rPr>
                <w:sz w:val="19"/>
                <w:szCs w:val="19"/>
              </w:rPr>
              <w:t>Hoeveelheid vlees, eieren, vis, schaal- en schelpdieren</w:t>
            </w:r>
          </w:p>
        </w:tc>
        <w:tc>
          <w:tcPr>
            <w:tcW w:w="992" w:type="dxa"/>
          </w:tcPr>
          <w:p w:rsidR="0039613D" w:rsidRPr="00BC3EE5" w:rsidRDefault="0039613D" w:rsidP="00C27177">
            <w:pPr>
              <w:spacing w:line="276" w:lineRule="auto"/>
            </w:pPr>
            <w:r>
              <w:t>Ton</w:t>
            </w:r>
          </w:p>
        </w:tc>
        <w:tc>
          <w:tcPr>
            <w:tcW w:w="2268" w:type="dxa"/>
            <w:vAlign w:val="center"/>
          </w:tcPr>
          <w:p w:rsidR="0039613D" w:rsidRPr="00B92CC1" w:rsidRDefault="00B92CC1" w:rsidP="00C27177">
            <w:pPr>
              <w:spacing w:line="276" w:lineRule="auto"/>
              <w:jc w:val="right"/>
            </w:pPr>
            <w:r w:rsidRPr="00B92CC1">
              <w:t>582,28</w:t>
            </w:r>
          </w:p>
        </w:tc>
      </w:tr>
      <w:tr w:rsidR="0039613D" w:rsidRPr="00BC3EE5" w:rsidTr="0039613D">
        <w:tc>
          <w:tcPr>
            <w:tcW w:w="1101" w:type="dxa"/>
            <w:shd w:val="clear" w:color="auto" w:fill="D9D9D9" w:themeFill="background1" w:themeFillShade="D9"/>
            <w:vAlign w:val="center"/>
          </w:tcPr>
          <w:p w:rsidR="0039613D" w:rsidRPr="0039613D" w:rsidRDefault="0039613D" w:rsidP="00C27177">
            <w:pPr>
              <w:spacing w:line="276" w:lineRule="auto"/>
              <w:jc w:val="center"/>
            </w:pPr>
            <w:r>
              <w:t>(6)</w:t>
            </w:r>
          </w:p>
        </w:tc>
        <w:tc>
          <w:tcPr>
            <w:tcW w:w="4819" w:type="dxa"/>
          </w:tcPr>
          <w:p w:rsidR="0039613D" w:rsidRPr="00BC3EE5" w:rsidRDefault="0039613D" w:rsidP="00C27177">
            <w:pPr>
              <w:spacing w:line="276" w:lineRule="auto"/>
            </w:pPr>
            <w:r>
              <w:rPr>
                <w:sz w:val="19"/>
                <w:szCs w:val="19"/>
              </w:rPr>
              <w:t xml:space="preserve">Hoeveelheid meel, brood, aardappelen, rijst en andere </w:t>
            </w:r>
            <w:proofErr w:type="spellStart"/>
            <w:r>
              <w:rPr>
                <w:sz w:val="19"/>
                <w:szCs w:val="19"/>
              </w:rPr>
              <w:t>zetmeelhoudende</w:t>
            </w:r>
            <w:proofErr w:type="spellEnd"/>
            <w:r>
              <w:rPr>
                <w:sz w:val="19"/>
                <w:szCs w:val="19"/>
              </w:rPr>
              <w:t xml:space="preserve"> producten</w:t>
            </w:r>
          </w:p>
        </w:tc>
        <w:tc>
          <w:tcPr>
            <w:tcW w:w="992" w:type="dxa"/>
          </w:tcPr>
          <w:p w:rsidR="0039613D" w:rsidRPr="00BC3EE5" w:rsidRDefault="0039613D" w:rsidP="00C27177">
            <w:pPr>
              <w:spacing w:line="276" w:lineRule="auto"/>
            </w:pPr>
            <w:r>
              <w:t>Ton</w:t>
            </w:r>
          </w:p>
        </w:tc>
        <w:tc>
          <w:tcPr>
            <w:tcW w:w="2268" w:type="dxa"/>
            <w:vAlign w:val="center"/>
          </w:tcPr>
          <w:p w:rsidR="0039613D" w:rsidRPr="00B92CC1" w:rsidRDefault="00B92CC1" w:rsidP="00B92CC1">
            <w:pPr>
              <w:spacing w:line="276" w:lineRule="auto"/>
              <w:jc w:val="right"/>
            </w:pPr>
            <w:r w:rsidRPr="00B92CC1">
              <w:t>775,66</w:t>
            </w:r>
          </w:p>
        </w:tc>
      </w:tr>
      <w:tr w:rsidR="0039613D" w:rsidRPr="00BC3EE5" w:rsidTr="0039613D">
        <w:tc>
          <w:tcPr>
            <w:tcW w:w="1101" w:type="dxa"/>
            <w:shd w:val="clear" w:color="auto" w:fill="D9D9D9" w:themeFill="background1" w:themeFillShade="D9"/>
            <w:vAlign w:val="center"/>
          </w:tcPr>
          <w:p w:rsidR="0039613D" w:rsidRPr="0039613D" w:rsidRDefault="0039613D" w:rsidP="00C27177">
            <w:pPr>
              <w:spacing w:line="276" w:lineRule="auto"/>
              <w:jc w:val="center"/>
            </w:pPr>
            <w:r>
              <w:t>(7)</w:t>
            </w:r>
          </w:p>
        </w:tc>
        <w:tc>
          <w:tcPr>
            <w:tcW w:w="4819" w:type="dxa"/>
          </w:tcPr>
          <w:p w:rsidR="0039613D" w:rsidRPr="00BC3EE5" w:rsidRDefault="0039613D" w:rsidP="00C27177">
            <w:pPr>
              <w:spacing w:line="276" w:lineRule="auto"/>
            </w:pPr>
            <w:r>
              <w:rPr>
                <w:sz w:val="19"/>
                <w:szCs w:val="19"/>
              </w:rPr>
              <w:t>Hoeveelheid suiker</w:t>
            </w:r>
          </w:p>
        </w:tc>
        <w:tc>
          <w:tcPr>
            <w:tcW w:w="992" w:type="dxa"/>
          </w:tcPr>
          <w:p w:rsidR="0039613D" w:rsidRPr="00BC3EE5" w:rsidRDefault="0039613D" w:rsidP="00C27177">
            <w:pPr>
              <w:spacing w:line="276" w:lineRule="auto"/>
            </w:pPr>
            <w:r>
              <w:t>Ton</w:t>
            </w:r>
          </w:p>
        </w:tc>
        <w:tc>
          <w:tcPr>
            <w:tcW w:w="2268" w:type="dxa"/>
            <w:vAlign w:val="center"/>
          </w:tcPr>
          <w:p w:rsidR="0039613D" w:rsidRPr="00BC3EE5" w:rsidRDefault="00B92CC1" w:rsidP="00C27177">
            <w:pPr>
              <w:spacing w:line="276" w:lineRule="auto"/>
              <w:jc w:val="right"/>
            </w:pPr>
            <w:r>
              <w:t>0</w:t>
            </w:r>
          </w:p>
        </w:tc>
      </w:tr>
      <w:tr w:rsidR="0039613D" w:rsidRPr="00BC3EE5" w:rsidTr="0039613D">
        <w:tc>
          <w:tcPr>
            <w:tcW w:w="1101" w:type="dxa"/>
            <w:shd w:val="clear" w:color="auto" w:fill="D9D9D9" w:themeFill="background1" w:themeFillShade="D9"/>
            <w:vAlign w:val="center"/>
          </w:tcPr>
          <w:p w:rsidR="0039613D" w:rsidRPr="0039613D" w:rsidRDefault="0039613D" w:rsidP="00C27177">
            <w:pPr>
              <w:spacing w:line="276" w:lineRule="auto"/>
              <w:jc w:val="center"/>
            </w:pPr>
            <w:r>
              <w:t>(8)</w:t>
            </w:r>
          </w:p>
        </w:tc>
        <w:tc>
          <w:tcPr>
            <w:tcW w:w="4819" w:type="dxa"/>
          </w:tcPr>
          <w:p w:rsidR="0039613D" w:rsidRPr="00BC3EE5" w:rsidRDefault="0039613D" w:rsidP="00C27177">
            <w:pPr>
              <w:spacing w:line="276" w:lineRule="auto"/>
            </w:pPr>
            <w:r>
              <w:rPr>
                <w:sz w:val="19"/>
                <w:szCs w:val="19"/>
              </w:rPr>
              <w:t>Hoeveelheid zuivelproducten</w:t>
            </w:r>
          </w:p>
        </w:tc>
        <w:tc>
          <w:tcPr>
            <w:tcW w:w="992" w:type="dxa"/>
          </w:tcPr>
          <w:p w:rsidR="0039613D" w:rsidRPr="00BC3EE5" w:rsidRDefault="0039613D" w:rsidP="00C27177">
            <w:pPr>
              <w:spacing w:line="276" w:lineRule="auto"/>
            </w:pPr>
            <w:r>
              <w:t>Ton</w:t>
            </w:r>
          </w:p>
        </w:tc>
        <w:tc>
          <w:tcPr>
            <w:tcW w:w="2268" w:type="dxa"/>
            <w:vAlign w:val="center"/>
          </w:tcPr>
          <w:p w:rsidR="0039613D" w:rsidRPr="00482D77" w:rsidRDefault="00482D77" w:rsidP="00482D77">
            <w:pPr>
              <w:spacing w:line="276" w:lineRule="auto"/>
              <w:jc w:val="right"/>
            </w:pPr>
            <w:r w:rsidRPr="00482D77">
              <w:t>2.153,95</w:t>
            </w:r>
          </w:p>
        </w:tc>
      </w:tr>
      <w:tr w:rsidR="0039613D" w:rsidRPr="00BC3EE5" w:rsidTr="0039613D">
        <w:tc>
          <w:tcPr>
            <w:tcW w:w="1101" w:type="dxa"/>
            <w:shd w:val="clear" w:color="auto" w:fill="D9D9D9" w:themeFill="background1" w:themeFillShade="D9"/>
            <w:vAlign w:val="center"/>
          </w:tcPr>
          <w:p w:rsidR="0039613D" w:rsidRDefault="0039613D" w:rsidP="00C27177">
            <w:pPr>
              <w:spacing w:line="276" w:lineRule="auto"/>
              <w:jc w:val="center"/>
            </w:pPr>
            <w:r>
              <w:t>(9)</w:t>
            </w:r>
          </w:p>
        </w:tc>
        <w:tc>
          <w:tcPr>
            <w:tcW w:w="4819" w:type="dxa"/>
          </w:tcPr>
          <w:p w:rsidR="0039613D" w:rsidRDefault="0039613D" w:rsidP="00C27177">
            <w:pPr>
              <w:spacing w:line="276" w:lineRule="auto"/>
              <w:rPr>
                <w:sz w:val="19"/>
                <w:szCs w:val="19"/>
              </w:rPr>
            </w:pPr>
            <w:r>
              <w:rPr>
                <w:sz w:val="19"/>
                <w:szCs w:val="19"/>
              </w:rPr>
              <w:t>Hoeveelheid vet, olie</w:t>
            </w:r>
          </w:p>
        </w:tc>
        <w:tc>
          <w:tcPr>
            <w:tcW w:w="992" w:type="dxa"/>
          </w:tcPr>
          <w:p w:rsidR="0039613D" w:rsidRPr="00BC3EE5" w:rsidRDefault="0039613D" w:rsidP="00C27177">
            <w:pPr>
              <w:spacing w:line="276" w:lineRule="auto"/>
            </w:pPr>
            <w:r>
              <w:t>Ton</w:t>
            </w:r>
          </w:p>
        </w:tc>
        <w:tc>
          <w:tcPr>
            <w:tcW w:w="2268" w:type="dxa"/>
            <w:vAlign w:val="center"/>
          </w:tcPr>
          <w:p w:rsidR="0039613D" w:rsidRPr="00482D77" w:rsidRDefault="00482D77" w:rsidP="00482D77">
            <w:pPr>
              <w:spacing w:line="276" w:lineRule="auto"/>
              <w:jc w:val="right"/>
            </w:pPr>
            <w:r w:rsidRPr="00482D77">
              <w:t>131,58</w:t>
            </w:r>
          </w:p>
        </w:tc>
      </w:tr>
      <w:tr w:rsidR="0039613D" w:rsidRPr="00BC3EE5" w:rsidTr="0039613D">
        <w:tc>
          <w:tcPr>
            <w:tcW w:w="1101" w:type="dxa"/>
            <w:shd w:val="clear" w:color="auto" w:fill="D9D9D9" w:themeFill="background1" w:themeFillShade="D9"/>
            <w:vAlign w:val="center"/>
          </w:tcPr>
          <w:p w:rsidR="0039613D" w:rsidRDefault="0039613D" w:rsidP="00C27177">
            <w:pPr>
              <w:spacing w:line="276" w:lineRule="auto"/>
              <w:jc w:val="center"/>
            </w:pPr>
            <w:r>
              <w:t>(10)</w:t>
            </w:r>
          </w:p>
        </w:tc>
        <w:tc>
          <w:tcPr>
            <w:tcW w:w="4819" w:type="dxa"/>
          </w:tcPr>
          <w:p w:rsidR="0039613D" w:rsidRDefault="0039613D" w:rsidP="00C27177">
            <w:pPr>
              <w:spacing w:line="276" w:lineRule="auto"/>
              <w:rPr>
                <w:sz w:val="19"/>
                <w:szCs w:val="19"/>
              </w:rPr>
            </w:pPr>
            <w:r>
              <w:rPr>
                <w:sz w:val="19"/>
                <w:szCs w:val="19"/>
              </w:rPr>
              <w:t>Hoeveelheid van kant-en-klare levensmiddelen, andere levensmiddelen (die niet onder de bovengenoemde categorieën vallen)</w:t>
            </w:r>
          </w:p>
        </w:tc>
        <w:tc>
          <w:tcPr>
            <w:tcW w:w="992" w:type="dxa"/>
          </w:tcPr>
          <w:p w:rsidR="0039613D" w:rsidRPr="00BC3EE5" w:rsidRDefault="0039613D" w:rsidP="00C27177">
            <w:pPr>
              <w:spacing w:line="276" w:lineRule="auto"/>
            </w:pPr>
            <w:r>
              <w:t>Ton</w:t>
            </w:r>
          </w:p>
        </w:tc>
        <w:tc>
          <w:tcPr>
            <w:tcW w:w="2268" w:type="dxa"/>
            <w:vAlign w:val="center"/>
          </w:tcPr>
          <w:p w:rsidR="0039613D" w:rsidRPr="00B92CC1" w:rsidRDefault="00B92CC1" w:rsidP="00B92CC1">
            <w:pPr>
              <w:spacing w:line="276" w:lineRule="auto"/>
              <w:jc w:val="right"/>
            </w:pPr>
            <w:r w:rsidRPr="00B92CC1">
              <w:t>449,23</w:t>
            </w:r>
          </w:p>
        </w:tc>
      </w:tr>
      <w:tr w:rsidR="0039613D" w:rsidRPr="00BC3EE5" w:rsidTr="0039613D">
        <w:tc>
          <w:tcPr>
            <w:tcW w:w="1101" w:type="dxa"/>
            <w:shd w:val="clear" w:color="auto" w:fill="D9D9D9" w:themeFill="background1" w:themeFillShade="D9"/>
            <w:vAlign w:val="center"/>
          </w:tcPr>
          <w:p w:rsidR="0039613D" w:rsidRDefault="0039613D" w:rsidP="00C27177">
            <w:pPr>
              <w:spacing w:line="276" w:lineRule="auto"/>
              <w:jc w:val="center"/>
            </w:pPr>
            <w:r>
              <w:t>(11)</w:t>
            </w:r>
          </w:p>
        </w:tc>
        <w:tc>
          <w:tcPr>
            <w:tcW w:w="4819" w:type="dxa"/>
          </w:tcPr>
          <w:p w:rsidR="0039613D" w:rsidRDefault="0039613D" w:rsidP="00C27177">
            <w:pPr>
              <w:spacing w:line="276" w:lineRule="auto"/>
              <w:rPr>
                <w:sz w:val="19"/>
                <w:szCs w:val="19"/>
              </w:rPr>
            </w:pPr>
            <w:r>
              <w:rPr>
                <w:sz w:val="19"/>
                <w:szCs w:val="19"/>
              </w:rPr>
              <w:t>Totale hoeveelheid verstrekte voedselhulp</w:t>
            </w:r>
          </w:p>
        </w:tc>
        <w:tc>
          <w:tcPr>
            <w:tcW w:w="992" w:type="dxa"/>
          </w:tcPr>
          <w:p w:rsidR="0039613D" w:rsidRPr="00BC3EE5" w:rsidRDefault="0039613D" w:rsidP="00C27177">
            <w:pPr>
              <w:spacing w:line="276" w:lineRule="auto"/>
            </w:pPr>
            <w:r>
              <w:t>Ton</w:t>
            </w:r>
          </w:p>
        </w:tc>
        <w:tc>
          <w:tcPr>
            <w:tcW w:w="2268" w:type="dxa"/>
            <w:vAlign w:val="center"/>
          </w:tcPr>
          <w:p w:rsidR="0039613D" w:rsidRPr="00482D77" w:rsidRDefault="00482D77" w:rsidP="00482D77">
            <w:pPr>
              <w:spacing w:line="276" w:lineRule="auto"/>
              <w:jc w:val="right"/>
            </w:pPr>
            <w:r w:rsidRPr="00482D77">
              <w:t>4.608,95</w:t>
            </w:r>
          </w:p>
        </w:tc>
      </w:tr>
      <w:tr w:rsidR="0039613D" w:rsidRPr="00BC3EE5" w:rsidTr="0039613D">
        <w:tc>
          <w:tcPr>
            <w:tcW w:w="1101" w:type="dxa"/>
            <w:shd w:val="clear" w:color="auto" w:fill="D9D9D9" w:themeFill="background1" w:themeFillShade="D9"/>
            <w:vAlign w:val="center"/>
          </w:tcPr>
          <w:p w:rsidR="0039613D" w:rsidRDefault="0039613D" w:rsidP="00C27177">
            <w:pPr>
              <w:spacing w:line="276" w:lineRule="auto"/>
              <w:jc w:val="center"/>
            </w:pPr>
            <w:r>
              <w:t>(11a)</w:t>
            </w:r>
          </w:p>
        </w:tc>
        <w:tc>
          <w:tcPr>
            <w:tcW w:w="4819" w:type="dxa"/>
          </w:tcPr>
          <w:p w:rsidR="0039613D" w:rsidRDefault="0039613D" w:rsidP="00C27177">
            <w:pPr>
              <w:spacing w:line="276" w:lineRule="auto"/>
              <w:rPr>
                <w:sz w:val="19"/>
                <w:szCs w:val="19"/>
              </w:rPr>
            </w:pPr>
            <w:r>
              <w:rPr>
                <w:sz w:val="19"/>
                <w:szCs w:val="19"/>
              </w:rPr>
              <w:t>Aandeel levensmiddelen waarvoor alleen transport, distributie en opslag zijn betaald door het OP (in %)</w:t>
            </w:r>
          </w:p>
        </w:tc>
        <w:tc>
          <w:tcPr>
            <w:tcW w:w="992" w:type="dxa"/>
          </w:tcPr>
          <w:p w:rsidR="0039613D" w:rsidRPr="00BC3EE5" w:rsidRDefault="0039613D" w:rsidP="00C27177">
            <w:pPr>
              <w:spacing w:line="276" w:lineRule="auto"/>
            </w:pPr>
            <w:r>
              <w:t>%</w:t>
            </w:r>
          </w:p>
        </w:tc>
        <w:tc>
          <w:tcPr>
            <w:tcW w:w="2268" w:type="dxa"/>
            <w:vAlign w:val="center"/>
          </w:tcPr>
          <w:p w:rsidR="0039613D" w:rsidRPr="00BC3EE5" w:rsidRDefault="0039613D" w:rsidP="00C27177">
            <w:pPr>
              <w:spacing w:line="276" w:lineRule="auto"/>
              <w:jc w:val="right"/>
            </w:pPr>
            <w:r>
              <w:t>0</w:t>
            </w:r>
          </w:p>
        </w:tc>
      </w:tr>
      <w:tr w:rsidR="0039613D" w:rsidRPr="00BC3EE5" w:rsidTr="0039613D">
        <w:tc>
          <w:tcPr>
            <w:tcW w:w="1101" w:type="dxa"/>
            <w:shd w:val="clear" w:color="auto" w:fill="D9D9D9" w:themeFill="background1" w:themeFillShade="D9"/>
            <w:vAlign w:val="center"/>
          </w:tcPr>
          <w:p w:rsidR="0039613D" w:rsidRDefault="0039613D" w:rsidP="00C27177">
            <w:pPr>
              <w:spacing w:line="276" w:lineRule="auto"/>
              <w:jc w:val="center"/>
            </w:pPr>
            <w:r>
              <w:t>(11b)</w:t>
            </w:r>
          </w:p>
        </w:tc>
        <w:tc>
          <w:tcPr>
            <w:tcW w:w="4819" w:type="dxa"/>
          </w:tcPr>
          <w:p w:rsidR="0039613D" w:rsidRDefault="0039613D" w:rsidP="00C27177">
            <w:pPr>
              <w:spacing w:line="276" w:lineRule="auto"/>
              <w:rPr>
                <w:sz w:val="19"/>
                <w:szCs w:val="19"/>
              </w:rPr>
            </w:pPr>
            <w:r>
              <w:rPr>
                <w:sz w:val="19"/>
                <w:szCs w:val="19"/>
              </w:rPr>
              <w:t>Aandeel door het fonds medegefinancierde levensmiddelen van het totale volume van het door de partnerorganisaties verdeelde voedsel (in %) (</w:t>
            </w:r>
            <w:r>
              <w:rPr>
                <w:sz w:val="10"/>
                <w:szCs w:val="10"/>
              </w:rPr>
              <w:t>2</w:t>
            </w:r>
            <w:r>
              <w:rPr>
                <w:sz w:val="19"/>
                <w:szCs w:val="19"/>
              </w:rPr>
              <w:t>)</w:t>
            </w:r>
          </w:p>
        </w:tc>
        <w:tc>
          <w:tcPr>
            <w:tcW w:w="992" w:type="dxa"/>
          </w:tcPr>
          <w:p w:rsidR="0039613D" w:rsidRPr="00BC3EE5" w:rsidRDefault="0039613D" w:rsidP="00C27177">
            <w:pPr>
              <w:spacing w:line="276" w:lineRule="auto"/>
            </w:pPr>
            <w:r>
              <w:t>%</w:t>
            </w:r>
          </w:p>
        </w:tc>
        <w:tc>
          <w:tcPr>
            <w:tcW w:w="2268" w:type="dxa"/>
            <w:vAlign w:val="center"/>
          </w:tcPr>
          <w:p w:rsidR="0039613D" w:rsidRPr="00BC3EE5" w:rsidRDefault="0039613D" w:rsidP="00C27177">
            <w:pPr>
              <w:spacing w:line="276" w:lineRule="auto"/>
              <w:jc w:val="right"/>
            </w:pPr>
            <w:r>
              <w:t>50</w:t>
            </w:r>
          </w:p>
        </w:tc>
      </w:tr>
      <w:tr w:rsidR="0039613D" w:rsidRPr="00BC3EE5" w:rsidTr="0039613D">
        <w:tc>
          <w:tcPr>
            <w:tcW w:w="1101" w:type="dxa"/>
            <w:shd w:val="clear" w:color="auto" w:fill="D9D9D9" w:themeFill="background1" w:themeFillShade="D9"/>
            <w:vAlign w:val="center"/>
          </w:tcPr>
          <w:p w:rsidR="0039613D" w:rsidRDefault="0039613D" w:rsidP="00C27177">
            <w:pPr>
              <w:spacing w:line="276" w:lineRule="auto"/>
              <w:jc w:val="center"/>
            </w:pPr>
            <w:r>
              <w:t>(12)</w:t>
            </w:r>
          </w:p>
        </w:tc>
        <w:tc>
          <w:tcPr>
            <w:tcW w:w="4819" w:type="dxa"/>
          </w:tcPr>
          <w:p w:rsidR="0039613D" w:rsidRDefault="0039613D" w:rsidP="00C27177">
            <w:pPr>
              <w:spacing w:line="276" w:lineRule="auto"/>
              <w:rPr>
                <w:sz w:val="19"/>
                <w:szCs w:val="19"/>
              </w:rPr>
            </w:pPr>
            <w:r>
              <w:rPr>
                <w:sz w:val="19"/>
                <w:szCs w:val="19"/>
              </w:rPr>
              <w:t>Totaal aantal verstrekte maaltijden gedeeltelijk of volledig gefinancierd door het OP</w:t>
            </w:r>
          </w:p>
        </w:tc>
        <w:tc>
          <w:tcPr>
            <w:tcW w:w="992" w:type="dxa"/>
          </w:tcPr>
          <w:p w:rsidR="0039613D" w:rsidRPr="00BC3EE5" w:rsidRDefault="0039613D" w:rsidP="00C27177">
            <w:pPr>
              <w:spacing w:line="276" w:lineRule="auto"/>
            </w:pPr>
            <w:r>
              <w:t>Cijfer</w:t>
            </w:r>
          </w:p>
        </w:tc>
        <w:tc>
          <w:tcPr>
            <w:tcW w:w="2268" w:type="dxa"/>
            <w:vAlign w:val="center"/>
          </w:tcPr>
          <w:p w:rsidR="0039613D" w:rsidRPr="00BC3EE5" w:rsidRDefault="00CF5994" w:rsidP="00C27177">
            <w:pPr>
              <w:spacing w:line="276" w:lineRule="auto"/>
              <w:jc w:val="right"/>
            </w:pPr>
            <w:r>
              <w:t>1.570.522</w:t>
            </w:r>
          </w:p>
        </w:tc>
      </w:tr>
      <w:tr w:rsidR="0039613D" w:rsidRPr="00BC3EE5" w:rsidTr="0039613D">
        <w:tc>
          <w:tcPr>
            <w:tcW w:w="1101" w:type="dxa"/>
            <w:shd w:val="clear" w:color="auto" w:fill="D9D9D9" w:themeFill="background1" w:themeFillShade="D9"/>
            <w:vAlign w:val="center"/>
          </w:tcPr>
          <w:p w:rsidR="0039613D" w:rsidRDefault="0039613D" w:rsidP="00C27177">
            <w:pPr>
              <w:spacing w:line="276" w:lineRule="auto"/>
              <w:jc w:val="center"/>
            </w:pPr>
            <w:r>
              <w:t>(13)</w:t>
            </w:r>
          </w:p>
        </w:tc>
        <w:tc>
          <w:tcPr>
            <w:tcW w:w="4819" w:type="dxa"/>
          </w:tcPr>
          <w:p w:rsidR="0039613D" w:rsidRDefault="0039613D" w:rsidP="00C27177">
            <w:pPr>
              <w:spacing w:line="276" w:lineRule="auto"/>
              <w:rPr>
                <w:sz w:val="19"/>
                <w:szCs w:val="19"/>
              </w:rPr>
            </w:pPr>
            <w:r>
              <w:rPr>
                <w:sz w:val="19"/>
                <w:szCs w:val="19"/>
              </w:rPr>
              <w:t>Totaal aantal verstrekte voedselpakketten gedeeltelijk of volledig gefinancierd door het OP</w:t>
            </w:r>
          </w:p>
        </w:tc>
        <w:tc>
          <w:tcPr>
            <w:tcW w:w="992" w:type="dxa"/>
          </w:tcPr>
          <w:p w:rsidR="0039613D" w:rsidRPr="00BC3EE5" w:rsidRDefault="0039613D" w:rsidP="00C27177">
            <w:pPr>
              <w:spacing w:line="276" w:lineRule="auto"/>
            </w:pPr>
            <w:r>
              <w:t>Cijfer</w:t>
            </w:r>
          </w:p>
        </w:tc>
        <w:tc>
          <w:tcPr>
            <w:tcW w:w="2268" w:type="dxa"/>
            <w:vAlign w:val="center"/>
          </w:tcPr>
          <w:p w:rsidR="0039613D" w:rsidRPr="00BC3EE5" w:rsidRDefault="00CF5994" w:rsidP="00C27177">
            <w:pPr>
              <w:spacing w:line="276" w:lineRule="auto"/>
              <w:jc w:val="right"/>
            </w:pPr>
            <w:r>
              <w:t>1.377.488</w:t>
            </w:r>
          </w:p>
        </w:tc>
      </w:tr>
    </w:tbl>
    <w:p w:rsidR="0039613D" w:rsidRPr="0039613D" w:rsidRDefault="0039613D" w:rsidP="00C27177"/>
    <w:p w:rsidR="000E45F4" w:rsidRDefault="0039613D" w:rsidP="00C27177">
      <w:pPr>
        <w:pStyle w:val="Kop4"/>
        <w:numPr>
          <w:ilvl w:val="2"/>
          <w:numId w:val="2"/>
        </w:numPr>
        <w:spacing w:line="276" w:lineRule="auto"/>
        <w:rPr>
          <w:lang w:val="en-US"/>
        </w:rPr>
      </w:pPr>
      <w:proofErr w:type="spellStart"/>
      <w:r>
        <w:rPr>
          <w:lang w:val="en-US"/>
        </w:rPr>
        <w:t>Resulta</w:t>
      </w:r>
      <w:r w:rsidR="000C7B32">
        <w:rPr>
          <w:lang w:val="en-US"/>
        </w:rPr>
        <w:t>a</w:t>
      </w:r>
      <w:r>
        <w:rPr>
          <w:lang w:val="en-US"/>
        </w:rPr>
        <w:t>tsindicatoren</w:t>
      </w:r>
      <w:proofErr w:type="spellEnd"/>
      <w:r>
        <w:rPr>
          <w:lang w:val="en-US"/>
        </w:rPr>
        <w:t xml:space="preserve"> </w:t>
      </w:r>
      <w:proofErr w:type="spellStart"/>
      <w:r>
        <w:rPr>
          <w:lang w:val="en-US"/>
        </w:rPr>
        <w:t>inzake</w:t>
      </w:r>
      <w:proofErr w:type="spellEnd"/>
      <w:r>
        <w:rPr>
          <w:lang w:val="en-US"/>
        </w:rPr>
        <w:t xml:space="preserve"> </w:t>
      </w:r>
      <w:proofErr w:type="spellStart"/>
      <w:r>
        <w:rPr>
          <w:lang w:val="en-US"/>
        </w:rPr>
        <w:t>verstrekte</w:t>
      </w:r>
      <w:proofErr w:type="spellEnd"/>
      <w:r>
        <w:rPr>
          <w:lang w:val="en-US"/>
        </w:rPr>
        <w:t xml:space="preserve"> </w:t>
      </w:r>
      <w:proofErr w:type="spellStart"/>
      <w:r>
        <w:rPr>
          <w:lang w:val="en-US"/>
        </w:rPr>
        <w:t>voedselhulp</w:t>
      </w:r>
      <w:proofErr w:type="spellEnd"/>
    </w:p>
    <w:tbl>
      <w:tblPr>
        <w:tblStyle w:val="Tabelraster"/>
        <w:tblW w:w="0" w:type="auto"/>
        <w:tblLayout w:type="fixed"/>
        <w:tblLook w:val="04A0" w:firstRow="1" w:lastRow="0" w:firstColumn="1" w:lastColumn="0" w:noHBand="0" w:noVBand="1"/>
      </w:tblPr>
      <w:tblGrid>
        <w:gridCol w:w="1101"/>
        <w:gridCol w:w="4819"/>
        <w:gridCol w:w="992"/>
        <w:gridCol w:w="2268"/>
      </w:tblGrid>
      <w:tr w:rsidR="0039613D" w:rsidTr="00C53DDD">
        <w:tc>
          <w:tcPr>
            <w:tcW w:w="1101" w:type="dxa"/>
            <w:shd w:val="clear" w:color="auto" w:fill="A6A6A6" w:themeFill="background1" w:themeFillShade="A6"/>
            <w:vAlign w:val="center"/>
          </w:tcPr>
          <w:p w:rsidR="0039613D" w:rsidRDefault="0039613D" w:rsidP="00C27177">
            <w:pPr>
              <w:spacing w:line="276" w:lineRule="auto"/>
              <w:jc w:val="left"/>
              <w:rPr>
                <w:lang w:val="en-US"/>
              </w:rPr>
            </w:pPr>
            <w:r>
              <w:rPr>
                <w:lang w:val="en-US"/>
              </w:rPr>
              <w:t>Indicator ID</w:t>
            </w:r>
          </w:p>
        </w:tc>
        <w:tc>
          <w:tcPr>
            <w:tcW w:w="4819" w:type="dxa"/>
            <w:shd w:val="clear" w:color="auto" w:fill="A6A6A6" w:themeFill="background1" w:themeFillShade="A6"/>
            <w:vAlign w:val="center"/>
          </w:tcPr>
          <w:p w:rsidR="0039613D" w:rsidRDefault="0039613D" w:rsidP="00C27177">
            <w:pPr>
              <w:spacing w:line="276" w:lineRule="auto"/>
              <w:jc w:val="left"/>
              <w:rPr>
                <w:lang w:val="en-US"/>
              </w:rPr>
            </w:pPr>
            <w:r>
              <w:rPr>
                <w:lang w:val="en-US"/>
              </w:rPr>
              <w:t>Indicator (</w:t>
            </w:r>
            <w:proofErr w:type="spellStart"/>
            <w:r>
              <w:rPr>
                <w:lang w:val="en-US"/>
              </w:rPr>
              <w:t>naam</w:t>
            </w:r>
            <w:proofErr w:type="spellEnd"/>
            <w:r>
              <w:rPr>
                <w:lang w:val="en-US"/>
              </w:rPr>
              <w:t>)</w:t>
            </w:r>
          </w:p>
        </w:tc>
        <w:tc>
          <w:tcPr>
            <w:tcW w:w="992" w:type="dxa"/>
            <w:shd w:val="clear" w:color="auto" w:fill="A6A6A6" w:themeFill="background1" w:themeFillShade="A6"/>
            <w:vAlign w:val="center"/>
          </w:tcPr>
          <w:p w:rsidR="0039613D" w:rsidRDefault="0039613D" w:rsidP="00C27177">
            <w:pPr>
              <w:spacing w:line="276" w:lineRule="auto"/>
              <w:jc w:val="left"/>
              <w:rPr>
                <w:lang w:val="en-US"/>
              </w:rPr>
            </w:pPr>
            <w:r>
              <w:rPr>
                <w:lang w:val="en-US"/>
              </w:rPr>
              <w:t>Meet-</w:t>
            </w:r>
          </w:p>
          <w:p w:rsidR="0039613D" w:rsidRDefault="0039613D" w:rsidP="00C27177">
            <w:pPr>
              <w:spacing w:line="276" w:lineRule="auto"/>
              <w:jc w:val="left"/>
              <w:rPr>
                <w:lang w:val="en-US"/>
              </w:rPr>
            </w:pPr>
            <w:proofErr w:type="spellStart"/>
            <w:r>
              <w:rPr>
                <w:lang w:val="en-US"/>
              </w:rPr>
              <w:t>eenheid</w:t>
            </w:r>
            <w:proofErr w:type="spellEnd"/>
          </w:p>
        </w:tc>
        <w:tc>
          <w:tcPr>
            <w:tcW w:w="2268" w:type="dxa"/>
            <w:shd w:val="clear" w:color="auto" w:fill="A6A6A6" w:themeFill="background1" w:themeFillShade="A6"/>
            <w:vAlign w:val="center"/>
          </w:tcPr>
          <w:p w:rsidR="0039613D" w:rsidRDefault="0039613D" w:rsidP="00C27177">
            <w:pPr>
              <w:spacing w:line="276" w:lineRule="auto"/>
              <w:jc w:val="left"/>
              <w:rPr>
                <w:lang w:val="en-US"/>
              </w:rPr>
            </w:pPr>
            <w:r>
              <w:rPr>
                <w:lang w:val="en-US"/>
              </w:rPr>
              <w:t>2014</w:t>
            </w:r>
          </w:p>
        </w:tc>
      </w:tr>
      <w:tr w:rsidR="0039613D" w:rsidRPr="00BC3EE5" w:rsidTr="00C53DDD">
        <w:tc>
          <w:tcPr>
            <w:tcW w:w="1101" w:type="dxa"/>
            <w:shd w:val="clear" w:color="auto" w:fill="D9D9D9" w:themeFill="background1" w:themeFillShade="D9"/>
            <w:vAlign w:val="center"/>
          </w:tcPr>
          <w:p w:rsidR="0039613D" w:rsidRDefault="0039613D" w:rsidP="00C27177">
            <w:pPr>
              <w:spacing w:line="276" w:lineRule="auto"/>
              <w:jc w:val="center"/>
              <w:rPr>
                <w:lang w:val="en-US"/>
              </w:rPr>
            </w:pPr>
            <w:r>
              <w:rPr>
                <w:lang w:val="en-US"/>
              </w:rPr>
              <w:t>(14)</w:t>
            </w:r>
          </w:p>
        </w:tc>
        <w:tc>
          <w:tcPr>
            <w:tcW w:w="4819" w:type="dxa"/>
          </w:tcPr>
          <w:p w:rsidR="0039613D" w:rsidRPr="00BC3EE5" w:rsidRDefault="0039613D" w:rsidP="00C27177">
            <w:pPr>
              <w:spacing w:line="276" w:lineRule="auto"/>
            </w:pPr>
            <w:r>
              <w:rPr>
                <w:sz w:val="19"/>
                <w:szCs w:val="19"/>
              </w:rPr>
              <w:t>Totaal aantal personen die voedselhulp ontvangen</w:t>
            </w:r>
          </w:p>
        </w:tc>
        <w:tc>
          <w:tcPr>
            <w:tcW w:w="992" w:type="dxa"/>
          </w:tcPr>
          <w:p w:rsidR="0039613D" w:rsidRPr="00BC3EE5" w:rsidRDefault="0039613D" w:rsidP="00C27177">
            <w:pPr>
              <w:spacing w:line="276" w:lineRule="auto"/>
            </w:pPr>
            <w:r>
              <w:t>Cijfer</w:t>
            </w:r>
          </w:p>
        </w:tc>
        <w:tc>
          <w:tcPr>
            <w:tcW w:w="2268" w:type="dxa"/>
            <w:vAlign w:val="center"/>
          </w:tcPr>
          <w:p w:rsidR="0039613D" w:rsidRPr="00185E56" w:rsidRDefault="00185E56" w:rsidP="00C27177">
            <w:pPr>
              <w:spacing w:line="276" w:lineRule="auto"/>
              <w:jc w:val="right"/>
            </w:pPr>
            <w:r w:rsidRPr="00185E56">
              <w:t>225.549</w:t>
            </w:r>
          </w:p>
        </w:tc>
      </w:tr>
      <w:tr w:rsidR="0039613D" w:rsidRPr="00BC3EE5" w:rsidTr="00C53DDD">
        <w:tc>
          <w:tcPr>
            <w:tcW w:w="1101" w:type="dxa"/>
            <w:shd w:val="clear" w:color="auto" w:fill="D9D9D9" w:themeFill="background1" w:themeFillShade="D9"/>
            <w:vAlign w:val="center"/>
          </w:tcPr>
          <w:p w:rsidR="0039613D" w:rsidRDefault="0039613D" w:rsidP="00C27177">
            <w:pPr>
              <w:spacing w:line="276" w:lineRule="auto"/>
              <w:jc w:val="center"/>
              <w:rPr>
                <w:lang w:val="en-US"/>
              </w:rPr>
            </w:pPr>
            <w:r>
              <w:rPr>
                <w:lang w:val="en-US"/>
              </w:rPr>
              <w:t>(14a)</w:t>
            </w:r>
          </w:p>
        </w:tc>
        <w:tc>
          <w:tcPr>
            <w:tcW w:w="4819" w:type="dxa"/>
          </w:tcPr>
          <w:p w:rsidR="0039613D" w:rsidRPr="00BC3EE5" w:rsidRDefault="0039613D" w:rsidP="00C27177">
            <w:pPr>
              <w:spacing w:line="276" w:lineRule="auto"/>
            </w:pPr>
            <w:r>
              <w:rPr>
                <w:sz w:val="19"/>
                <w:szCs w:val="19"/>
              </w:rPr>
              <w:t>Aantal kinderen van 15 jaar of jonger</w:t>
            </w:r>
          </w:p>
        </w:tc>
        <w:tc>
          <w:tcPr>
            <w:tcW w:w="992" w:type="dxa"/>
          </w:tcPr>
          <w:p w:rsidR="0039613D" w:rsidRPr="00BC3EE5" w:rsidRDefault="0039613D" w:rsidP="00C27177">
            <w:pPr>
              <w:spacing w:line="276" w:lineRule="auto"/>
            </w:pPr>
            <w:r>
              <w:t>Cijfer</w:t>
            </w:r>
          </w:p>
        </w:tc>
        <w:tc>
          <w:tcPr>
            <w:tcW w:w="2268" w:type="dxa"/>
            <w:vAlign w:val="center"/>
          </w:tcPr>
          <w:p w:rsidR="0039613D" w:rsidRPr="00185E56" w:rsidRDefault="00185E56" w:rsidP="00C27177">
            <w:pPr>
              <w:spacing w:line="276" w:lineRule="auto"/>
              <w:jc w:val="right"/>
            </w:pPr>
            <w:r w:rsidRPr="00185E56">
              <w:t>61.168</w:t>
            </w:r>
          </w:p>
        </w:tc>
      </w:tr>
      <w:tr w:rsidR="0039613D" w:rsidRPr="00BC3EE5" w:rsidTr="00C53DDD">
        <w:tc>
          <w:tcPr>
            <w:tcW w:w="1101" w:type="dxa"/>
            <w:shd w:val="clear" w:color="auto" w:fill="D9D9D9" w:themeFill="background1" w:themeFillShade="D9"/>
            <w:vAlign w:val="center"/>
          </w:tcPr>
          <w:p w:rsidR="0039613D" w:rsidRPr="0039613D" w:rsidRDefault="0039613D" w:rsidP="00C27177">
            <w:pPr>
              <w:spacing w:line="276" w:lineRule="auto"/>
              <w:jc w:val="center"/>
            </w:pPr>
            <w:r>
              <w:t>(14b)</w:t>
            </w:r>
          </w:p>
        </w:tc>
        <w:tc>
          <w:tcPr>
            <w:tcW w:w="4819" w:type="dxa"/>
          </w:tcPr>
          <w:p w:rsidR="0039613D" w:rsidRPr="00BC3EE5" w:rsidRDefault="0039613D" w:rsidP="00C27177">
            <w:pPr>
              <w:spacing w:line="276" w:lineRule="auto"/>
            </w:pPr>
            <w:r>
              <w:rPr>
                <w:sz w:val="19"/>
                <w:szCs w:val="19"/>
              </w:rPr>
              <w:t>Aantal personen van 65 jaar of ouder</w:t>
            </w:r>
          </w:p>
        </w:tc>
        <w:tc>
          <w:tcPr>
            <w:tcW w:w="992" w:type="dxa"/>
          </w:tcPr>
          <w:p w:rsidR="0039613D" w:rsidRPr="00BC3EE5" w:rsidRDefault="0039613D" w:rsidP="00C27177">
            <w:pPr>
              <w:spacing w:line="276" w:lineRule="auto"/>
            </w:pPr>
            <w:r>
              <w:t>Cijfer</w:t>
            </w:r>
          </w:p>
        </w:tc>
        <w:tc>
          <w:tcPr>
            <w:tcW w:w="2268" w:type="dxa"/>
            <w:vAlign w:val="center"/>
          </w:tcPr>
          <w:p w:rsidR="0039613D" w:rsidRPr="00185E56" w:rsidRDefault="00185E56" w:rsidP="00C27177">
            <w:pPr>
              <w:spacing w:line="276" w:lineRule="auto"/>
              <w:jc w:val="right"/>
            </w:pPr>
            <w:r w:rsidRPr="00185E56">
              <w:t>14.892</w:t>
            </w:r>
          </w:p>
        </w:tc>
      </w:tr>
      <w:tr w:rsidR="0039613D" w:rsidRPr="00BC3EE5" w:rsidTr="00C53DDD">
        <w:tc>
          <w:tcPr>
            <w:tcW w:w="1101" w:type="dxa"/>
            <w:shd w:val="clear" w:color="auto" w:fill="D9D9D9" w:themeFill="background1" w:themeFillShade="D9"/>
            <w:vAlign w:val="center"/>
          </w:tcPr>
          <w:p w:rsidR="0039613D" w:rsidRPr="0039613D" w:rsidRDefault="0039613D" w:rsidP="00C27177">
            <w:pPr>
              <w:spacing w:line="276" w:lineRule="auto"/>
              <w:jc w:val="center"/>
            </w:pPr>
            <w:r>
              <w:t>(14c)</w:t>
            </w:r>
          </w:p>
        </w:tc>
        <w:tc>
          <w:tcPr>
            <w:tcW w:w="4819" w:type="dxa"/>
          </w:tcPr>
          <w:p w:rsidR="0039613D" w:rsidRPr="00BC3EE5" w:rsidRDefault="0039613D" w:rsidP="00C27177">
            <w:pPr>
              <w:spacing w:line="276" w:lineRule="auto"/>
            </w:pPr>
            <w:r>
              <w:rPr>
                <w:sz w:val="19"/>
                <w:szCs w:val="19"/>
              </w:rPr>
              <w:t>Aantal vrouwen</w:t>
            </w:r>
          </w:p>
        </w:tc>
        <w:tc>
          <w:tcPr>
            <w:tcW w:w="992" w:type="dxa"/>
          </w:tcPr>
          <w:p w:rsidR="0039613D" w:rsidRPr="00BC3EE5" w:rsidRDefault="0039613D" w:rsidP="00C27177">
            <w:pPr>
              <w:spacing w:line="276" w:lineRule="auto"/>
            </w:pPr>
            <w:r>
              <w:t>Cijfer</w:t>
            </w:r>
          </w:p>
        </w:tc>
        <w:tc>
          <w:tcPr>
            <w:tcW w:w="2268" w:type="dxa"/>
            <w:vAlign w:val="center"/>
          </w:tcPr>
          <w:p w:rsidR="0039613D" w:rsidRPr="00185E56" w:rsidRDefault="00185E56" w:rsidP="00C27177">
            <w:pPr>
              <w:spacing w:line="276" w:lineRule="auto"/>
              <w:jc w:val="right"/>
            </w:pPr>
            <w:r w:rsidRPr="00185E56">
              <w:t>69.589</w:t>
            </w:r>
          </w:p>
        </w:tc>
      </w:tr>
      <w:tr w:rsidR="0039613D" w:rsidRPr="00BC3EE5" w:rsidTr="00C53DDD">
        <w:tc>
          <w:tcPr>
            <w:tcW w:w="1101" w:type="dxa"/>
            <w:shd w:val="clear" w:color="auto" w:fill="D9D9D9" w:themeFill="background1" w:themeFillShade="D9"/>
            <w:vAlign w:val="center"/>
          </w:tcPr>
          <w:p w:rsidR="0039613D" w:rsidRPr="0039613D" w:rsidRDefault="0039613D" w:rsidP="00C27177">
            <w:pPr>
              <w:spacing w:line="276" w:lineRule="auto"/>
              <w:jc w:val="center"/>
            </w:pPr>
            <w:r>
              <w:t>(14d)</w:t>
            </w:r>
          </w:p>
        </w:tc>
        <w:tc>
          <w:tcPr>
            <w:tcW w:w="4819" w:type="dxa"/>
          </w:tcPr>
          <w:p w:rsidR="0039613D" w:rsidRPr="00BC3EE5" w:rsidRDefault="0039613D" w:rsidP="00C27177">
            <w:pPr>
              <w:spacing w:line="276" w:lineRule="auto"/>
            </w:pPr>
            <w:r>
              <w:rPr>
                <w:sz w:val="19"/>
                <w:szCs w:val="19"/>
              </w:rPr>
              <w:t>Aantal migranten, deelnemers met een buitenlandse achtergrond, minderheden (waaronder gemarginaliseerde gemeenschappen zoals de Roma)</w:t>
            </w:r>
          </w:p>
        </w:tc>
        <w:tc>
          <w:tcPr>
            <w:tcW w:w="992" w:type="dxa"/>
          </w:tcPr>
          <w:p w:rsidR="0039613D" w:rsidRPr="00BC3EE5" w:rsidRDefault="0039613D" w:rsidP="00C27177">
            <w:pPr>
              <w:spacing w:line="276" w:lineRule="auto"/>
            </w:pPr>
            <w:r>
              <w:t>Cijfer</w:t>
            </w:r>
          </w:p>
        </w:tc>
        <w:tc>
          <w:tcPr>
            <w:tcW w:w="2268" w:type="dxa"/>
            <w:vAlign w:val="center"/>
          </w:tcPr>
          <w:p w:rsidR="0039613D" w:rsidRPr="00185E56" w:rsidRDefault="00185E56" w:rsidP="00C27177">
            <w:pPr>
              <w:spacing w:line="276" w:lineRule="auto"/>
              <w:jc w:val="right"/>
            </w:pPr>
            <w:r w:rsidRPr="00185E56">
              <w:t>87.018</w:t>
            </w:r>
          </w:p>
        </w:tc>
      </w:tr>
      <w:tr w:rsidR="0039613D" w:rsidRPr="00BC3EE5" w:rsidTr="00C53DDD">
        <w:tc>
          <w:tcPr>
            <w:tcW w:w="1101" w:type="dxa"/>
            <w:shd w:val="clear" w:color="auto" w:fill="D9D9D9" w:themeFill="background1" w:themeFillShade="D9"/>
            <w:vAlign w:val="center"/>
          </w:tcPr>
          <w:p w:rsidR="0039613D" w:rsidRDefault="0039613D" w:rsidP="00C27177">
            <w:pPr>
              <w:spacing w:line="276" w:lineRule="auto"/>
              <w:jc w:val="center"/>
            </w:pPr>
            <w:r>
              <w:t>(14e)</w:t>
            </w:r>
          </w:p>
        </w:tc>
        <w:tc>
          <w:tcPr>
            <w:tcW w:w="4819" w:type="dxa"/>
          </w:tcPr>
          <w:p w:rsidR="0039613D" w:rsidRDefault="0039613D" w:rsidP="00C27177">
            <w:pPr>
              <w:spacing w:line="276" w:lineRule="auto"/>
              <w:rPr>
                <w:sz w:val="19"/>
                <w:szCs w:val="19"/>
              </w:rPr>
            </w:pPr>
            <w:r>
              <w:rPr>
                <w:sz w:val="19"/>
                <w:szCs w:val="19"/>
              </w:rPr>
              <w:t>Aantal personen met een handicap</w:t>
            </w:r>
          </w:p>
        </w:tc>
        <w:tc>
          <w:tcPr>
            <w:tcW w:w="992" w:type="dxa"/>
          </w:tcPr>
          <w:p w:rsidR="0039613D" w:rsidRPr="00BC3EE5" w:rsidRDefault="0039613D" w:rsidP="00C27177">
            <w:pPr>
              <w:spacing w:line="276" w:lineRule="auto"/>
            </w:pPr>
            <w:r>
              <w:t>Cijfer</w:t>
            </w:r>
          </w:p>
        </w:tc>
        <w:tc>
          <w:tcPr>
            <w:tcW w:w="2268" w:type="dxa"/>
            <w:vAlign w:val="center"/>
          </w:tcPr>
          <w:p w:rsidR="0039613D" w:rsidRPr="00185E56" w:rsidRDefault="00185E56" w:rsidP="00C27177">
            <w:pPr>
              <w:spacing w:line="276" w:lineRule="auto"/>
              <w:jc w:val="right"/>
            </w:pPr>
            <w:r w:rsidRPr="00185E56">
              <w:t>5.013</w:t>
            </w:r>
          </w:p>
        </w:tc>
      </w:tr>
      <w:tr w:rsidR="0039613D" w:rsidRPr="00BC3EE5" w:rsidTr="00C53DDD">
        <w:tc>
          <w:tcPr>
            <w:tcW w:w="1101" w:type="dxa"/>
            <w:shd w:val="clear" w:color="auto" w:fill="D9D9D9" w:themeFill="background1" w:themeFillShade="D9"/>
            <w:vAlign w:val="center"/>
          </w:tcPr>
          <w:p w:rsidR="0039613D" w:rsidRDefault="0039613D" w:rsidP="00C27177">
            <w:pPr>
              <w:spacing w:line="276" w:lineRule="auto"/>
              <w:jc w:val="center"/>
            </w:pPr>
            <w:r>
              <w:t>(14f)</w:t>
            </w:r>
          </w:p>
        </w:tc>
        <w:tc>
          <w:tcPr>
            <w:tcW w:w="4819" w:type="dxa"/>
          </w:tcPr>
          <w:p w:rsidR="0039613D" w:rsidRDefault="0039613D" w:rsidP="00C27177">
            <w:pPr>
              <w:spacing w:line="276" w:lineRule="auto"/>
              <w:rPr>
                <w:sz w:val="19"/>
                <w:szCs w:val="19"/>
              </w:rPr>
            </w:pPr>
            <w:r>
              <w:rPr>
                <w:sz w:val="19"/>
                <w:szCs w:val="19"/>
              </w:rPr>
              <w:t>Aantal daklozen</w:t>
            </w:r>
          </w:p>
        </w:tc>
        <w:tc>
          <w:tcPr>
            <w:tcW w:w="992" w:type="dxa"/>
          </w:tcPr>
          <w:p w:rsidR="0039613D" w:rsidRPr="00BC3EE5" w:rsidRDefault="0039613D" w:rsidP="00C27177">
            <w:pPr>
              <w:spacing w:line="276" w:lineRule="auto"/>
            </w:pPr>
            <w:r>
              <w:t>Cijfer</w:t>
            </w:r>
          </w:p>
        </w:tc>
        <w:tc>
          <w:tcPr>
            <w:tcW w:w="2268" w:type="dxa"/>
            <w:vAlign w:val="center"/>
          </w:tcPr>
          <w:p w:rsidR="0039613D" w:rsidRPr="00185E56" w:rsidRDefault="00185E56" w:rsidP="00C27177">
            <w:pPr>
              <w:spacing w:line="276" w:lineRule="auto"/>
              <w:jc w:val="right"/>
            </w:pPr>
            <w:r w:rsidRPr="00185E56">
              <w:t>21.349</w:t>
            </w:r>
          </w:p>
        </w:tc>
      </w:tr>
    </w:tbl>
    <w:p w:rsidR="0039613D" w:rsidRPr="0039613D" w:rsidRDefault="0039613D" w:rsidP="00C27177">
      <w:pPr>
        <w:rPr>
          <w:lang w:val="en-US"/>
        </w:rPr>
      </w:pPr>
    </w:p>
    <w:p w:rsidR="000E45F4" w:rsidRPr="0039613D" w:rsidRDefault="0039613D" w:rsidP="00C27177">
      <w:pPr>
        <w:pStyle w:val="Kop4"/>
        <w:numPr>
          <w:ilvl w:val="2"/>
          <w:numId w:val="2"/>
        </w:numPr>
        <w:spacing w:after="240" w:line="276" w:lineRule="auto"/>
      </w:pPr>
      <w:r w:rsidRPr="0039613D">
        <w:t>Outputindicatoren betreffende geboden fundamentele materiële bijstand</w:t>
      </w:r>
    </w:p>
    <w:p w:rsidR="000E45F4" w:rsidRDefault="000E45F4" w:rsidP="00C27177">
      <w:pPr>
        <w:rPr>
          <w:lang w:val="en-US"/>
        </w:rPr>
      </w:pPr>
      <w:proofErr w:type="spellStart"/>
      <w:r>
        <w:rPr>
          <w:lang w:val="en-US"/>
        </w:rPr>
        <w:t>Niet</w:t>
      </w:r>
      <w:proofErr w:type="spellEnd"/>
      <w:r>
        <w:rPr>
          <w:lang w:val="en-US"/>
        </w:rPr>
        <w:t xml:space="preserve"> van </w:t>
      </w:r>
      <w:proofErr w:type="spellStart"/>
      <w:r>
        <w:rPr>
          <w:lang w:val="en-US"/>
        </w:rPr>
        <w:t>toepassing</w:t>
      </w:r>
      <w:proofErr w:type="spellEnd"/>
      <w:r>
        <w:rPr>
          <w:lang w:val="en-US"/>
        </w:rPr>
        <w:t xml:space="preserve">. </w:t>
      </w:r>
    </w:p>
    <w:p w:rsidR="000E45F4" w:rsidRPr="0039613D" w:rsidRDefault="0039613D" w:rsidP="00C27177">
      <w:pPr>
        <w:pStyle w:val="Kop4"/>
        <w:numPr>
          <w:ilvl w:val="2"/>
          <w:numId w:val="2"/>
        </w:numPr>
        <w:spacing w:after="240" w:line="276" w:lineRule="auto"/>
      </w:pPr>
      <w:r w:rsidRPr="0039613D">
        <w:t xml:space="preserve">Resultaatindicatoren betreffende geboden </w:t>
      </w:r>
      <w:r w:rsidR="007B6B33" w:rsidRPr="0039613D">
        <w:t>fundamentele</w:t>
      </w:r>
      <w:r w:rsidRPr="0039613D">
        <w:t xml:space="preserve"> materiële bijstand</w:t>
      </w:r>
    </w:p>
    <w:p w:rsidR="000E45F4" w:rsidRDefault="000E45F4" w:rsidP="00C27177">
      <w:pPr>
        <w:rPr>
          <w:lang w:val="en-US"/>
        </w:rPr>
      </w:pPr>
      <w:proofErr w:type="spellStart"/>
      <w:r>
        <w:rPr>
          <w:lang w:val="en-US"/>
        </w:rPr>
        <w:t>Niet</w:t>
      </w:r>
      <w:proofErr w:type="spellEnd"/>
      <w:r>
        <w:rPr>
          <w:lang w:val="en-US"/>
        </w:rPr>
        <w:t xml:space="preserve"> van </w:t>
      </w:r>
      <w:proofErr w:type="spellStart"/>
      <w:r>
        <w:rPr>
          <w:lang w:val="en-US"/>
        </w:rPr>
        <w:t>toepassing</w:t>
      </w:r>
      <w:proofErr w:type="spellEnd"/>
      <w:r>
        <w:rPr>
          <w:lang w:val="en-US"/>
        </w:rPr>
        <w:t>.</w:t>
      </w:r>
    </w:p>
    <w:p w:rsidR="000E45F4" w:rsidRDefault="000E45F4" w:rsidP="00C27177">
      <w:pPr>
        <w:pStyle w:val="Kop1"/>
        <w:numPr>
          <w:ilvl w:val="0"/>
          <w:numId w:val="5"/>
        </w:numPr>
        <w:rPr>
          <w:lang w:val="en-US"/>
        </w:rPr>
      </w:pPr>
      <w:bookmarkStart w:id="16" w:name="_Toc422390659"/>
      <w:r>
        <w:rPr>
          <w:lang w:val="en-US"/>
        </w:rPr>
        <w:lastRenderedPageBreak/>
        <w:t>Reporting submitted in 2017, 2022 and final implementation report</w:t>
      </w:r>
      <w:bookmarkEnd w:id="16"/>
    </w:p>
    <w:p w:rsidR="000E45F4" w:rsidRDefault="000E45F4" w:rsidP="00C27177">
      <w:pPr>
        <w:pStyle w:val="Kop2"/>
        <w:numPr>
          <w:ilvl w:val="0"/>
          <w:numId w:val="2"/>
        </w:numPr>
        <w:spacing w:after="240" w:line="276" w:lineRule="auto"/>
        <w:rPr>
          <w:lang w:val="en-US"/>
        </w:rPr>
      </w:pPr>
      <w:bookmarkStart w:id="17" w:name="_Toc422390660"/>
      <w:r>
        <w:rPr>
          <w:lang w:val="en-US"/>
        </w:rPr>
        <w:t>Contribution to achieving the specific and global objectives of the FEAD</w:t>
      </w:r>
      <w:bookmarkEnd w:id="17"/>
    </w:p>
    <w:p w:rsidR="00BC3EE5" w:rsidRPr="00BC3EE5" w:rsidRDefault="00BC3EE5" w:rsidP="00C27177">
      <w:pPr>
        <w:rPr>
          <w:lang w:val="en-US"/>
        </w:rPr>
      </w:pPr>
      <w:proofErr w:type="spellStart"/>
      <w:r>
        <w:rPr>
          <w:lang w:val="en-US"/>
        </w:rPr>
        <w:t>Niet</w:t>
      </w:r>
      <w:proofErr w:type="spellEnd"/>
      <w:r>
        <w:rPr>
          <w:lang w:val="en-US"/>
        </w:rPr>
        <w:t xml:space="preserve"> van </w:t>
      </w:r>
      <w:proofErr w:type="spellStart"/>
      <w:r>
        <w:rPr>
          <w:lang w:val="en-US"/>
        </w:rPr>
        <w:t>toepassing</w:t>
      </w:r>
      <w:proofErr w:type="spellEnd"/>
      <w:r>
        <w:rPr>
          <w:lang w:val="en-US"/>
        </w:rPr>
        <w:t xml:space="preserve">. </w:t>
      </w:r>
    </w:p>
    <w:p w:rsidR="000E45F4" w:rsidRDefault="000E45F4" w:rsidP="00C27177">
      <w:pPr>
        <w:pStyle w:val="Kop3"/>
        <w:numPr>
          <w:ilvl w:val="1"/>
          <w:numId w:val="2"/>
        </w:numPr>
        <w:spacing w:after="240" w:line="276" w:lineRule="auto"/>
        <w:rPr>
          <w:lang w:val="en-US"/>
        </w:rPr>
      </w:pPr>
      <w:bookmarkStart w:id="18" w:name="_Toc422390661"/>
      <w:r>
        <w:rPr>
          <w:lang w:val="en-US"/>
        </w:rPr>
        <w:t>Information on and assessment of the contribution to achieving the specific and global objectives of the FEAD, specified in Article 3 of Regulation (EY) 223/2014</w:t>
      </w:r>
      <w:bookmarkEnd w:id="18"/>
    </w:p>
    <w:p w:rsidR="00BC3EE5" w:rsidRPr="00BC3EE5" w:rsidRDefault="00BC3EE5" w:rsidP="00C27177">
      <w:pPr>
        <w:rPr>
          <w:lang w:val="en-US"/>
        </w:rPr>
      </w:pPr>
      <w:proofErr w:type="spellStart"/>
      <w:r>
        <w:rPr>
          <w:lang w:val="en-US"/>
        </w:rPr>
        <w:t>Niet</w:t>
      </w:r>
      <w:proofErr w:type="spellEnd"/>
      <w:r>
        <w:rPr>
          <w:lang w:val="en-US"/>
        </w:rPr>
        <w:t xml:space="preserve"> van </w:t>
      </w:r>
      <w:proofErr w:type="spellStart"/>
      <w:r>
        <w:rPr>
          <w:lang w:val="en-US"/>
        </w:rPr>
        <w:t>toepassing</w:t>
      </w:r>
      <w:proofErr w:type="spellEnd"/>
      <w:r>
        <w:rPr>
          <w:lang w:val="en-US"/>
        </w:rPr>
        <w:t xml:space="preserve">. </w:t>
      </w:r>
    </w:p>
    <w:p w:rsidR="000E45F4" w:rsidRDefault="00E74292" w:rsidP="00C27177">
      <w:pPr>
        <w:pStyle w:val="Kop1"/>
        <w:numPr>
          <w:ilvl w:val="0"/>
          <w:numId w:val="5"/>
        </w:numPr>
        <w:spacing w:after="240"/>
        <w:rPr>
          <w:lang w:val="en-US"/>
        </w:rPr>
      </w:pPr>
      <w:bookmarkStart w:id="19" w:name="_Toc422390662"/>
      <w:proofErr w:type="spellStart"/>
      <w:r>
        <w:rPr>
          <w:lang w:val="en-US"/>
        </w:rPr>
        <w:t>Bijlagen</w:t>
      </w:r>
      <w:bookmarkEnd w:id="19"/>
      <w:proofErr w:type="spellEnd"/>
    </w:p>
    <w:p w:rsidR="0087680D" w:rsidRPr="0087680D" w:rsidRDefault="0087680D" w:rsidP="00C27177">
      <w:r w:rsidRPr="0087680D">
        <w:t>Bijlage I</w:t>
      </w:r>
      <w:r w:rsidRPr="0087680D">
        <w:tab/>
        <w:t>Resultaatsindicatoren</w:t>
      </w:r>
    </w:p>
    <w:p w:rsidR="0087680D" w:rsidRDefault="0087680D" w:rsidP="00C27177">
      <w:r w:rsidRPr="0087680D">
        <w:t>Bijlage II</w:t>
      </w:r>
      <w:r w:rsidRPr="0087680D">
        <w:tab/>
      </w:r>
      <w:r>
        <w:t>Outputindicatoren</w:t>
      </w:r>
    </w:p>
    <w:p w:rsidR="004B5BBC" w:rsidRPr="0087680D" w:rsidRDefault="004B5BBC" w:rsidP="00C27177">
      <w:pPr>
        <w:pStyle w:val="Kop1"/>
        <w:numPr>
          <w:ilvl w:val="0"/>
          <w:numId w:val="5"/>
        </w:numPr>
      </w:pPr>
      <w:bookmarkStart w:id="20" w:name="_Toc422390663"/>
      <w:r w:rsidRPr="0087680D">
        <w:t>Lijst van gebruikte afkortingen</w:t>
      </w:r>
      <w:bookmarkEnd w:id="20"/>
    </w:p>
    <w:p w:rsidR="004B5BBC" w:rsidRPr="0087680D" w:rsidRDefault="004B5BBC" w:rsidP="00C27177"/>
    <w:p w:rsidR="0087680D" w:rsidRPr="004B5BBC" w:rsidRDefault="0087680D" w:rsidP="00C27177">
      <w:pPr>
        <w:ind w:left="1410" w:hanging="1410"/>
      </w:pPr>
      <w:r>
        <w:t>BA</w:t>
      </w:r>
      <w:r>
        <w:tab/>
      </w:r>
      <w:proofErr w:type="spellStart"/>
      <w:r>
        <w:t>Beheersautoriteit</w:t>
      </w:r>
      <w:proofErr w:type="spellEnd"/>
    </w:p>
    <w:p w:rsidR="0087680D" w:rsidRPr="004B5BBC" w:rsidRDefault="0087680D" w:rsidP="00C27177">
      <w:r w:rsidRPr="004B5BBC">
        <w:t>BIRB</w:t>
      </w:r>
      <w:r w:rsidRPr="004B5BBC">
        <w:tab/>
      </w:r>
      <w:r w:rsidRPr="004B5BBC">
        <w:tab/>
        <w:t>Belgisch Interventie- en Restitutiebureau</w:t>
      </w:r>
    </w:p>
    <w:p w:rsidR="0087680D" w:rsidRDefault="0087680D" w:rsidP="00C27177">
      <w:r>
        <w:t>FAVV</w:t>
      </w:r>
      <w:r>
        <w:tab/>
      </w:r>
      <w:r>
        <w:tab/>
        <w:t>Federaal Agentschap voor de Veiligheid van de Voedselketen</w:t>
      </w:r>
    </w:p>
    <w:p w:rsidR="0087680D" w:rsidRPr="007A1555" w:rsidRDefault="0087680D" w:rsidP="00C27177">
      <w:pPr>
        <w:rPr>
          <w:lang w:val="fr-BE"/>
        </w:rPr>
      </w:pPr>
      <w:r>
        <w:rPr>
          <w:lang w:val="fr-BE"/>
        </w:rPr>
        <w:t>FDSS</w:t>
      </w:r>
      <w:r>
        <w:rPr>
          <w:lang w:val="fr-BE"/>
        </w:rPr>
        <w:tab/>
      </w:r>
      <w:r>
        <w:rPr>
          <w:lang w:val="fr-BE"/>
        </w:rPr>
        <w:tab/>
      </w:r>
      <w:r w:rsidRPr="007A1555">
        <w:rPr>
          <w:lang w:val="fr-BE"/>
        </w:rPr>
        <w:t>la Fédéra</w:t>
      </w:r>
      <w:r>
        <w:rPr>
          <w:lang w:val="fr-BE"/>
        </w:rPr>
        <w:t>tion des Services Sociaux</w:t>
      </w:r>
    </w:p>
    <w:p w:rsidR="0087680D" w:rsidRPr="00D27A1B" w:rsidRDefault="0087680D" w:rsidP="00C27177">
      <w:pPr>
        <w:ind w:left="1410" w:hanging="1410"/>
      </w:pPr>
      <w:r w:rsidRPr="00D27A1B">
        <w:t>FEAD</w:t>
      </w:r>
      <w:r w:rsidRPr="00D27A1B">
        <w:tab/>
      </w:r>
      <w:r w:rsidRPr="00D27A1B">
        <w:tab/>
        <w:t xml:space="preserve">Fund of European </w:t>
      </w:r>
      <w:proofErr w:type="spellStart"/>
      <w:r w:rsidRPr="00D27A1B">
        <w:t>Aid</w:t>
      </w:r>
      <w:proofErr w:type="spellEnd"/>
      <w:r w:rsidRPr="00D27A1B">
        <w:t xml:space="preserve"> </w:t>
      </w:r>
      <w:proofErr w:type="spellStart"/>
      <w:r w:rsidRPr="00D27A1B">
        <w:t>to</w:t>
      </w:r>
      <w:proofErr w:type="spellEnd"/>
      <w:r w:rsidRPr="00D27A1B">
        <w:t xml:space="preserve"> the Most </w:t>
      </w:r>
      <w:proofErr w:type="spellStart"/>
      <w:r w:rsidRPr="00D27A1B">
        <w:t>Deprived</w:t>
      </w:r>
      <w:proofErr w:type="spellEnd"/>
      <w:r w:rsidRPr="00D27A1B">
        <w:t xml:space="preserve"> – Fonds voor Europese hulp aan de meest behoeftigen</w:t>
      </w:r>
    </w:p>
    <w:p w:rsidR="0087680D" w:rsidRPr="00D27A1B" w:rsidRDefault="0087680D" w:rsidP="00C27177">
      <w:pPr>
        <w:ind w:left="1410" w:hanging="1410"/>
      </w:pPr>
      <w:r w:rsidRPr="00D27A1B">
        <w:t>OP</w:t>
      </w:r>
      <w:r w:rsidRPr="00D27A1B">
        <w:tab/>
        <w:t>Operationeel Programma</w:t>
      </w:r>
    </w:p>
    <w:p w:rsidR="0087680D" w:rsidRDefault="00A52079" w:rsidP="00C27177">
      <w:r>
        <w:t>POD MI</w:t>
      </w:r>
      <w:r>
        <w:tab/>
        <w:t>POD Maat</w:t>
      </w:r>
      <w:r w:rsidR="0087680D" w:rsidRPr="004B5BBC">
        <w:t>schappelijke Integratie</w:t>
      </w:r>
    </w:p>
    <w:sectPr w:rsidR="0087680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D8" w:rsidRDefault="008311D8" w:rsidP="00AB0894">
      <w:pPr>
        <w:spacing w:after="0" w:line="240" w:lineRule="auto"/>
      </w:pPr>
      <w:r>
        <w:separator/>
      </w:r>
    </w:p>
  </w:endnote>
  <w:endnote w:type="continuationSeparator" w:id="0">
    <w:p w:rsidR="008311D8" w:rsidRDefault="008311D8" w:rsidP="00AB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603580"/>
      <w:docPartObj>
        <w:docPartGallery w:val="Page Numbers (Bottom of Page)"/>
        <w:docPartUnique/>
      </w:docPartObj>
    </w:sdtPr>
    <w:sdtEndPr/>
    <w:sdtContent>
      <w:sdt>
        <w:sdtPr>
          <w:id w:val="860082579"/>
          <w:docPartObj>
            <w:docPartGallery w:val="Page Numbers (Top of Page)"/>
            <w:docPartUnique/>
          </w:docPartObj>
        </w:sdtPr>
        <w:sdtEndPr/>
        <w:sdtContent>
          <w:p w:rsidR="008311D8" w:rsidRDefault="008311D8">
            <w:pPr>
              <w:pStyle w:val="Voettekst"/>
              <w:jc w:val="right"/>
            </w:pPr>
            <w:r>
              <w:rPr>
                <w:lang w:val="nl-NL"/>
              </w:rPr>
              <w:t xml:space="preserve">Pagina </w:t>
            </w:r>
            <w:r>
              <w:rPr>
                <w:b/>
                <w:bCs/>
                <w:szCs w:val="24"/>
              </w:rPr>
              <w:fldChar w:fldCharType="begin"/>
            </w:r>
            <w:r>
              <w:rPr>
                <w:b/>
                <w:bCs/>
              </w:rPr>
              <w:instrText>PAGE</w:instrText>
            </w:r>
            <w:r>
              <w:rPr>
                <w:b/>
                <w:bCs/>
                <w:szCs w:val="24"/>
              </w:rPr>
              <w:fldChar w:fldCharType="separate"/>
            </w:r>
            <w:r w:rsidR="006478ED">
              <w:rPr>
                <w:b/>
                <w:bCs/>
                <w:noProof/>
              </w:rPr>
              <w:t>21</w:t>
            </w:r>
            <w:r>
              <w:rPr>
                <w:b/>
                <w:bCs/>
                <w:szCs w:val="24"/>
              </w:rPr>
              <w:fldChar w:fldCharType="end"/>
            </w:r>
            <w:r>
              <w:rPr>
                <w:lang w:val="nl-NL"/>
              </w:rPr>
              <w:t xml:space="preserve"> van </w:t>
            </w:r>
            <w:r>
              <w:rPr>
                <w:b/>
                <w:bCs/>
                <w:szCs w:val="24"/>
              </w:rPr>
              <w:fldChar w:fldCharType="begin"/>
            </w:r>
            <w:r>
              <w:rPr>
                <w:b/>
                <w:bCs/>
              </w:rPr>
              <w:instrText>NUMPAGES</w:instrText>
            </w:r>
            <w:r>
              <w:rPr>
                <w:b/>
                <w:bCs/>
                <w:szCs w:val="24"/>
              </w:rPr>
              <w:fldChar w:fldCharType="separate"/>
            </w:r>
            <w:r w:rsidR="006478ED">
              <w:rPr>
                <w:b/>
                <w:bCs/>
                <w:noProof/>
              </w:rPr>
              <w:t>21</w:t>
            </w:r>
            <w:r>
              <w:rPr>
                <w:b/>
                <w:bCs/>
                <w:szCs w:val="24"/>
              </w:rPr>
              <w:fldChar w:fldCharType="end"/>
            </w:r>
          </w:p>
        </w:sdtContent>
      </w:sdt>
    </w:sdtContent>
  </w:sdt>
  <w:p w:rsidR="008311D8" w:rsidRDefault="008311D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D8" w:rsidRDefault="008311D8" w:rsidP="00AB0894">
      <w:pPr>
        <w:spacing w:after="0" w:line="240" w:lineRule="auto"/>
      </w:pPr>
      <w:r>
        <w:separator/>
      </w:r>
    </w:p>
  </w:footnote>
  <w:footnote w:type="continuationSeparator" w:id="0">
    <w:p w:rsidR="008311D8" w:rsidRDefault="008311D8" w:rsidP="00AB08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5E3"/>
    <w:multiLevelType w:val="hybridMultilevel"/>
    <w:tmpl w:val="A8D0AB9A"/>
    <w:lvl w:ilvl="0" w:tplc="DEE6A62E">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4E962D3"/>
    <w:multiLevelType w:val="hybridMultilevel"/>
    <w:tmpl w:val="892E31A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nsid w:val="1E851DAB"/>
    <w:multiLevelType w:val="hybridMultilevel"/>
    <w:tmpl w:val="A6B63A02"/>
    <w:lvl w:ilvl="0" w:tplc="080C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419014D"/>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B0E6382"/>
    <w:multiLevelType w:val="hybridMultilevel"/>
    <w:tmpl w:val="B5E6C27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CD63E55"/>
    <w:multiLevelType w:val="hybridMultilevel"/>
    <w:tmpl w:val="08B0ADB4"/>
    <w:lvl w:ilvl="0" w:tplc="3CEA427C">
      <w:start w:val="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35664C9F"/>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5D03070"/>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04E3E58"/>
    <w:multiLevelType w:val="hybridMultilevel"/>
    <w:tmpl w:val="21CE2DE0"/>
    <w:lvl w:ilvl="0" w:tplc="1988BC66">
      <w:start w:val="4"/>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8E41B54"/>
    <w:multiLevelType w:val="hybridMultilevel"/>
    <w:tmpl w:val="433E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943E4"/>
    <w:multiLevelType w:val="hybridMultilevel"/>
    <w:tmpl w:val="68062BB4"/>
    <w:lvl w:ilvl="0" w:tplc="3D7E6224">
      <w:start w:val="2"/>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BF530E1"/>
    <w:multiLevelType w:val="hybridMultilevel"/>
    <w:tmpl w:val="33826DD4"/>
    <w:lvl w:ilvl="0" w:tplc="0C02FC7E">
      <w:start w:val="4"/>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2276B04"/>
    <w:multiLevelType w:val="hybridMultilevel"/>
    <w:tmpl w:val="96303F1E"/>
    <w:lvl w:ilvl="0" w:tplc="40184F98">
      <w:start w:val="1"/>
      <w:numFmt w:val="bullet"/>
      <w:lvlText w:val=""/>
      <w:lvlJc w:val="left"/>
      <w:pPr>
        <w:tabs>
          <w:tab w:val="num" w:pos="720"/>
        </w:tabs>
        <w:ind w:left="720" w:hanging="360"/>
      </w:pPr>
      <w:rPr>
        <w:rFonts w:ascii="Wingdings" w:hAnsi="Wingdings" w:hint="default"/>
      </w:rPr>
    </w:lvl>
    <w:lvl w:ilvl="1" w:tplc="0512FB2A">
      <w:start w:val="1"/>
      <w:numFmt w:val="bullet"/>
      <w:lvlText w:val=""/>
      <w:lvlJc w:val="left"/>
      <w:pPr>
        <w:tabs>
          <w:tab w:val="num" w:pos="1440"/>
        </w:tabs>
        <w:ind w:left="1440" w:hanging="360"/>
      </w:pPr>
      <w:rPr>
        <w:rFonts w:ascii="Wingdings" w:hAnsi="Wingdings" w:hint="default"/>
      </w:rPr>
    </w:lvl>
    <w:lvl w:ilvl="2" w:tplc="A8E4E5C0">
      <w:start w:val="1"/>
      <w:numFmt w:val="bullet"/>
      <w:lvlText w:val="-"/>
      <w:lvlJc w:val="left"/>
      <w:pPr>
        <w:tabs>
          <w:tab w:val="num" w:pos="2160"/>
        </w:tabs>
        <w:ind w:left="2160" w:hanging="360"/>
      </w:pPr>
      <w:rPr>
        <w:rFonts w:ascii="Times New Roman" w:eastAsia="Calibri" w:hAnsi="Times New Roman" w:cs="Times New Roman" w:hint="default"/>
      </w:rPr>
    </w:lvl>
    <w:lvl w:ilvl="3" w:tplc="15B8A206" w:tentative="1">
      <w:start w:val="1"/>
      <w:numFmt w:val="bullet"/>
      <w:lvlText w:val=""/>
      <w:lvlJc w:val="left"/>
      <w:pPr>
        <w:tabs>
          <w:tab w:val="num" w:pos="2880"/>
        </w:tabs>
        <w:ind w:left="2880" w:hanging="360"/>
      </w:pPr>
      <w:rPr>
        <w:rFonts w:ascii="Wingdings" w:hAnsi="Wingdings" w:hint="default"/>
      </w:rPr>
    </w:lvl>
    <w:lvl w:ilvl="4" w:tplc="63F08078" w:tentative="1">
      <w:start w:val="1"/>
      <w:numFmt w:val="bullet"/>
      <w:lvlText w:val=""/>
      <w:lvlJc w:val="left"/>
      <w:pPr>
        <w:tabs>
          <w:tab w:val="num" w:pos="3600"/>
        </w:tabs>
        <w:ind w:left="3600" w:hanging="360"/>
      </w:pPr>
      <w:rPr>
        <w:rFonts w:ascii="Wingdings" w:hAnsi="Wingdings" w:hint="default"/>
      </w:rPr>
    </w:lvl>
    <w:lvl w:ilvl="5" w:tplc="18CC954A" w:tentative="1">
      <w:start w:val="1"/>
      <w:numFmt w:val="bullet"/>
      <w:lvlText w:val=""/>
      <w:lvlJc w:val="left"/>
      <w:pPr>
        <w:tabs>
          <w:tab w:val="num" w:pos="4320"/>
        </w:tabs>
        <w:ind w:left="4320" w:hanging="360"/>
      </w:pPr>
      <w:rPr>
        <w:rFonts w:ascii="Wingdings" w:hAnsi="Wingdings" w:hint="default"/>
      </w:rPr>
    </w:lvl>
    <w:lvl w:ilvl="6" w:tplc="AB9E61B4" w:tentative="1">
      <w:start w:val="1"/>
      <w:numFmt w:val="bullet"/>
      <w:lvlText w:val=""/>
      <w:lvlJc w:val="left"/>
      <w:pPr>
        <w:tabs>
          <w:tab w:val="num" w:pos="5040"/>
        </w:tabs>
        <w:ind w:left="5040" w:hanging="360"/>
      </w:pPr>
      <w:rPr>
        <w:rFonts w:ascii="Wingdings" w:hAnsi="Wingdings" w:hint="default"/>
      </w:rPr>
    </w:lvl>
    <w:lvl w:ilvl="7" w:tplc="907A3406" w:tentative="1">
      <w:start w:val="1"/>
      <w:numFmt w:val="bullet"/>
      <w:lvlText w:val=""/>
      <w:lvlJc w:val="left"/>
      <w:pPr>
        <w:tabs>
          <w:tab w:val="num" w:pos="5760"/>
        </w:tabs>
        <w:ind w:left="5760" w:hanging="360"/>
      </w:pPr>
      <w:rPr>
        <w:rFonts w:ascii="Wingdings" w:hAnsi="Wingdings" w:hint="default"/>
      </w:rPr>
    </w:lvl>
    <w:lvl w:ilvl="8" w:tplc="28022984" w:tentative="1">
      <w:start w:val="1"/>
      <w:numFmt w:val="bullet"/>
      <w:lvlText w:val=""/>
      <w:lvlJc w:val="left"/>
      <w:pPr>
        <w:tabs>
          <w:tab w:val="num" w:pos="6480"/>
        </w:tabs>
        <w:ind w:left="6480" w:hanging="360"/>
      </w:pPr>
      <w:rPr>
        <w:rFonts w:ascii="Wingdings" w:hAnsi="Wingdings" w:hint="default"/>
      </w:rPr>
    </w:lvl>
  </w:abstractNum>
  <w:abstractNum w:abstractNumId="13">
    <w:nsid w:val="5A9F614D"/>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FB85DAB"/>
    <w:multiLevelType w:val="multilevel"/>
    <w:tmpl w:val="81A8AB92"/>
    <w:lvl w:ilvl="0">
      <w:start w:val="2"/>
      <w:numFmt w:val="decimal"/>
      <w:lvlText w:val="%1."/>
      <w:lvlJc w:val="left"/>
      <w:pPr>
        <w:ind w:left="780" w:hanging="780"/>
      </w:pPr>
      <w:rPr>
        <w:rFonts w:hint="default"/>
      </w:rPr>
    </w:lvl>
    <w:lvl w:ilvl="1">
      <w:start w:val="1"/>
      <w:numFmt w:val="decimal"/>
      <w:lvlText w:val="%1.%2."/>
      <w:lvlJc w:val="left"/>
      <w:pPr>
        <w:ind w:left="900" w:hanging="780"/>
      </w:pPr>
      <w:rPr>
        <w:rFonts w:hint="default"/>
      </w:rPr>
    </w:lvl>
    <w:lvl w:ilvl="2">
      <w:start w:val="8"/>
      <w:numFmt w:val="decimal"/>
      <w:lvlText w:val="%1.%2.%3."/>
      <w:lvlJc w:val="left"/>
      <w:pPr>
        <w:ind w:left="1020" w:hanging="78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nsid w:val="691E6960"/>
    <w:multiLevelType w:val="hybridMultilevel"/>
    <w:tmpl w:val="00A61CC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192300C"/>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70A0173"/>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8227FB1"/>
    <w:multiLevelType w:val="hybridMultilevel"/>
    <w:tmpl w:val="F6EC4EB0"/>
    <w:lvl w:ilvl="0" w:tplc="080C0013">
      <w:start w:val="1"/>
      <w:numFmt w:val="upperRoman"/>
      <w:lvlText w:val="%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94C1B94"/>
    <w:multiLevelType w:val="hybridMultilevel"/>
    <w:tmpl w:val="EA0C73FA"/>
    <w:lvl w:ilvl="0" w:tplc="3BBE67E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79586ED4"/>
    <w:multiLevelType w:val="multilevel"/>
    <w:tmpl w:val="79A4F3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97E25D3"/>
    <w:multiLevelType w:val="hybridMultilevel"/>
    <w:tmpl w:val="B150D8BC"/>
    <w:lvl w:ilvl="0" w:tplc="BC941F1A">
      <w:start w:val="1"/>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2">
    <w:nsid w:val="7CBE4816"/>
    <w:multiLevelType w:val="hybridMultilevel"/>
    <w:tmpl w:val="7CBE4816"/>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3">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CBE481D"/>
    <w:multiLevelType w:val="hybridMultilevel"/>
    <w:tmpl w:val="7CBE481D"/>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5">
    <w:nsid w:val="7F0835C9"/>
    <w:multiLevelType w:val="hybridMultilevel"/>
    <w:tmpl w:val="9078C08C"/>
    <w:lvl w:ilvl="0" w:tplc="194CB9D8">
      <w:start w:val="4"/>
      <w:numFmt w:val="bullet"/>
      <w:lvlText w:val="-"/>
      <w:lvlJc w:val="left"/>
      <w:pPr>
        <w:ind w:left="720" w:hanging="360"/>
      </w:pPr>
      <w:rPr>
        <w:rFonts w:ascii="Gill Sans MT" w:eastAsiaTheme="majorEastAsia" w:hAnsi="Gill Sans MT" w:cstheme="maj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8"/>
  </w:num>
  <w:num w:numId="6">
    <w:abstractNumId w:val="6"/>
  </w:num>
  <w:num w:numId="7">
    <w:abstractNumId w:val="10"/>
  </w:num>
  <w:num w:numId="8">
    <w:abstractNumId w:val="19"/>
  </w:num>
  <w:num w:numId="9">
    <w:abstractNumId w:val="11"/>
  </w:num>
  <w:num w:numId="10">
    <w:abstractNumId w:val="8"/>
  </w:num>
  <w:num w:numId="11">
    <w:abstractNumId w:val="25"/>
  </w:num>
  <w:num w:numId="12">
    <w:abstractNumId w:val="17"/>
  </w:num>
  <w:num w:numId="13">
    <w:abstractNumId w:val="22"/>
  </w:num>
  <w:num w:numId="14">
    <w:abstractNumId w:val="24"/>
  </w:num>
  <w:num w:numId="15">
    <w:abstractNumId w:val="12"/>
  </w:num>
  <w:num w:numId="16">
    <w:abstractNumId w:val="9"/>
  </w:num>
  <w:num w:numId="17">
    <w:abstractNumId w:val="16"/>
  </w:num>
  <w:num w:numId="18">
    <w:abstractNumId w:val="21"/>
  </w:num>
  <w:num w:numId="19">
    <w:abstractNumId w:val="13"/>
  </w:num>
  <w:num w:numId="20">
    <w:abstractNumId w:val="3"/>
  </w:num>
  <w:num w:numId="21">
    <w:abstractNumId w:val="5"/>
  </w:num>
  <w:num w:numId="22">
    <w:abstractNumId w:val="23"/>
  </w:num>
  <w:num w:numId="23">
    <w:abstractNumId w:val="7"/>
  </w:num>
  <w:num w:numId="24">
    <w:abstractNumId w:val="14"/>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2BA"/>
    <w:rsid w:val="00000FBA"/>
    <w:rsid w:val="000074C1"/>
    <w:rsid w:val="00011F50"/>
    <w:rsid w:val="0002013B"/>
    <w:rsid w:val="00036765"/>
    <w:rsid w:val="000652BA"/>
    <w:rsid w:val="0008043B"/>
    <w:rsid w:val="0008489A"/>
    <w:rsid w:val="00085A9E"/>
    <w:rsid w:val="000C0339"/>
    <w:rsid w:val="000C2A90"/>
    <w:rsid w:val="000C7B32"/>
    <w:rsid w:val="000D7348"/>
    <w:rsid w:val="000E45F4"/>
    <w:rsid w:val="000F4688"/>
    <w:rsid w:val="00102C21"/>
    <w:rsid w:val="00103C14"/>
    <w:rsid w:val="00111D85"/>
    <w:rsid w:val="00135F56"/>
    <w:rsid w:val="00160A0A"/>
    <w:rsid w:val="001644AC"/>
    <w:rsid w:val="00173817"/>
    <w:rsid w:val="00185E56"/>
    <w:rsid w:val="001A2664"/>
    <w:rsid w:val="001B15BA"/>
    <w:rsid w:val="001B2D59"/>
    <w:rsid w:val="001E7FB5"/>
    <w:rsid w:val="001F0A71"/>
    <w:rsid w:val="002063B3"/>
    <w:rsid w:val="002233C7"/>
    <w:rsid w:val="00230D2C"/>
    <w:rsid w:val="00243E4A"/>
    <w:rsid w:val="00284B51"/>
    <w:rsid w:val="0028628E"/>
    <w:rsid w:val="00287B8C"/>
    <w:rsid w:val="00297AA5"/>
    <w:rsid w:val="002B1A2B"/>
    <w:rsid w:val="002C2D90"/>
    <w:rsid w:val="002C316D"/>
    <w:rsid w:val="002C71DF"/>
    <w:rsid w:val="002D63EE"/>
    <w:rsid w:val="002D6DF6"/>
    <w:rsid w:val="002F3C06"/>
    <w:rsid w:val="002F60CE"/>
    <w:rsid w:val="00302054"/>
    <w:rsid w:val="00331F62"/>
    <w:rsid w:val="00346743"/>
    <w:rsid w:val="0035767E"/>
    <w:rsid w:val="00364185"/>
    <w:rsid w:val="00386557"/>
    <w:rsid w:val="00386DBC"/>
    <w:rsid w:val="00393FEA"/>
    <w:rsid w:val="0039613D"/>
    <w:rsid w:val="003A1162"/>
    <w:rsid w:val="003C7776"/>
    <w:rsid w:val="003D3557"/>
    <w:rsid w:val="003E78A9"/>
    <w:rsid w:val="003F2D3D"/>
    <w:rsid w:val="00406A15"/>
    <w:rsid w:val="004160FD"/>
    <w:rsid w:val="00435789"/>
    <w:rsid w:val="00446C69"/>
    <w:rsid w:val="00482D77"/>
    <w:rsid w:val="004855F7"/>
    <w:rsid w:val="004A6747"/>
    <w:rsid w:val="004B5BBC"/>
    <w:rsid w:val="004F40A7"/>
    <w:rsid w:val="005141DD"/>
    <w:rsid w:val="00522A73"/>
    <w:rsid w:val="00524BD2"/>
    <w:rsid w:val="005324CB"/>
    <w:rsid w:val="005337FD"/>
    <w:rsid w:val="005614FE"/>
    <w:rsid w:val="005638C7"/>
    <w:rsid w:val="00564750"/>
    <w:rsid w:val="00566AAF"/>
    <w:rsid w:val="00576DB6"/>
    <w:rsid w:val="005915A1"/>
    <w:rsid w:val="00593F33"/>
    <w:rsid w:val="005A417B"/>
    <w:rsid w:val="005B15B8"/>
    <w:rsid w:val="005B6C30"/>
    <w:rsid w:val="005C0E05"/>
    <w:rsid w:val="005C35C9"/>
    <w:rsid w:val="005D5DAE"/>
    <w:rsid w:val="00616B54"/>
    <w:rsid w:val="006422A5"/>
    <w:rsid w:val="006478ED"/>
    <w:rsid w:val="00650952"/>
    <w:rsid w:val="00690E4A"/>
    <w:rsid w:val="006B2C43"/>
    <w:rsid w:val="006B6327"/>
    <w:rsid w:val="006C11C1"/>
    <w:rsid w:val="006D6CA6"/>
    <w:rsid w:val="006E3E4D"/>
    <w:rsid w:val="00736B01"/>
    <w:rsid w:val="00741E09"/>
    <w:rsid w:val="00757736"/>
    <w:rsid w:val="007744DD"/>
    <w:rsid w:val="00780F87"/>
    <w:rsid w:val="00787110"/>
    <w:rsid w:val="007947E9"/>
    <w:rsid w:val="007A1555"/>
    <w:rsid w:val="007A7D63"/>
    <w:rsid w:val="007B6B33"/>
    <w:rsid w:val="007B76DD"/>
    <w:rsid w:val="007D60E8"/>
    <w:rsid w:val="007E0BEF"/>
    <w:rsid w:val="007F1AF8"/>
    <w:rsid w:val="008160D9"/>
    <w:rsid w:val="00826523"/>
    <w:rsid w:val="008311D8"/>
    <w:rsid w:val="00841D38"/>
    <w:rsid w:val="00852F60"/>
    <w:rsid w:val="008617D4"/>
    <w:rsid w:val="0087680D"/>
    <w:rsid w:val="00881947"/>
    <w:rsid w:val="00887063"/>
    <w:rsid w:val="00892B52"/>
    <w:rsid w:val="008A1871"/>
    <w:rsid w:val="008A70C3"/>
    <w:rsid w:val="008C1D40"/>
    <w:rsid w:val="008D2480"/>
    <w:rsid w:val="008E2C51"/>
    <w:rsid w:val="008F3890"/>
    <w:rsid w:val="00905D07"/>
    <w:rsid w:val="00910C35"/>
    <w:rsid w:val="0092222A"/>
    <w:rsid w:val="00943280"/>
    <w:rsid w:val="00973304"/>
    <w:rsid w:val="009941D5"/>
    <w:rsid w:val="009A5E2F"/>
    <w:rsid w:val="009B0078"/>
    <w:rsid w:val="009B3A39"/>
    <w:rsid w:val="009B4B7A"/>
    <w:rsid w:val="009C72E2"/>
    <w:rsid w:val="009E6F51"/>
    <w:rsid w:val="009F3236"/>
    <w:rsid w:val="00A07F46"/>
    <w:rsid w:val="00A146F7"/>
    <w:rsid w:val="00A14886"/>
    <w:rsid w:val="00A278C1"/>
    <w:rsid w:val="00A408F5"/>
    <w:rsid w:val="00A52079"/>
    <w:rsid w:val="00A5763F"/>
    <w:rsid w:val="00A61425"/>
    <w:rsid w:val="00AA085C"/>
    <w:rsid w:val="00AB0894"/>
    <w:rsid w:val="00AF60A1"/>
    <w:rsid w:val="00B400BF"/>
    <w:rsid w:val="00B47674"/>
    <w:rsid w:val="00B561C0"/>
    <w:rsid w:val="00B6431A"/>
    <w:rsid w:val="00B67657"/>
    <w:rsid w:val="00B917A1"/>
    <w:rsid w:val="00B92CC1"/>
    <w:rsid w:val="00B949A1"/>
    <w:rsid w:val="00B95113"/>
    <w:rsid w:val="00B95618"/>
    <w:rsid w:val="00BA0432"/>
    <w:rsid w:val="00BA5FB3"/>
    <w:rsid w:val="00BC0251"/>
    <w:rsid w:val="00BC3EE5"/>
    <w:rsid w:val="00BD4194"/>
    <w:rsid w:val="00C20D7E"/>
    <w:rsid w:val="00C27177"/>
    <w:rsid w:val="00C2749C"/>
    <w:rsid w:val="00C40D5C"/>
    <w:rsid w:val="00C51DDD"/>
    <w:rsid w:val="00C53DDD"/>
    <w:rsid w:val="00C54F68"/>
    <w:rsid w:val="00C75A01"/>
    <w:rsid w:val="00C954FE"/>
    <w:rsid w:val="00CC0F35"/>
    <w:rsid w:val="00CF5994"/>
    <w:rsid w:val="00D13D3A"/>
    <w:rsid w:val="00D27A1B"/>
    <w:rsid w:val="00D34CFE"/>
    <w:rsid w:val="00D60186"/>
    <w:rsid w:val="00D74793"/>
    <w:rsid w:val="00DD134E"/>
    <w:rsid w:val="00DD5DC2"/>
    <w:rsid w:val="00E11EE1"/>
    <w:rsid w:val="00E1323F"/>
    <w:rsid w:val="00E4087D"/>
    <w:rsid w:val="00E6683B"/>
    <w:rsid w:val="00E74292"/>
    <w:rsid w:val="00E82B11"/>
    <w:rsid w:val="00F07D9C"/>
    <w:rsid w:val="00F246CF"/>
    <w:rsid w:val="00F41D69"/>
    <w:rsid w:val="00F5163F"/>
    <w:rsid w:val="00F7796B"/>
    <w:rsid w:val="00FB0AE2"/>
    <w:rsid w:val="00FB49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894"/>
    <w:pPr>
      <w:jc w:val="both"/>
    </w:pPr>
    <w:rPr>
      <w:rFonts w:ascii="Gill Sans MT" w:hAnsi="Gill Sans MT"/>
      <w:sz w:val="24"/>
    </w:rPr>
  </w:style>
  <w:style w:type="paragraph" w:styleId="Kop1">
    <w:name w:val="heading 1"/>
    <w:basedOn w:val="Standaard"/>
    <w:next w:val="Standaard"/>
    <w:link w:val="Kop1Char"/>
    <w:uiPriority w:val="9"/>
    <w:qFormat/>
    <w:rsid w:val="005614F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5614FE"/>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5614F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5614FE"/>
    <w:pPr>
      <w:spacing w:after="0" w:line="271" w:lineRule="auto"/>
      <w:outlineLvl w:val="3"/>
    </w:pPr>
    <w:rPr>
      <w:b/>
      <w:bCs/>
      <w:spacing w:val="5"/>
      <w:szCs w:val="24"/>
    </w:rPr>
  </w:style>
  <w:style w:type="paragraph" w:styleId="Kop5">
    <w:name w:val="heading 5"/>
    <w:basedOn w:val="Standaard"/>
    <w:next w:val="Standaard"/>
    <w:link w:val="Kop5Char"/>
    <w:uiPriority w:val="9"/>
    <w:unhideWhenUsed/>
    <w:qFormat/>
    <w:rsid w:val="005614FE"/>
    <w:pPr>
      <w:spacing w:after="0" w:line="271" w:lineRule="auto"/>
      <w:outlineLvl w:val="4"/>
    </w:pPr>
    <w:rPr>
      <w:i/>
      <w:iCs/>
      <w:szCs w:val="24"/>
    </w:rPr>
  </w:style>
  <w:style w:type="paragraph" w:styleId="Kop6">
    <w:name w:val="heading 6"/>
    <w:basedOn w:val="Standaard"/>
    <w:next w:val="Standaard"/>
    <w:link w:val="Kop6Char"/>
    <w:uiPriority w:val="9"/>
    <w:semiHidden/>
    <w:unhideWhenUsed/>
    <w:qFormat/>
    <w:rsid w:val="005614F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614F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614F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614F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C69"/>
    <w:rPr>
      <w:rFonts w:ascii="Tahoma" w:hAnsi="Tahoma" w:cs="Tahoma"/>
      <w:sz w:val="16"/>
      <w:szCs w:val="16"/>
    </w:rPr>
  </w:style>
  <w:style w:type="paragraph" w:styleId="Duidelijkcitaat">
    <w:name w:val="Intense Quote"/>
    <w:basedOn w:val="Standaard"/>
    <w:next w:val="Standaard"/>
    <w:link w:val="DuidelijkcitaatChar"/>
    <w:uiPriority w:val="30"/>
    <w:qFormat/>
    <w:rsid w:val="005614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5614FE"/>
    <w:rPr>
      <w:i/>
      <w:iCs/>
    </w:rPr>
  </w:style>
  <w:style w:type="character" w:customStyle="1" w:styleId="Kop1Char">
    <w:name w:val="Kop 1 Char"/>
    <w:basedOn w:val="Standaardalinea-lettertype"/>
    <w:link w:val="Kop1"/>
    <w:uiPriority w:val="9"/>
    <w:rsid w:val="005614FE"/>
    <w:rPr>
      <w:smallCaps/>
      <w:spacing w:val="5"/>
      <w:sz w:val="36"/>
      <w:szCs w:val="36"/>
    </w:rPr>
  </w:style>
  <w:style w:type="character" w:customStyle="1" w:styleId="Kop2Char">
    <w:name w:val="Kop 2 Char"/>
    <w:basedOn w:val="Standaardalinea-lettertype"/>
    <w:link w:val="Kop2"/>
    <w:uiPriority w:val="9"/>
    <w:rsid w:val="005614FE"/>
    <w:rPr>
      <w:smallCaps/>
      <w:sz w:val="28"/>
      <w:szCs w:val="28"/>
    </w:rPr>
  </w:style>
  <w:style w:type="character" w:customStyle="1" w:styleId="Kop3Char">
    <w:name w:val="Kop 3 Char"/>
    <w:basedOn w:val="Standaardalinea-lettertype"/>
    <w:link w:val="Kop3"/>
    <w:uiPriority w:val="9"/>
    <w:rsid w:val="005614FE"/>
    <w:rPr>
      <w:i/>
      <w:iCs/>
      <w:smallCaps/>
      <w:spacing w:val="5"/>
      <w:sz w:val="26"/>
      <w:szCs w:val="26"/>
    </w:rPr>
  </w:style>
  <w:style w:type="character" w:customStyle="1" w:styleId="Kop4Char">
    <w:name w:val="Kop 4 Char"/>
    <w:basedOn w:val="Standaardalinea-lettertype"/>
    <w:link w:val="Kop4"/>
    <w:uiPriority w:val="9"/>
    <w:rsid w:val="005614FE"/>
    <w:rPr>
      <w:b/>
      <w:bCs/>
      <w:spacing w:val="5"/>
      <w:sz w:val="24"/>
      <w:szCs w:val="24"/>
    </w:rPr>
  </w:style>
  <w:style w:type="character" w:customStyle="1" w:styleId="Kop5Char">
    <w:name w:val="Kop 5 Char"/>
    <w:basedOn w:val="Standaardalinea-lettertype"/>
    <w:link w:val="Kop5"/>
    <w:uiPriority w:val="9"/>
    <w:rsid w:val="005614FE"/>
    <w:rPr>
      <w:i/>
      <w:iCs/>
      <w:sz w:val="24"/>
      <w:szCs w:val="24"/>
    </w:rPr>
  </w:style>
  <w:style w:type="character" w:customStyle="1" w:styleId="Kop6Char">
    <w:name w:val="Kop 6 Char"/>
    <w:basedOn w:val="Standaardalinea-lettertype"/>
    <w:link w:val="Kop6"/>
    <w:uiPriority w:val="9"/>
    <w:semiHidden/>
    <w:rsid w:val="005614F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614FE"/>
    <w:rPr>
      <w:b/>
      <w:bCs/>
      <w:i/>
      <w:iCs/>
      <w:color w:val="5A5A5A" w:themeColor="text1" w:themeTint="A5"/>
      <w:sz w:val="20"/>
      <w:szCs w:val="20"/>
    </w:rPr>
  </w:style>
  <w:style w:type="character" w:customStyle="1" w:styleId="Kop8Char">
    <w:name w:val="Kop 8 Char"/>
    <w:basedOn w:val="Standaardalinea-lettertype"/>
    <w:link w:val="Kop8"/>
    <w:uiPriority w:val="9"/>
    <w:semiHidden/>
    <w:rsid w:val="005614FE"/>
    <w:rPr>
      <w:b/>
      <w:bCs/>
      <w:color w:val="7F7F7F" w:themeColor="text1" w:themeTint="80"/>
      <w:sz w:val="20"/>
      <w:szCs w:val="20"/>
    </w:rPr>
  </w:style>
  <w:style w:type="character" w:customStyle="1" w:styleId="Kop9Char">
    <w:name w:val="Kop 9 Char"/>
    <w:basedOn w:val="Standaardalinea-lettertype"/>
    <w:link w:val="Kop9"/>
    <w:uiPriority w:val="9"/>
    <w:semiHidden/>
    <w:rsid w:val="005614FE"/>
    <w:rPr>
      <w:b/>
      <w:bCs/>
      <w:i/>
      <w:iCs/>
      <w:color w:val="7F7F7F" w:themeColor="text1" w:themeTint="80"/>
      <w:sz w:val="18"/>
      <w:szCs w:val="18"/>
    </w:rPr>
  </w:style>
  <w:style w:type="paragraph" w:styleId="Titel">
    <w:name w:val="Title"/>
    <w:basedOn w:val="Standaard"/>
    <w:next w:val="Standaard"/>
    <w:link w:val="TitelChar"/>
    <w:uiPriority w:val="10"/>
    <w:qFormat/>
    <w:rsid w:val="005614F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614FE"/>
    <w:rPr>
      <w:smallCaps/>
      <w:sz w:val="52"/>
      <w:szCs w:val="52"/>
    </w:rPr>
  </w:style>
  <w:style w:type="paragraph" w:styleId="Ondertitel">
    <w:name w:val="Subtitle"/>
    <w:basedOn w:val="Standaard"/>
    <w:next w:val="Standaard"/>
    <w:link w:val="OndertitelChar"/>
    <w:uiPriority w:val="11"/>
    <w:qFormat/>
    <w:rsid w:val="005614FE"/>
    <w:rPr>
      <w:i/>
      <w:iCs/>
      <w:smallCaps/>
      <w:spacing w:val="10"/>
      <w:sz w:val="28"/>
      <w:szCs w:val="28"/>
    </w:rPr>
  </w:style>
  <w:style w:type="character" w:customStyle="1" w:styleId="OndertitelChar">
    <w:name w:val="Ondertitel Char"/>
    <w:basedOn w:val="Standaardalinea-lettertype"/>
    <w:link w:val="Ondertitel"/>
    <w:uiPriority w:val="11"/>
    <w:rsid w:val="005614FE"/>
    <w:rPr>
      <w:i/>
      <w:iCs/>
      <w:smallCaps/>
      <w:spacing w:val="10"/>
      <w:sz w:val="28"/>
      <w:szCs w:val="28"/>
    </w:rPr>
  </w:style>
  <w:style w:type="character" w:styleId="Zwaar">
    <w:name w:val="Strong"/>
    <w:uiPriority w:val="22"/>
    <w:qFormat/>
    <w:rsid w:val="005614FE"/>
    <w:rPr>
      <w:b/>
      <w:bCs/>
    </w:rPr>
  </w:style>
  <w:style w:type="character" w:styleId="Nadruk">
    <w:name w:val="Emphasis"/>
    <w:uiPriority w:val="20"/>
    <w:qFormat/>
    <w:rsid w:val="005614FE"/>
    <w:rPr>
      <w:b/>
      <w:bCs/>
      <w:i/>
      <w:iCs/>
      <w:spacing w:val="10"/>
    </w:rPr>
  </w:style>
  <w:style w:type="paragraph" w:styleId="Geenafstand">
    <w:name w:val="No Spacing"/>
    <w:basedOn w:val="Standaard"/>
    <w:uiPriority w:val="1"/>
    <w:qFormat/>
    <w:rsid w:val="005614FE"/>
    <w:pPr>
      <w:spacing w:after="0" w:line="240" w:lineRule="auto"/>
    </w:pPr>
  </w:style>
  <w:style w:type="paragraph" w:styleId="Lijstalinea">
    <w:name w:val="List Paragraph"/>
    <w:basedOn w:val="Standaard"/>
    <w:uiPriority w:val="34"/>
    <w:qFormat/>
    <w:rsid w:val="005614FE"/>
    <w:pPr>
      <w:ind w:left="720"/>
      <w:contextualSpacing/>
    </w:pPr>
  </w:style>
  <w:style w:type="paragraph" w:styleId="Citaat">
    <w:name w:val="Quote"/>
    <w:basedOn w:val="Standaard"/>
    <w:next w:val="Standaard"/>
    <w:link w:val="CitaatChar"/>
    <w:uiPriority w:val="29"/>
    <w:qFormat/>
    <w:rsid w:val="005614FE"/>
    <w:rPr>
      <w:i/>
      <w:iCs/>
    </w:rPr>
  </w:style>
  <w:style w:type="character" w:customStyle="1" w:styleId="CitaatChar">
    <w:name w:val="Citaat Char"/>
    <w:basedOn w:val="Standaardalinea-lettertype"/>
    <w:link w:val="Citaat"/>
    <w:uiPriority w:val="29"/>
    <w:rsid w:val="005614FE"/>
    <w:rPr>
      <w:i/>
      <w:iCs/>
    </w:rPr>
  </w:style>
  <w:style w:type="character" w:styleId="Subtielebenadrukking">
    <w:name w:val="Subtle Emphasis"/>
    <w:uiPriority w:val="19"/>
    <w:qFormat/>
    <w:rsid w:val="005614FE"/>
    <w:rPr>
      <w:i/>
      <w:iCs/>
    </w:rPr>
  </w:style>
  <w:style w:type="character" w:styleId="Intensievebenadrukking">
    <w:name w:val="Intense Emphasis"/>
    <w:uiPriority w:val="21"/>
    <w:qFormat/>
    <w:rsid w:val="005614FE"/>
    <w:rPr>
      <w:b/>
      <w:bCs/>
      <w:i/>
      <w:iCs/>
    </w:rPr>
  </w:style>
  <w:style w:type="character" w:styleId="Subtieleverwijzing">
    <w:name w:val="Subtle Reference"/>
    <w:basedOn w:val="Standaardalinea-lettertype"/>
    <w:uiPriority w:val="31"/>
    <w:qFormat/>
    <w:rsid w:val="005614FE"/>
    <w:rPr>
      <w:smallCaps/>
    </w:rPr>
  </w:style>
  <w:style w:type="character" w:styleId="Intensieveverwijzing">
    <w:name w:val="Intense Reference"/>
    <w:uiPriority w:val="32"/>
    <w:qFormat/>
    <w:rsid w:val="005614FE"/>
    <w:rPr>
      <w:b/>
      <w:bCs/>
      <w:smallCaps/>
    </w:rPr>
  </w:style>
  <w:style w:type="character" w:styleId="Titelvanboek">
    <w:name w:val="Book Title"/>
    <w:basedOn w:val="Standaardalinea-lettertype"/>
    <w:uiPriority w:val="33"/>
    <w:qFormat/>
    <w:rsid w:val="005614FE"/>
    <w:rPr>
      <w:i/>
      <w:iCs/>
      <w:smallCaps/>
      <w:spacing w:val="5"/>
    </w:rPr>
  </w:style>
  <w:style w:type="paragraph" w:styleId="Kopvaninhoudsopgave">
    <w:name w:val="TOC Heading"/>
    <w:basedOn w:val="Kop1"/>
    <w:next w:val="Standaard"/>
    <w:uiPriority w:val="39"/>
    <w:semiHidden/>
    <w:unhideWhenUsed/>
    <w:qFormat/>
    <w:rsid w:val="005614FE"/>
    <w:pPr>
      <w:outlineLvl w:val="9"/>
    </w:pPr>
    <w:rPr>
      <w:lang w:bidi="en-US"/>
    </w:rPr>
  </w:style>
  <w:style w:type="table" w:styleId="Tabelraster">
    <w:name w:val="Table Grid"/>
    <w:basedOn w:val="Standaardtabel"/>
    <w:uiPriority w:val="59"/>
    <w:rsid w:val="0056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08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894"/>
  </w:style>
  <w:style w:type="paragraph" w:styleId="Voettekst">
    <w:name w:val="footer"/>
    <w:basedOn w:val="Standaard"/>
    <w:link w:val="VoettekstChar"/>
    <w:uiPriority w:val="99"/>
    <w:unhideWhenUsed/>
    <w:rsid w:val="00AB0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94"/>
  </w:style>
  <w:style w:type="paragraph" w:customStyle="1" w:styleId="CM1">
    <w:name w:val="CM1"/>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paragraph" w:customStyle="1" w:styleId="CM3">
    <w:name w:val="CM3"/>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character" w:styleId="Hyperlink">
    <w:name w:val="Hyperlink"/>
    <w:basedOn w:val="Standaardalinea-lettertype"/>
    <w:uiPriority w:val="99"/>
    <w:unhideWhenUsed/>
    <w:rsid w:val="00576DB6"/>
    <w:rPr>
      <w:color w:val="0000FF" w:themeColor="hyperlink"/>
      <w:u w:val="single"/>
    </w:rPr>
  </w:style>
  <w:style w:type="paragraph" w:customStyle="1" w:styleId="Default">
    <w:name w:val="Default"/>
    <w:rsid w:val="00297AA5"/>
    <w:pPr>
      <w:autoSpaceDE w:val="0"/>
      <w:autoSpaceDN w:val="0"/>
      <w:adjustRightInd w:val="0"/>
      <w:spacing w:after="0" w:line="240" w:lineRule="auto"/>
    </w:pPr>
    <w:rPr>
      <w:rFonts w:ascii="EUAlbertina" w:eastAsia="Calibri" w:hAnsi="EUAlbertina" w:cs="EUAlbertina"/>
      <w:color w:val="000000"/>
      <w:sz w:val="24"/>
      <w:szCs w:val="24"/>
      <w:lang w:eastAsia="nl-BE" w:bidi="nl-BE"/>
    </w:rPr>
  </w:style>
  <w:style w:type="paragraph" w:styleId="Inhopg1">
    <w:name w:val="toc 1"/>
    <w:basedOn w:val="Standaard"/>
    <w:next w:val="Standaard"/>
    <w:autoRedefine/>
    <w:uiPriority w:val="39"/>
    <w:unhideWhenUsed/>
    <w:rsid w:val="00E74292"/>
    <w:pPr>
      <w:spacing w:after="100"/>
    </w:pPr>
  </w:style>
  <w:style w:type="paragraph" w:styleId="Inhopg2">
    <w:name w:val="toc 2"/>
    <w:basedOn w:val="Standaard"/>
    <w:next w:val="Standaard"/>
    <w:autoRedefine/>
    <w:uiPriority w:val="39"/>
    <w:unhideWhenUsed/>
    <w:rsid w:val="00E74292"/>
    <w:pPr>
      <w:spacing w:after="100"/>
      <w:ind w:left="240"/>
    </w:pPr>
  </w:style>
  <w:style w:type="paragraph" w:styleId="Inhopg3">
    <w:name w:val="toc 3"/>
    <w:basedOn w:val="Standaard"/>
    <w:next w:val="Standaard"/>
    <w:autoRedefine/>
    <w:uiPriority w:val="39"/>
    <w:unhideWhenUsed/>
    <w:rsid w:val="00736B01"/>
    <w:pPr>
      <w:tabs>
        <w:tab w:val="left" w:pos="1100"/>
        <w:tab w:val="right" w:leader="dot" w:pos="9062"/>
      </w:tabs>
      <w:spacing w:after="100"/>
      <w:ind w:left="48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894"/>
    <w:pPr>
      <w:jc w:val="both"/>
    </w:pPr>
    <w:rPr>
      <w:rFonts w:ascii="Gill Sans MT" w:hAnsi="Gill Sans MT"/>
      <w:sz w:val="24"/>
    </w:rPr>
  </w:style>
  <w:style w:type="paragraph" w:styleId="Kop1">
    <w:name w:val="heading 1"/>
    <w:basedOn w:val="Standaard"/>
    <w:next w:val="Standaard"/>
    <w:link w:val="Kop1Char"/>
    <w:uiPriority w:val="9"/>
    <w:qFormat/>
    <w:rsid w:val="005614FE"/>
    <w:pPr>
      <w:spacing w:before="480" w:after="0"/>
      <w:contextualSpacing/>
      <w:outlineLvl w:val="0"/>
    </w:pPr>
    <w:rPr>
      <w:smallCaps/>
      <w:spacing w:val="5"/>
      <w:sz w:val="36"/>
      <w:szCs w:val="36"/>
    </w:rPr>
  </w:style>
  <w:style w:type="paragraph" w:styleId="Kop2">
    <w:name w:val="heading 2"/>
    <w:basedOn w:val="Standaard"/>
    <w:next w:val="Standaard"/>
    <w:link w:val="Kop2Char"/>
    <w:uiPriority w:val="9"/>
    <w:unhideWhenUsed/>
    <w:qFormat/>
    <w:rsid w:val="005614FE"/>
    <w:pPr>
      <w:spacing w:before="200" w:after="0" w:line="271" w:lineRule="auto"/>
      <w:outlineLvl w:val="1"/>
    </w:pPr>
    <w:rPr>
      <w:smallCaps/>
      <w:sz w:val="28"/>
      <w:szCs w:val="28"/>
    </w:rPr>
  </w:style>
  <w:style w:type="paragraph" w:styleId="Kop3">
    <w:name w:val="heading 3"/>
    <w:basedOn w:val="Standaard"/>
    <w:next w:val="Standaard"/>
    <w:link w:val="Kop3Char"/>
    <w:uiPriority w:val="9"/>
    <w:unhideWhenUsed/>
    <w:qFormat/>
    <w:rsid w:val="005614FE"/>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unhideWhenUsed/>
    <w:qFormat/>
    <w:rsid w:val="005614FE"/>
    <w:pPr>
      <w:spacing w:after="0" w:line="271" w:lineRule="auto"/>
      <w:outlineLvl w:val="3"/>
    </w:pPr>
    <w:rPr>
      <w:b/>
      <w:bCs/>
      <w:spacing w:val="5"/>
      <w:szCs w:val="24"/>
    </w:rPr>
  </w:style>
  <w:style w:type="paragraph" w:styleId="Kop5">
    <w:name w:val="heading 5"/>
    <w:basedOn w:val="Standaard"/>
    <w:next w:val="Standaard"/>
    <w:link w:val="Kop5Char"/>
    <w:uiPriority w:val="9"/>
    <w:unhideWhenUsed/>
    <w:qFormat/>
    <w:rsid w:val="005614FE"/>
    <w:pPr>
      <w:spacing w:after="0" w:line="271" w:lineRule="auto"/>
      <w:outlineLvl w:val="4"/>
    </w:pPr>
    <w:rPr>
      <w:i/>
      <w:iCs/>
      <w:szCs w:val="24"/>
    </w:rPr>
  </w:style>
  <w:style w:type="paragraph" w:styleId="Kop6">
    <w:name w:val="heading 6"/>
    <w:basedOn w:val="Standaard"/>
    <w:next w:val="Standaard"/>
    <w:link w:val="Kop6Char"/>
    <w:uiPriority w:val="9"/>
    <w:semiHidden/>
    <w:unhideWhenUsed/>
    <w:qFormat/>
    <w:rsid w:val="005614FE"/>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5614FE"/>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5614FE"/>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5614FE"/>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C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6C69"/>
    <w:rPr>
      <w:rFonts w:ascii="Tahoma" w:hAnsi="Tahoma" w:cs="Tahoma"/>
      <w:sz w:val="16"/>
      <w:szCs w:val="16"/>
    </w:rPr>
  </w:style>
  <w:style w:type="paragraph" w:styleId="Duidelijkcitaat">
    <w:name w:val="Intense Quote"/>
    <w:basedOn w:val="Standaard"/>
    <w:next w:val="Standaard"/>
    <w:link w:val="DuidelijkcitaatChar"/>
    <w:uiPriority w:val="30"/>
    <w:qFormat/>
    <w:rsid w:val="005614FE"/>
    <w:pPr>
      <w:pBdr>
        <w:top w:val="single" w:sz="4" w:space="10" w:color="auto"/>
        <w:bottom w:val="single" w:sz="4" w:space="10" w:color="auto"/>
      </w:pBdr>
      <w:spacing w:before="240" w:after="240" w:line="300" w:lineRule="auto"/>
      <w:ind w:left="1152" w:right="1152"/>
    </w:pPr>
    <w:rPr>
      <w:i/>
      <w:iCs/>
    </w:rPr>
  </w:style>
  <w:style w:type="character" w:customStyle="1" w:styleId="DuidelijkcitaatChar">
    <w:name w:val="Duidelijk citaat Char"/>
    <w:basedOn w:val="Standaardalinea-lettertype"/>
    <w:link w:val="Duidelijkcitaat"/>
    <w:uiPriority w:val="30"/>
    <w:rsid w:val="005614FE"/>
    <w:rPr>
      <w:i/>
      <w:iCs/>
    </w:rPr>
  </w:style>
  <w:style w:type="character" w:customStyle="1" w:styleId="Kop1Char">
    <w:name w:val="Kop 1 Char"/>
    <w:basedOn w:val="Standaardalinea-lettertype"/>
    <w:link w:val="Kop1"/>
    <w:uiPriority w:val="9"/>
    <w:rsid w:val="005614FE"/>
    <w:rPr>
      <w:smallCaps/>
      <w:spacing w:val="5"/>
      <w:sz w:val="36"/>
      <w:szCs w:val="36"/>
    </w:rPr>
  </w:style>
  <w:style w:type="character" w:customStyle="1" w:styleId="Kop2Char">
    <w:name w:val="Kop 2 Char"/>
    <w:basedOn w:val="Standaardalinea-lettertype"/>
    <w:link w:val="Kop2"/>
    <w:uiPriority w:val="9"/>
    <w:rsid w:val="005614FE"/>
    <w:rPr>
      <w:smallCaps/>
      <w:sz w:val="28"/>
      <w:szCs w:val="28"/>
    </w:rPr>
  </w:style>
  <w:style w:type="character" w:customStyle="1" w:styleId="Kop3Char">
    <w:name w:val="Kop 3 Char"/>
    <w:basedOn w:val="Standaardalinea-lettertype"/>
    <w:link w:val="Kop3"/>
    <w:uiPriority w:val="9"/>
    <w:rsid w:val="005614FE"/>
    <w:rPr>
      <w:i/>
      <w:iCs/>
      <w:smallCaps/>
      <w:spacing w:val="5"/>
      <w:sz w:val="26"/>
      <w:szCs w:val="26"/>
    </w:rPr>
  </w:style>
  <w:style w:type="character" w:customStyle="1" w:styleId="Kop4Char">
    <w:name w:val="Kop 4 Char"/>
    <w:basedOn w:val="Standaardalinea-lettertype"/>
    <w:link w:val="Kop4"/>
    <w:uiPriority w:val="9"/>
    <w:rsid w:val="005614FE"/>
    <w:rPr>
      <w:b/>
      <w:bCs/>
      <w:spacing w:val="5"/>
      <w:sz w:val="24"/>
      <w:szCs w:val="24"/>
    </w:rPr>
  </w:style>
  <w:style w:type="character" w:customStyle="1" w:styleId="Kop5Char">
    <w:name w:val="Kop 5 Char"/>
    <w:basedOn w:val="Standaardalinea-lettertype"/>
    <w:link w:val="Kop5"/>
    <w:uiPriority w:val="9"/>
    <w:rsid w:val="005614FE"/>
    <w:rPr>
      <w:i/>
      <w:iCs/>
      <w:sz w:val="24"/>
      <w:szCs w:val="24"/>
    </w:rPr>
  </w:style>
  <w:style w:type="character" w:customStyle="1" w:styleId="Kop6Char">
    <w:name w:val="Kop 6 Char"/>
    <w:basedOn w:val="Standaardalinea-lettertype"/>
    <w:link w:val="Kop6"/>
    <w:uiPriority w:val="9"/>
    <w:semiHidden/>
    <w:rsid w:val="005614FE"/>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5614FE"/>
    <w:rPr>
      <w:b/>
      <w:bCs/>
      <w:i/>
      <w:iCs/>
      <w:color w:val="5A5A5A" w:themeColor="text1" w:themeTint="A5"/>
      <w:sz w:val="20"/>
      <w:szCs w:val="20"/>
    </w:rPr>
  </w:style>
  <w:style w:type="character" w:customStyle="1" w:styleId="Kop8Char">
    <w:name w:val="Kop 8 Char"/>
    <w:basedOn w:val="Standaardalinea-lettertype"/>
    <w:link w:val="Kop8"/>
    <w:uiPriority w:val="9"/>
    <w:semiHidden/>
    <w:rsid w:val="005614FE"/>
    <w:rPr>
      <w:b/>
      <w:bCs/>
      <w:color w:val="7F7F7F" w:themeColor="text1" w:themeTint="80"/>
      <w:sz w:val="20"/>
      <w:szCs w:val="20"/>
    </w:rPr>
  </w:style>
  <w:style w:type="character" w:customStyle="1" w:styleId="Kop9Char">
    <w:name w:val="Kop 9 Char"/>
    <w:basedOn w:val="Standaardalinea-lettertype"/>
    <w:link w:val="Kop9"/>
    <w:uiPriority w:val="9"/>
    <w:semiHidden/>
    <w:rsid w:val="005614FE"/>
    <w:rPr>
      <w:b/>
      <w:bCs/>
      <w:i/>
      <w:iCs/>
      <w:color w:val="7F7F7F" w:themeColor="text1" w:themeTint="80"/>
      <w:sz w:val="18"/>
      <w:szCs w:val="18"/>
    </w:rPr>
  </w:style>
  <w:style w:type="paragraph" w:styleId="Titel">
    <w:name w:val="Title"/>
    <w:basedOn w:val="Standaard"/>
    <w:next w:val="Standaard"/>
    <w:link w:val="TitelChar"/>
    <w:uiPriority w:val="10"/>
    <w:qFormat/>
    <w:rsid w:val="005614FE"/>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5614FE"/>
    <w:rPr>
      <w:smallCaps/>
      <w:sz w:val="52"/>
      <w:szCs w:val="52"/>
    </w:rPr>
  </w:style>
  <w:style w:type="paragraph" w:styleId="Ondertitel">
    <w:name w:val="Subtitle"/>
    <w:basedOn w:val="Standaard"/>
    <w:next w:val="Standaard"/>
    <w:link w:val="OndertitelChar"/>
    <w:uiPriority w:val="11"/>
    <w:qFormat/>
    <w:rsid w:val="005614FE"/>
    <w:rPr>
      <w:i/>
      <w:iCs/>
      <w:smallCaps/>
      <w:spacing w:val="10"/>
      <w:sz w:val="28"/>
      <w:szCs w:val="28"/>
    </w:rPr>
  </w:style>
  <w:style w:type="character" w:customStyle="1" w:styleId="OndertitelChar">
    <w:name w:val="Ondertitel Char"/>
    <w:basedOn w:val="Standaardalinea-lettertype"/>
    <w:link w:val="Ondertitel"/>
    <w:uiPriority w:val="11"/>
    <w:rsid w:val="005614FE"/>
    <w:rPr>
      <w:i/>
      <w:iCs/>
      <w:smallCaps/>
      <w:spacing w:val="10"/>
      <w:sz w:val="28"/>
      <w:szCs w:val="28"/>
    </w:rPr>
  </w:style>
  <w:style w:type="character" w:styleId="Zwaar">
    <w:name w:val="Strong"/>
    <w:uiPriority w:val="22"/>
    <w:qFormat/>
    <w:rsid w:val="005614FE"/>
    <w:rPr>
      <w:b/>
      <w:bCs/>
    </w:rPr>
  </w:style>
  <w:style w:type="character" w:styleId="Nadruk">
    <w:name w:val="Emphasis"/>
    <w:uiPriority w:val="20"/>
    <w:qFormat/>
    <w:rsid w:val="005614FE"/>
    <w:rPr>
      <w:b/>
      <w:bCs/>
      <w:i/>
      <w:iCs/>
      <w:spacing w:val="10"/>
    </w:rPr>
  </w:style>
  <w:style w:type="paragraph" w:styleId="Geenafstand">
    <w:name w:val="No Spacing"/>
    <w:basedOn w:val="Standaard"/>
    <w:uiPriority w:val="1"/>
    <w:qFormat/>
    <w:rsid w:val="005614FE"/>
    <w:pPr>
      <w:spacing w:after="0" w:line="240" w:lineRule="auto"/>
    </w:pPr>
  </w:style>
  <w:style w:type="paragraph" w:styleId="Lijstalinea">
    <w:name w:val="List Paragraph"/>
    <w:basedOn w:val="Standaard"/>
    <w:uiPriority w:val="34"/>
    <w:qFormat/>
    <w:rsid w:val="005614FE"/>
    <w:pPr>
      <w:ind w:left="720"/>
      <w:contextualSpacing/>
    </w:pPr>
  </w:style>
  <w:style w:type="paragraph" w:styleId="Citaat">
    <w:name w:val="Quote"/>
    <w:basedOn w:val="Standaard"/>
    <w:next w:val="Standaard"/>
    <w:link w:val="CitaatChar"/>
    <w:uiPriority w:val="29"/>
    <w:qFormat/>
    <w:rsid w:val="005614FE"/>
    <w:rPr>
      <w:i/>
      <w:iCs/>
    </w:rPr>
  </w:style>
  <w:style w:type="character" w:customStyle="1" w:styleId="CitaatChar">
    <w:name w:val="Citaat Char"/>
    <w:basedOn w:val="Standaardalinea-lettertype"/>
    <w:link w:val="Citaat"/>
    <w:uiPriority w:val="29"/>
    <w:rsid w:val="005614FE"/>
    <w:rPr>
      <w:i/>
      <w:iCs/>
    </w:rPr>
  </w:style>
  <w:style w:type="character" w:styleId="Subtielebenadrukking">
    <w:name w:val="Subtle Emphasis"/>
    <w:uiPriority w:val="19"/>
    <w:qFormat/>
    <w:rsid w:val="005614FE"/>
    <w:rPr>
      <w:i/>
      <w:iCs/>
    </w:rPr>
  </w:style>
  <w:style w:type="character" w:styleId="Intensievebenadrukking">
    <w:name w:val="Intense Emphasis"/>
    <w:uiPriority w:val="21"/>
    <w:qFormat/>
    <w:rsid w:val="005614FE"/>
    <w:rPr>
      <w:b/>
      <w:bCs/>
      <w:i/>
      <w:iCs/>
    </w:rPr>
  </w:style>
  <w:style w:type="character" w:styleId="Subtieleverwijzing">
    <w:name w:val="Subtle Reference"/>
    <w:basedOn w:val="Standaardalinea-lettertype"/>
    <w:uiPriority w:val="31"/>
    <w:qFormat/>
    <w:rsid w:val="005614FE"/>
    <w:rPr>
      <w:smallCaps/>
    </w:rPr>
  </w:style>
  <w:style w:type="character" w:styleId="Intensieveverwijzing">
    <w:name w:val="Intense Reference"/>
    <w:uiPriority w:val="32"/>
    <w:qFormat/>
    <w:rsid w:val="005614FE"/>
    <w:rPr>
      <w:b/>
      <w:bCs/>
      <w:smallCaps/>
    </w:rPr>
  </w:style>
  <w:style w:type="character" w:styleId="Titelvanboek">
    <w:name w:val="Book Title"/>
    <w:basedOn w:val="Standaardalinea-lettertype"/>
    <w:uiPriority w:val="33"/>
    <w:qFormat/>
    <w:rsid w:val="005614FE"/>
    <w:rPr>
      <w:i/>
      <w:iCs/>
      <w:smallCaps/>
      <w:spacing w:val="5"/>
    </w:rPr>
  </w:style>
  <w:style w:type="paragraph" w:styleId="Kopvaninhoudsopgave">
    <w:name w:val="TOC Heading"/>
    <w:basedOn w:val="Kop1"/>
    <w:next w:val="Standaard"/>
    <w:uiPriority w:val="39"/>
    <w:semiHidden/>
    <w:unhideWhenUsed/>
    <w:qFormat/>
    <w:rsid w:val="005614FE"/>
    <w:pPr>
      <w:outlineLvl w:val="9"/>
    </w:pPr>
    <w:rPr>
      <w:lang w:bidi="en-US"/>
    </w:rPr>
  </w:style>
  <w:style w:type="table" w:styleId="Tabelraster">
    <w:name w:val="Table Grid"/>
    <w:basedOn w:val="Standaardtabel"/>
    <w:uiPriority w:val="59"/>
    <w:rsid w:val="00561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08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0894"/>
  </w:style>
  <w:style w:type="paragraph" w:styleId="Voettekst">
    <w:name w:val="footer"/>
    <w:basedOn w:val="Standaard"/>
    <w:link w:val="VoettekstChar"/>
    <w:uiPriority w:val="99"/>
    <w:unhideWhenUsed/>
    <w:rsid w:val="00AB08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0894"/>
  </w:style>
  <w:style w:type="paragraph" w:customStyle="1" w:styleId="CM1">
    <w:name w:val="CM1"/>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paragraph" w:customStyle="1" w:styleId="CM3">
    <w:name w:val="CM3"/>
    <w:basedOn w:val="Standaard"/>
    <w:next w:val="Standaard"/>
    <w:uiPriority w:val="99"/>
    <w:rsid w:val="00E82B11"/>
    <w:pPr>
      <w:autoSpaceDE w:val="0"/>
      <w:autoSpaceDN w:val="0"/>
      <w:adjustRightInd w:val="0"/>
      <w:spacing w:after="0" w:line="240" w:lineRule="auto"/>
      <w:jc w:val="left"/>
    </w:pPr>
    <w:rPr>
      <w:rFonts w:ascii="EUAlbertina" w:hAnsi="EUAlbertina"/>
      <w:szCs w:val="24"/>
    </w:rPr>
  </w:style>
  <w:style w:type="character" w:styleId="Hyperlink">
    <w:name w:val="Hyperlink"/>
    <w:basedOn w:val="Standaardalinea-lettertype"/>
    <w:uiPriority w:val="99"/>
    <w:unhideWhenUsed/>
    <w:rsid w:val="00576DB6"/>
    <w:rPr>
      <w:color w:val="0000FF" w:themeColor="hyperlink"/>
      <w:u w:val="single"/>
    </w:rPr>
  </w:style>
  <w:style w:type="paragraph" w:customStyle="1" w:styleId="Default">
    <w:name w:val="Default"/>
    <w:rsid w:val="00297AA5"/>
    <w:pPr>
      <w:autoSpaceDE w:val="0"/>
      <w:autoSpaceDN w:val="0"/>
      <w:adjustRightInd w:val="0"/>
      <w:spacing w:after="0" w:line="240" w:lineRule="auto"/>
    </w:pPr>
    <w:rPr>
      <w:rFonts w:ascii="EUAlbertina" w:eastAsia="Calibri" w:hAnsi="EUAlbertina" w:cs="EUAlbertina"/>
      <w:color w:val="000000"/>
      <w:sz w:val="24"/>
      <w:szCs w:val="24"/>
      <w:lang w:eastAsia="nl-BE" w:bidi="nl-BE"/>
    </w:rPr>
  </w:style>
  <w:style w:type="paragraph" w:styleId="Inhopg1">
    <w:name w:val="toc 1"/>
    <w:basedOn w:val="Standaard"/>
    <w:next w:val="Standaard"/>
    <w:autoRedefine/>
    <w:uiPriority w:val="39"/>
    <w:unhideWhenUsed/>
    <w:rsid w:val="00E74292"/>
    <w:pPr>
      <w:spacing w:after="100"/>
    </w:pPr>
  </w:style>
  <w:style w:type="paragraph" w:styleId="Inhopg2">
    <w:name w:val="toc 2"/>
    <w:basedOn w:val="Standaard"/>
    <w:next w:val="Standaard"/>
    <w:autoRedefine/>
    <w:uiPriority w:val="39"/>
    <w:unhideWhenUsed/>
    <w:rsid w:val="00E74292"/>
    <w:pPr>
      <w:spacing w:after="100"/>
      <w:ind w:left="240"/>
    </w:pPr>
  </w:style>
  <w:style w:type="paragraph" w:styleId="Inhopg3">
    <w:name w:val="toc 3"/>
    <w:basedOn w:val="Standaard"/>
    <w:next w:val="Standaard"/>
    <w:autoRedefine/>
    <w:uiPriority w:val="39"/>
    <w:unhideWhenUsed/>
    <w:rsid w:val="00736B01"/>
    <w:pPr>
      <w:tabs>
        <w:tab w:val="left" w:pos="1100"/>
        <w:tab w:val="right" w:leader="dot" w:pos="9062"/>
      </w:tabs>
      <w:spacing w:after="100"/>
      <w:ind w:left="48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6200">
      <w:bodyDiv w:val="1"/>
      <w:marLeft w:val="0"/>
      <w:marRight w:val="0"/>
      <w:marTop w:val="0"/>
      <w:marBottom w:val="0"/>
      <w:divBdr>
        <w:top w:val="none" w:sz="0" w:space="0" w:color="auto"/>
        <w:left w:val="none" w:sz="0" w:space="0" w:color="auto"/>
        <w:bottom w:val="none" w:sz="0" w:space="0" w:color="auto"/>
        <w:right w:val="none" w:sz="0" w:space="0" w:color="auto"/>
      </w:divBdr>
    </w:div>
    <w:div w:id="407963301">
      <w:bodyDiv w:val="1"/>
      <w:marLeft w:val="0"/>
      <w:marRight w:val="0"/>
      <w:marTop w:val="0"/>
      <w:marBottom w:val="0"/>
      <w:divBdr>
        <w:top w:val="none" w:sz="0" w:space="0" w:color="auto"/>
        <w:left w:val="none" w:sz="0" w:space="0" w:color="auto"/>
        <w:bottom w:val="none" w:sz="0" w:space="0" w:color="auto"/>
        <w:right w:val="none" w:sz="0" w:space="0" w:color="auto"/>
      </w:divBdr>
    </w:div>
    <w:div w:id="574435709">
      <w:bodyDiv w:val="1"/>
      <w:marLeft w:val="0"/>
      <w:marRight w:val="0"/>
      <w:marTop w:val="0"/>
      <w:marBottom w:val="0"/>
      <w:divBdr>
        <w:top w:val="none" w:sz="0" w:space="0" w:color="auto"/>
        <w:left w:val="none" w:sz="0" w:space="0" w:color="auto"/>
        <w:bottom w:val="none" w:sz="0" w:space="0" w:color="auto"/>
        <w:right w:val="none" w:sz="0" w:space="0" w:color="auto"/>
      </w:divBdr>
    </w:div>
    <w:div w:id="991180539">
      <w:bodyDiv w:val="1"/>
      <w:marLeft w:val="0"/>
      <w:marRight w:val="0"/>
      <w:marTop w:val="0"/>
      <w:marBottom w:val="0"/>
      <w:divBdr>
        <w:top w:val="none" w:sz="0" w:space="0" w:color="auto"/>
        <w:left w:val="none" w:sz="0" w:space="0" w:color="auto"/>
        <w:bottom w:val="none" w:sz="0" w:space="0" w:color="auto"/>
        <w:right w:val="none" w:sz="0" w:space="0" w:color="auto"/>
      </w:divBdr>
    </w:div>
    <w:div w:id="1005934582">
      <w:bodyDiv w:val="1"/>
      <w:marLeft w:val="0"/>
      <w:marRight w:val="0"/>
      <w:marTop w:val="0"/>
      <w:marBottom w:val="0"/>
      <w:divBdr>
        <w:top w:val="none" w:sz="0" w:space="0" w:color="auto"/>
        <w:left w:val="none" w:sz="0" w:space="0" w:color="auto"/>
        <w:bottom w:val="none" w:sz="0" w:space="0" w:color="auto"/>
        <w:right w:val="none" w:sz="0" w:space="0" w:color="auto"/>
      </w:divBdr>
    </w:div>
    <w:div w:id="1234394908">
      <w:bodyDiv w:val="1"/>
      <w:marLeft w:val="0"/>
      <w:marRight w:val="0"/>
      <w:marTop w:val="0"/>
      <w:marBottom w:val="0"/>
      <w:divBdr>
        <w:top w:val="none" w:sz="0" w:space="0" w:color="auto"/>
        <w:left w:val="none" w:sz="0" w:space="0" w:color="auto"/>
        <w:bottom w:val="none" w:sz="0" w:space="0" w:color="auto"/>
        <w:right w:val="none" w:sz="0" w:space="0" w:color="auto"/>
      </w:divBdr>
    </w:div>
    <w:div w:id="1333415239">
      <w:bodyDiv w:val="1"/>
      <w:marLeft w:val="0"/>
      <w:marRight w:val="0"/>
      <w:marTop w:val="0"/>
      <w:marBottom w:val="0"/>
      <w:divBdr>
        <w:top w:val="none" w:sz="0" w:space="0" w:color="auto"/>
        <w:left w:val="none" w:sz="0" w:space="0" w:color="auto"/>
        <w:bottom w:val="none" w:sz="0" w:space="0" w:color="auto"/>
        <w:right w:val="none" w:sz="0" w:space="0" w:color="auto"/>
      </w:divBdr>
    </w:div>
    <w:div w:id="1353917602">
      <w:bodyDiv w:val="1"/>
      <w:marLeft w:val="0"/>
      <w:marRight w:val="0"/>
      <w:marTop w:val="0"/>
      <w:marBottom w:val="0"/>
      <w:divBdr>
        <w:top w:val="none" w:sz="0" w:space="0" w:color="auto"/>
        <w:left w:val="none" w:sz="0" w:space="0" w:color="auto"/>
        <w:bottom w:val="none" w:sz="0" w:space="0" w:color="auto"/>
        <w:right w:val="none" w:sz="0" w:space="0" w:color="auto"/>
      </w:divBdr>
    </w:div>
    <w:div w:id="1396732922">
      <w:bodyDiv w:val="1"/>
      <w:marLeft w:val="0"/>
      <w:marRight w:val="0"/>
      <w:marTop w:val="0"/>
      <w:marBottom w:val="0"/>
      <w:divBdr>
        <w:top w:val="none" w:sz="0" w:space="0" w:color="auto"/>
        <w:left w:val="none" w:sz="0" w:space="0" w:color="auto"/>
        <w:bottom w:val="none" w:sz="0" w:space="0" w:color="auto"/>
        <w:right w:val="none" w:sz="0" w:space="0" w:color="auto"/>
      </w:divBdr>
    </w:div>
    <w:div w:id="1652245067">
      <w:bodyDiv w:val="1"/>
      <w:marLeft w:val="0"/>
      <w:marRight w:val="0"/>
      <w:marTop w:val="0"/>
      <w:marBottom w:val="0"/>
      <w:divBdr>
        <w:top w:val="none" w:sz="0" w:space="0" w:color="auto"/>
        <w:left w:val="none" w:sz="0" w:space="0" w:color="auto"/>
        <w:bottom w:val="none" w:sz="0" w:space="0" w:color="auto"/>
        <w:right w:val="none" w:sz="0" w:space="0" w:color="auto"/>
      </w:divBdr>
    </w:div>
    <w:div w:id="1668091107">
      <w:bodyDiv w:val="1"/>
      <w:marLeft w:val="0"/>
      <w:marRight w:val="0"/>
      <w:marTop w:val="0"/>
      <w:marBottom w:val="0"/>
      <w:divBdr>
        <w:top w:val="none" w:sz="0" w:space="0" w:color="auto"/>
        <w:left w:val="none" w:sz="0" w:space="0" w:color="auto"/>
        <w:bottom w:val="none" w:sz="0" w:space="0" w:color="auto"/>
        <w:right w:val="none" w:sz="0" w:space="0" w:color="auto"/>
      </w:divBdr>
    </w:div>
    <w:div w:id="1765035989">
      <w:bodyDiv w:val="1"/>
      <w:marLeft w:val="0"/>
      <w:marRight w:val="0"/>
      <w:marTop w:val="0"/>
      <w:marBottom w:val="0"/>
      <w:divBdr>
        <w:top w:val="none" w:sz="0" w:space="0" w:color="auto"/>
        <w:left w:val="none" w:sz="0" w:space="0" w:color="auto"/>
        <w:bottom w:val="none" w:sz="0" w:space="0" w:color="auto"/>
        <w:right w:val="none" w:sz="0" w:space="0" w:color="auto"/>
      </w:divBdr>
    </w:div>
    <w:div w:id="1783450808">
      <w:bodyDiv w:val="1"/>
      <w:marLeft w:val="0"/>
      <w:marRight w:val="0"/>
      <w:marTop w:val="0"/>
      <w:marBottom w:val="0"/>
      <w:divBdr>
        <w:top w:val="none" w:sz="0" w:space="0" w:color="auto"/>
        <w:left w:val="none" w:sz="0" w:space="0" w:color="auto"/>
        <w:bottom w:val="none" w:sz="0" w:space="0" w:color="auto"/>
        <w:right w:val="none" w:sz="0" w:space="0" w:color="auto"/>
      </w:divBdr>
    </w:div>
    <w:div w:id="1915583054">
      <w:bodyDiv w:val="1"/>
      <w:marLeft w:val="0"/>
      <w:marRight w:val="0"/>
      <w:marTop w:val="0"/>
      <w:marBottom w:val="0"/>
      <w:divBdr>
        <w:top w:val="none" w:sz="0" w:space="0" w:color="auto"/>
        <w:left w:val="none" w:sz="0" w:space="0" w:color="auto"/>
        <w:bottom w:val="none" w:sz="0" w:space="0" w:color="auto"/>
        <w:right w:val="none" w:sz="0" w:space="0" w:color="auto"/>
      </w:divBdr>
    </w:div>
    <w:div w:id="2063946430">
      <w:bodyDiv w:val="1"/>
      <w:marLeft w:val="0"/>
      <w:marRight w:val="0"/>
      <w:marTop w:val="0"/>
      <w:marBottom w:val="0"/>
      <w:divBdr>
        <w:top w:val="none" w:sz="0" w:space="0" w:color="auto"/>
        <w:left w:val="none" w:sz="0" w:space="0" w:color="auto"/>
        <w:bottom w:val="none" w:sz="0" w:space="0" w:color="auto"/>
        <w:right w:val="none" w:sz="0" w:space="0" w:color="auto"/>
      </w:divBdr>
    </w:div>
    <w:div w:id="2134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is.be/be-nl/doc/europa/fead-reglement-2014"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BBC45-518F-4310-B9E5-3E81A9F8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TotalTime>
  <Pages>21</Pages>
  <Words>7307</Words>
  <Characters>40194</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109</cp:revision>
  <cp:lastPrinted>2015-06-17T19:54:00Z</cp:lastPrinted>
  <dcterms:created xsi:type="dcterms:W3CDTF">2015-06-09T08:40:00Z</dcterms:created>
  <dcterms:modified xsi:type="dcterms:W3CDTF">2015-06-29T08:06:00Z</dcterms:modified>
</cp:coreProperties>
</file>