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8BD52" w14:textId="3A8DDEF9" w:rsidR="00446C69" w:rsidRPr="00407488" w:rsidRDefault="009B4B7A" w:rsidP="002666E5">
      <w:pPr>
        <w:tabs>
          <w:tab w:val="center" w:pos="4536"/>
        </w:tabs>
        <w:jc w:val="left"/>
        <w:rPr>
          <w:sz w:val="44"/>
        </w:rPr>
      </w:pPr>
      <w:r w:rsidRPr="00407488">
        <w:rPr>
          <w:noProof/>
          <w:sz w:val="44"/>
          <w:lang w:val="nl-BE" w:eastAsia="nl-BE" w:bidi="ar-SA"/>
        </w:rPr>
        <w:drawing>
          <wp:anchor distT="0" distB="0" distL="114300" distR="114300" simplePos="0" relativeHeight="251658240" behindDoc="1" locked="0" layoutInCell="1" allowOverlap="1" wp14:anchorId="5DE493D7" wp14:editId="25087B1F">
            <wp:simplePos x="0" y="0"/>
            <wp:positionH relativeFrom="column">
              <wp:posOffset>3862070</wp:posOffset>
            </wp:positionH>
            <wp:positionV relativeFrom="paragraph">
              <wp:posOffset>-318724</wp:posOffset>
            </wp:positionV>
            <wp:extent cx="1875790" cy="950595"/>
            <wp:effectExtent l="0" t="0" r="0" b="190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mi_logo.jpg"/>
                    <pic:cNvPicPr/>
                  </pic:nvPicPr>
                  <pic:blipFill>
                    <a:blip r:embed="rId8">
                      <a:extLst>
                        <a:ext uri="{28A0092B-C50C-407E-A947-70E740481C1C}">
                          <a14:useLocalDpi xmlns:a14="http://schemas.microsoft.com/office/drawing/2010/main" val="0"/>
                        </a:ext>
                      </a:extLst>
                    </a:blip>
                    <a:stretch>
                      <a:fillRect/>
                    </a:stretch>
                  </pic:blipFill>
                  <pic:spPr>
                    <a:xfrm>
                      <a:off x="0" y="0"/>
                      <a:ext cx="1875790" cy="950595"/>
                    </a:xfrm>
                    <a:prstGeom prst="rect">
                      <a:avLst/>
                    </a:prstGeom>
                  </pic:spPr>
                </pic:pic>
              </a:graphicData>
            </a:graphic>
            <wp14:sizeRelH relativeFrom="page">
              <wp14:pctWidth>0</wp14:pctWidth>
            </wp14:sizeRelH>
            <wp14:sizeRelV relativeFrom="page">
              <wp14:pctHeight>0</wp14:pctHeight>
            </wp14:sizeRelV>
          </wp:anchor>
        </w:drawing>
      </w:r>
      <w:r w:rsidRPr="00407488">
        <w:rPr>
          <w:noProof/>
          <w:sz w:val="44"/>
          <w:lang w:val="nl-BE" w:eastAsia="nl-BE" w:bidi="ar-SA"/>
        </w:rPr>
        <w:drawing>
          <wp:anchor distT="0" distB="0" distL="114300" distR="114300" simplePos="0" relativeHeight="251659264" behindDoc="1" locked="0" layoutInCell="1" allowOverlap="1" wp14:anchorId="516809D6" wp14:editId="1F4E2BB7">
            <wp:simplePos x="0" y="0"/>
            <wp:positionH relativeFrom="column">
              <wp:posOffset>-433705</wp:posOffset>
            </wp:positionH>
            <wp:positionV relativeFrom="paragraph">
              <wp:posOffset>-275590</wp:posOffset>
            </wp:positionV>
            <wp:extent cx="4125595" cy="948690"/>
            <wp:effectExtent l="0" t="0" r="8255" b="381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ADNL+FR.png"/>
                    <pic:cNvPicPr/>
                  </pic:nvPicPr>
                  <pic:blipFill>
                    <a:blip r:embed="rId9">
                      <a:extLst>
                        <a:ext uri="{28A0092B-C50C-407E-A947-70E740481C1C}">
                          <a14:useLocalDpi xmlns:a14="http://schemas.microsoft.com/office/drawing/2010/main" val="0"/>
                        </a:ext>
                      </a:extLst>
                    </a:blip>
                    <a:stretch>
                      <a:fillRect/>
                    </a:stretch>
                  </pic:blipFill>
                  <pic:spPr>
                    <a:xfrm>
                      <a:off x="0" y="0"/>
                      <a:ext cx="4125595" cy="948690"/>
                    </a:xfrm>
                    <a:prstGeom prst="rect">
                      <a:avLst/>
                    </a:prstGeom>
                  </pic:spPr>
                </pic:pic>
              </a:graphicData>
            </a:graphic>
            <wp14:sizeRelH relativeFrom="page">
              <wp14:pctWidth>0</wp14:pctWidth>
            </wp14:sizeRelH>
            <wp14:sizeRelV relativeFrom="page">
              <wp14:pctHeight>0</wp14:pctHeight>
            </wp14:sizeRelV>
          </wp:anchor>
        </w:drawing>
      </w:r>
      <w:r w:rsidRPr="00407488">
        <w:tab/>
      </w:r>
    </w:p>
    <w:p w14:paraId="2023AAB0" w14:textId="77777777" w:rsidR="00446C69" w:rsidRPr="00407488" w:rsidRDefault="00446C69" w:rsidP="002666E5">
      <w:pPr>
        <w:jc w:val="center"/>
        <w:rPr>
          <w:sz w:val="44"/>
        </w:rPr>
      </w:pPr>
    </w:p>
    <w:p w14:paraId="1357E8BF" w14:textId="77777777" w:rsidR="00446C69" w:rsidRPr="00407488" w:rsidRDefault="00446C69" w:rsidP="002666E5">
      <w:pPr>
        <w:jc w:val="center"/>
        <w:rPr>
          <w:rFonts w:asciiTheme="majorHAnsi" w:hAnsiTheme="majorHAnsi"/>
          <w:sz w:val="44"/>
        </w:rPr>
      </w:pPr>
    </w:p>
    <w:p w14:paraId="2E88B3D1" w14:textId="77777777" w:rsidR="00446C69" w:rsidRPr="00407488" w:rsidRDefault="00446C69" w:rsidP="002666E5">
      <w:pPr>
        <w:jc w:val="center"/>
        <w:rPr>
          <w:rFonts w:asciiTheme="majorHAnsi" w:hAnsiTheme="majorHAnsi"/>
          <w:sz w:val="44"/>
        </w:rPr>
      </w:pPr>
    </w:p>
    <w:p w14:paraId="4D6716E4" w14:textId="2DAFA94D" w:rsidR="00C53DDD" w:rsidRPr="00407488" w:rsidRDefault="00446C69" w:rsidP="002666E5">
      <w:pPr>
        <w:jc w:val="center"/>
        <w:rPr>
          <w:rFonts w:asciiTheme="majorHAnsi" w:hAnsiTheme="majorHAnsi"/>
          <w:sz w:val="48"/>
        </w:rPr>
      </w:pPr>
      <w:r w:rsidRPr="00407488">
        <w:rPr>
          <w:rFonts w:asciiTheme="majorHAnsi" w:hAnsiTheme="majorHAnsi"/>
          <w:sz w:val="48"/>
        </w:rPr>
        <w:t>Programme opérationnel belge pour le Fonds e</w:t>
      </w:r>
      <w:r w:rsidR="0090351D">
        <w:rPr>
          <w:rFonts w:asciiTheme="majorHAnsi" w:hAnsiTheme="majorHAnsi"/>
          <w:sz w:val="48"/>
        </w:rPr>
        <w:t>uropéen d'aide aux plus démunis</w:t>
      </w:r>
      <w:r w:rsidRPr="00407488">
        <w:rPr>
          <w:rFonts w:asciiTheme="majorHAnsi" w:hAnsiTheme="majorHAnsi"/>
          <w:sz w:val="48"/>
        </w:rPr>
        <w:t>: aide alimentaire, aide matérie</w:t>
      </w:r>
      <w:r w:rsidR="003612C5">
        <w:rPr>
          <w:rFonts w:asciiTheme="majorHAnsi" w:hAnsiTheme="majorHAnsi"/>
          <w:sz w:val="48"/>
        </w:rPr>
        <w:t>lle et mesures d'accompagnement</w:t>
      </w:r>
    </w:p>
    <w:p w14:paraId="06E60AFD" w14:textId="77777777" w:rsidR="009B4B7A" w:rsidRPr="00407488" w:rsidRDefault="009B4B7A" w:rsidP="002666E5">
      <w:pPr>
        <w:jc w:val="center"/>
        <w:rPr>
          <w:rFonts w:asciiTheme="majorHAnsi" w:hAnsiTheme="majorHAnsi"/>
          <w:b/>
          <w:sz w:val="56"/>
        </w:rPr>
      </w:pPr>
      <w:r w:rsidRPr="00407488">
        <w:rPr>
          <w:rFonts w:asciiTheme="majorHAnsi" w:hAnsiTheme="majorHAnsi"/>
          <w:b/>
          <w:sz w:val="56"/>
        </w:rPr>
        <w:t>2014 – 2020</w:t>
      </w:r>
    </w:p>
    <w:p w14:paraId="42403D70" w14:textId="77777777" w:rsidR="009B4B7A" w:rsidRPr="00407488" w:rsidRDefault="009B4B7A" w:rsidP="002666E5">
      <w:pPr>
        <w:jc w:val="center"/>
        <w:rPr>
          <w:rFonts w:asciiTheme="majorHAnsi" w:hAnsiTheme="majorHAnsi"/>
          <w:b/>
          <w:sz w:val="18"/>
        </w:rPr>
      </w:pPr>
    </w:p>
    <w:p w14:paraId="3581CE00" w14:textId="21FA7C71" w:rsidR="009B4B7A" w:rsidRPr="00407488" w:rsidRDefault="00372B88" w:rsidP="002666E5">
      <w:pPr>
        <w:pStyle w:val="Duidelijkcitaat"/>
        <w:spacing w:line="276" w:lineRule="auto"/>
        <w:jc w:val="center"/>
        <w:rPr>
          <w:rFonts w:asciiTheme="majorHAnsi" w:hAnsiTheme="majorHAnsi"/>
          <w:sz w:val="48"/>
          <w:szCs w:val="48"/>
        </w:rPr>
      </w:pPr>
      <w:r>
        <w:rPr>
          <w:rFonts w:asciiTheme="majorHAnsi" w:hAnsiTheme="majorHAnsi"/>
          <w:sz w:val="48"/>
        </w:rPr>
        <w:t>RAPPORT ANNUEL 201</w:t>
      </w:r>
      <w:r w:rsidR="009961F2">
        <w:rPr>
          <w:rFonts w:asciiTheme="majorHAnsi" w:hAnsiTheme="majorHAnsi"/>
          <w:sz w:val="48"/>
        </w:rPr>
        <w:t>8</w:t>
      </w:r>
    </w:p>
    <w:p w14:paraId="4FC8A772" w14:textId="77777777" w:rsidR="00446C69" w:rsidRPr="00407488" w:rsidRDefault="0090351D" w:rsidP="002666E5">
      <w:pPr>
        <w:jc w:val="center"/>
        <w:rPr>
          <w:rFonts w:asciiTheme="majorHAnsi" w:hAnsiTheme="majorHAnsi"/>
          <w:i/>
        </w:rPr>
      </w:pPr>
      <w:r>
        <w:rPr>
          <w:rFonts w:asciiTheme="majorHAnsi" w:hAnsiTheme="majorHAnsi"/>
          <w:i/>
        </w:rPr>
        <w:t xml:space="preserve">Règlement (EU) n° </w:t>
      </w:r>
      <w:r w:rsidR="009B4B7A" w:rsidRPr="00407488">
        <w:rPr>
          <w:rFonts w:asciiTheme="majorHAnsi" w:hAnsiTheme="majorHAnsi"/>
          <w:i/>
        </w:rPr>
        <w:t>223/2014 du Parlement européen et du Conseil du 11 mars 2014 relatif au Fonds européen d'aide aux plus démunis</w:t>
      </w:r>
    </w:p>
    <w:p w14:paraId="5FCCAB43" w14:textId="77777777" w:rsidR="009B4B7A" w:rsidRPr="00407488" w:rsidRDefault="009B4B7A" w:rsidP="002666E5">
      <w:pPr>
        <w:jc w:val="center"/>
        <w:rPr>
          <w:rFonts w:asciiTheme="majorHAnsi" w:hAnsiTheme="majorHAnsi"/>
          <w:i/>
        </w:rPr>
      </w:pPr>
    </w:p>
    <w:p w14:paraId="49D303EE" w14:textId="77777777" w:rsidR="009B4B7A" w:rsidRPr="00407488" w:rsidRDefault="009B4B7A" w:rsidP="002666E5">
      <w:pPr>
        <w:jc w:val="center"/>
        <w:rPr>
          <w:rFonts w:asciiTheme="majorHAnsi" w:hAnsiTheme="majorHAnsi"/>
          <w:i/>
        </w:rPr>
      </w:pPr>
    </w:p>
    <w:p w14:paraId="3F4A8C17" w14:textId="77777777" w:rsidR="009B4B7A" w:rsidRPr="00407488" w:rsidRDefault="009B4B7A" w:rsidP="002666E5">
      <w:pPr>
        <w:jc w:val="center"/>
        <w:rPr>
          <w:rFonts w:asciiTheme="majorHAnsi" w:hAnsiTheme="majorHAnsi"/>
          <w:i/>
        </w:rPr>
      </w:pPr>
    </w:p>
    <w:p w14:paraId="29ED24E6" w14:textId="77777777" w:rsidR="009B4B7A" w:rsidRPr="00407488" w:rsidRDefault="009B4B7A" w:rsidP="002666E5">
      <w:pPr>
        <w:jc w:val="center"/>
        <w:rPr>
          <w:rFonts w:asciiTheme="majorHAnsi" w:hAnsiTheme="majorHAnsi"/>
          <w:i/>
        </w:rPr>
      </w:pPr>
    </w:p>
    <w:p w14:paraId="09AD5D88" w14:textId="77777777" w:rsidR="009B4B7A" w:rsidRPr="00407488" w:rsidRDefault="009B4B7A" w:rsidP="002666E5">
      <w:pPr>
        <w:jc w:val="center"/>
        <w:rPr>
          <w:rFonts w:asciiTheme="majorHAnsi" w:hAnsiTheme="majorHAnsi"/>
          <w:i/>
        </w:rPr>
      </w:pPr>
    </w:p>
    <w:p w14:paraId="5AE9D2F1" w14:textId="77777777" w:rsidR="009B4B7A" w:rsidRPr="00407488" w:rsidRDefault="009B4B7A" w:rsidP="002666E5">
      <w:pPr>
        <w:jc w:val="center"/>
        <w:rPr>
          <w:rFonts w:asciiTheme="majorHAnsi" w:hAnsiTheme="majorHAnsi"/>
          <w:i/>
        </w:rPr>
      </w:pPr>
    </w:p>
    <w:p w14:paraId="574E4BA7" w14:textId="77777777" w:rsidR="005614FE" w:rsidRPr="00407488" w:rsidRDefault="005614FE" w:rsidP="002666E5">
      <w:pPr>
        <w:jc w:val="center"/>
        <w:rPr>
          <w:rFonts w:asciiTheme="majorHAnsi" w:hAnsiTheme="majorHAnsi"/>
          <w:i/>
        </w:rPr>
      </w:pPr>
    </w:p>
    <w:p w14:paraId="71B93948" w14:textId="6411D897" w:rsidR="005614FE" w:rsidRPr="00407488" w:rsidRDefault="0090351D" w:rsidP="002666E5">
      <w:pPr>
        <w:jc w:val="center"/>
      </w:pPr>
      <w:r>
        <w:rPr>
          <w:rFonts w:asciiTheme="majorHAnsi" w:hAnsiTheme="majorHAnsi"/>
        </w:rPr>
        <w:t>Rédaction</w:t>
      </w:r>
      <w:r w:rsidR="009B4B7A" w:rsidRPr="00407488">
        <w:rPr>
          <w:rFonts w:asciiTheme="majorHAnsi" w:hAnsiTheme="majorHAnsi"/>
        </w:rPr>
        <w:t xml:space="preserve">: </w:t>
      </w:r>
      <w:r w:rsidR="0000230F">
        <w:rPr>
          <w:rFonts w:asciiTheme="majorHAnsi" w:hAnsiTheme="majorHAnsi"/>
        </w:rPr>
        <w:t>Service Public de Programmation</w:t>
      </w:r>
      <w:r w:rsidR="009B4B7A" w:rsidRPr="00407488">
        <w:rPr>
          <w:rFonts w:asciiTheme="majorHAnsi" w:hAnsiTheme="majorHAnsi"/>
        </w:rPr>
        <w:t xml:space="preserve"> Intégration Sociale, Lutte contre la Pauvreté et Politique des Grandes Villes.</w:t>
      </w:r>
      <w:r w:rsidR="009B4B7A" w:rsidRPr="00407488">
        <w:br w:type="page"/>
      </w:r>
    </w:p>
    <w:sdt>
      <w:sdtPr>
        <w:rPr>
          <w:smallCaps w:val="0"/>
          <w:spacing w:val="0"/>
          <w:sz w:val="24"/>
          <w:szCs w:val="22"/>
          <w:lang w:val="nl-NL"/>
        </w:rPr>
        <w:id w:val="-698930414"/>
        <w:docPartObj>
          <w:docPartGallery w:val="Table of Contents"/>
          <w:docPartUnique/>
        </w:docPartObj>
      </w:sdtPr>
      <w:sdtEndPr>
        <w:rPr>
          <w:b/>
          <w:bCs/>
        </w:rPr>
      </w:sdtEndPr>
      <w:sdtContent>
        <w:p w14:paraId="69D76368" w14:textId="77777777" w:rsidR="00FF41B3" w:rsidRDefault="00FF41B3" w:rsidP="002666E5">
          <w:pPr>
            <w:pStyle w:val="Kopvaninhoudsopgave"/>
            <w:rPr>
              <w:lang w:val="nl-NL"/>
            </w:rPr>
          </w:pPr>
          <w:r>
            <w:rPr>
              <w:lang w:val="nl-NL"/>
            </w:rPr>
            <w:t>CONTENU</w:t>
          </w:r>
        </w:p>
        <w:p w14:paraId="33C557BD" w14:textId="0004429D" w:rsidR="00141AF8" w:rsidRDefault="00FF41B3">
          <w:pPr>
            <w:pStyle w:val="Inhopg1"/>
            <w:tabs>
              <w:tab w:val="left" w:pos="480"/>
              <w:tab w:val="right" w:leader="dot" w:pos="9062"/>
            </w:tabs>
            <w:rPr>
              <w:rFonts w:asciiTheme="minorHAnsi" w:eastAsiaTheme="minorEastAsia" w:hAnsiTheme="minorHAnsi" w:cstheme="minorBidi"/>
              <w:noProof/>
              <w:sz w:val="22"/>
              <w:lang w:val="en-US" w:eastAsia="en-US" w:bidi="ar-SA"/>
            </w:rPr>
          </w:pPr>
          <w:r>
            <w:fldChar w:fldCharType="begin"/>
          </w:r>
          <w:r>
            <w:instrText xml:space="preserve"> TOC \o "1-3" \h \z \u </w:instrText>
          </w:r>
          <w:r>
            <w:fldChar w:fldCharType="separate"/>
          </w:r>
          <w:hyperlink w:anchor="_Toc12629536" w:history="1">
            <w:r w:rsidR="00141AF8" w:rsidRPr="00190B8B">
              <w:rPr>
                <w:rStyle w:val="Hyperlink"/>
                <w:noProof/>
              </w:rPr>
              <w:t>I.</w:t>
            </w:r>
            <w:r w:rsidR="00141AF8">
              <w:rPr>
                <w:rFonts w:asciiTheme="minorHAnsi" w:eastAsiaTheme="minorEastAsia" w:hAnsiTheme="minorHAnsi" w:cstheme="minorBidi"/>
                <w:noProof/>
                <w:sz w:val="22"/>
                <w:lang w:val="en-US" w:eastAsia="en-US" w:bidi="ar-SA"/>
              </w:rPr>
              <w:tab/>
            </w:r>
            <w:r w:rsidR="00141AF8" w:rsidRPr="00190B8B">
              <w:rPr>
                <w:rStyle w:val="Hyperlink"/>
                <w:noProof/>
              </w:rPr>
              <w:t>Données requises pour chaque année</w:t>
            </w:r>
            <w:r w:rsidR="00141AF8">
              <w:rPr>
                <w:noProof/>
                <w:webHidden/>
              </w:rPr>
              <w:tab/>
            </w:r>
            <w:r w:rsidR="00141AF8">
              <w:rPr>
                <w:noProof/>
                <w:webHidden/>
              </w:rPr>
              <w:fldChar w:fldCharType="begin"/>
            </w:r>
            <w:r w:rsidR="00141AF8">
              <w:rPr>
                <w:noProof/>
                <w:webHidden/>
              </w:rPr>
              <w:instrText xml:space="preserve"> PAGEREF _Toc12629536 \h </w:instrText>
            </w:r>
            <w:r w:rsidR="00141AF8">
              <w:rPr>
                <w:noProof/>
                <w:webHidden/>
              </w:rPr>
            </w:r>
            <w:r w:rsidR="00141AF8">
              <w:rPr>
                <w:noProof/>
                <w:webHidden/>
              </w:rPr>
              <w:fldChar w:fldCharType="separate"/>
            </w:r>
            <w:r w:rsidR="00E006E4">
              <w:rPr>
                <w:noProof/>
                <w:webHidden/>
              </w:rPr>
              <w:t>4</w:t>
            </w:r>
            <w:r w:rsidR="00141AF8">
              <w:rPr>
                <w:noProof/>
                <w:webHidden/>
              </w:rPr>
              <w:fldChar w:fldCharType="end"/>
            </w:r>
          </w:hyperlink>
        </w:p>
        <w:p w14:paraId="34C3C4E1" w14:textId="70179704" w:rsidR="00141AF8" w:rsidRDefault="00852064">
          <w:pPr>
            <w:pStyle w:val="Inhopg2"/>
            <w:tabs>
              <w:tab w:val="left" w:pos="660"/>
              <w:tab w:val="right" w:leader="dot" w:pos="9062"/>
            </w:tabs>
            <w:rPr>
              <w:rFonts w:asciiTheme="minorHAnsi" w:eastAsiaTheme="minorEastAsia" w:hAnsiTheme="minorHAnsi" w:cstheme="minorBidi"/>
              <w:noProof/>
              <w:sz w:val="22"/>
              <w:lang w:val="en-US" w:eastAsia="en-US" w:bidi="ar-SA"/>
            </w:rPr>
          </w:pPr>
          <w:hyperlink w:anchor="_Toc12629537" w:history="1">
            <w:r w:rsidR="00141AF8" w:rsidRPr="00190B8B">
              <w:rPr>
                <w:rStyle w:val="Hyperlink"/>
                <w:noProof/>
              </w:rPr>
              <w:t>1.</w:t>
            </w:r>
            <w:r w:rsidR="00141AF8">
              <w:rPr>
                <w:rFonts w:asciiTheme="minorHAnsi" w:eastAsiaTheme="minorEastAsia" w:hAnsiTheme="minorHAnsi" w:cstheme="minorBidi"/>
                <w:noProof/>
                <w:sz w:val="22"/>
                <w:lang w:val="en-US" w:eastAsia="en-US" w:bidi="ar-SA"/>
              </w:rPr>
              <w:tab/>
            </w:r>
            <w:r w:rsidR="00141AF8" w:rsidRPr="00190B8B">
              <w:rPr>
                <w:rStyle w:val="Hyperlink"/>
                <w:noProof/>
              </w:rPr>
              <w:t>Identification du rapport annuel</w:t>
            </w:r>
            <w:r w:rsidR="00141AF8">
              <w:rPr>
                <w:noProof/>
                <w:webHidden/>
              </w:rPr>
              <w:tab/>
            </w:r>
            <w:r w:rsidR="00141AF8">
              <w:rPr>
                <w:noProof/>
                <w:webHidden/>
              </w:rPr>
              <w:fldChar w:fldCharType="begin"/>
            </w:r>
            <w:r w:rsidR="00141AF8">
              <w:rPr>
                <w:noProof/>
                <w:webHidden/>
              </w:rPr>
              <w:instrText xml:space="preserve"> PAGEREF _Toc12629537 \h </w:instrText>
            </w:r>
            <w:r w:rsidR="00141AF8">
              <w:rPr>
                <w:noProof/>
                <w:webHidden/>
              </w:rPr>
            </w:r>
            <w:r w:rsidR="00141AF8">
              <w:rPr>
                <w:noProof/>
                <w:webHidden/>
              </w:rPr>
              <w:fldChar w:fldCharType="separate"/>
            </w:r>
            <w:r w:rsidR="00E006E4">
              <w:rPr>
                <w:noProof/>
                <w:webHidden/>
              </w:rPr>
              <w:t>4</w:t>
            </w:r>
            <w:r w:rsidR="00141AF8">
              <w:rPr>
                <w:noProof/>
                <w:webHidden/>
              </w:rPr>
              <w:fldChar w:fldCharType="end"/>
            </w:r>
          </w:hyperlink>
        </w:p>
        <w:p w14:paraId="5564AFB2" w14:textId="6299840B" w:rsidR="00141AF8" w:rsidRDefault="00852064">
          <w:pPr>
            <w:pStyle w:val="Inhopg2"/>
            <w:tabs>
              <w:tab w:val="left" w:pos="660"/>
              <w:tab w:val="right" w:leader="dot" w:pos="9062"/>
            </w:tabs>
            <w:rPr>
              <w:rFonts w:asciiTheme="minorHAnsi" w:eastAsiaTheme="minorEastAsia" w:hAnsiTheme="minorHAnsi" w:cstheme="minorBidi"/>
              <w:noProof/>
              <w:sz w:val="22"/>
              <w:lang w:val="en-US" w:eastAsia="en-US" w:bidi="ar-SA"/>
            </w:rPr>
          </w:pPr>
          <w:hyperlink w:anchor="_Toc12629538" w:history="1">
            <w:r w:rsidR="00141AF8" w:rsidRPr="00190B8B">
              <w:rPr>
                <w:rStyle w:val="Hyperlink"/>
                <w:noProof/>
              </w:rPr>
              <w:t>2.</w:t>
            </w:r>
            <w:r w:rsidR="00141AF8">
              <w:rPr>
                <w:rFonts w:asciiTheme="minorHAnsi" w:eastAsiaTheme="minorEastAsia" w:hAnsiTheme="minorHAnsi" w:cstheme="minorBidi"/>
                <w:noProof/>
                <w:sz w:val="22"/>
                <w:lang w:val="en-US" w:eastAsia="en-US" w:bidi="ar-SA"/>
              </w:rPr>
              <w:tab/>
            </w:r>
            <w:r w:rsidR="00141AF8" w:rsidRPr="00190B8B">
              <w:rPr>
                <w:rStyle w:val="Hyperlink"/>
                <w:noProof/>
              </w:rPr>
              <w:t>Aperçu de l'exécution du programme opérationnel</w:t>
            </w:r>
            <w:r w:rsidR="00141AF8">
              <w:rPr>
                <w:noProof/>
                <w:webHidden/>
              </w:rPr>
              <w:tab/>
            </w:r>
            <w:r w:rsidR="00141AF8">
              <w:rPr>
                <w:noProof/>
                <w:webHidden/>
              </w:rPr>
              <w:fldChar w:fldCharType="begin"/>
            </w:r>
            <w:r w:rsidR="00141AF8">
              <w:rPr>
                <w:noProof/>
                <w:webHidden/>
              </w:rPr>
              <w:instrText xml:space="preserve"> PAGEREF _Toc12629538 \h </w:instrText>
            </w:r>
            <w:r w:rsidR="00141AF8">
              <w:rPr>
                <w:noProof/>
                <w:webHidden/>
              </w:rPr>
            </w:r>
            <w:r w:rsidR="00141AF8">
              <w:rPr>
                <w:noProof/>
                <w:webHidden/>
              </w:rPr>
              <w:fldChar w:fldCharType="separate"/>
            </w:r>
            <w:r w:rsidR="00E006E4">
              <w:rPr>
                <w:noProof/>
                <w:webHidden/>
              </w:rPr>
              <w:t>4</w:t>
            </w:r>
            <w:r w:rsidR="00141AF8">
              <w:rPr>
                <w:noProof/>
                <w:webHidden/>
              </w:rPr>
              <w:fldChar w:fldCharType="end"/>
            </w:r>
          </w:hyperlink>
        </w:p>
        <w:p w14:paraId="12B53634" w14:textId="1FF4DD33" w:rsidR="00141AF8" w:rsidRDefault="00852064">
          <w:pPr>
            <w:pStyle w:val="Inhopg3"/>
            <w:rPr>
              <w:rFonts w:asciiTheme="minorHAnsi" w:eastAsiaTheme="minorEastAsia" w:hAnsiTheme="minorHAnsi" w:cstheme="minorBidi"/>
              <w:sz w:val="22"/>
              <w:lang w:val="en-US" w:eastAsia="en-US" w:bidi="ar-SA"/>
            </w:rPr>
          </w:pPr>
          <w:hyperlink w:anchor="_Toc12629539" w:history="1">
            <w:r w:rsidR="00141AF8" w:rsidRPr="00190B8B">
              <w:rPr>
                <w:rStyle w:val="Hyperlink"/>
              </w:rPr>
              <w:t>2.1.</w:t>
            </w:r>
            <w:r w:rsidR="00141AF8">
              <w:rPr>
                <w:rFonts w:asciiTheme="minorHAnsi" w:eastAsiaTheme="minorEastAsia" w:hAnsiTheme="minorHAnsi" w:cstheme="minorBidi"/>
                <w:sz w:val="22"/>
                <w:lang w:val="en-US" w:eastAsia="en-US" w:bidi="ar-SA"/>
              </w:rPr>
              <w:tab/>
            </w:r>
            <w:r w:rsidR="00141AF8" w:rsidRPr="00190B8B">
              <w:rPr>
                <w:rStyle w:val="Hyperlink"/>
              </w:rPr>
              <w:t>Informations sur la mise en œuvre du programme en référence aux indicateurs communs</w:t>
            </w:r>
            <w:r w:rsidR="00141AF8">
              <w:rPr>
                <w:webHidden/>
              </w:rPr>
              <w:tab/>
            </w:r>
            <w:r w:rsidR="00141AF8">
              <w:rPr>
                <w:webHidden/>
              </w:rPr>
              <w:fldChar w:fldCharType="begin"/>
            </w:r>
            <w:r w:rsidR="00141AF8">
              <w:rPr>
                <w:webHidden/>
              </w:rPr>
              <w:instrText xml:space="preserve"> PAGEREF _Toc12629539 \h </w:instrText>
            </w:r>
            <w:r w:rsidR="00141AF8">
              <w:rPr>
                <w:webHidden/>
              </w:rPr>
            </w:r>
            <w:r w:rsidR="00141AF8">
              <w:rPr>
                <w:webHidden/>
              </w:rPr>
              <w:fldChar w:fldCharType="separate"/>
            </w:r>
            <w:r w:rsidR="00E006E4">
              <w:rPr>
                <w:webHidden/>
              </w:rPr>
              <w:t>4</w:t>
            </w:r>
            <w:r w:rsidR="00141AF8">
              <w:rPr>
                <w:webHidden/>
              </w:rPr>
              <w:fldChar w:fldCharType="end"/>
            </w:r>
          </w:hyperlink>
        </w:p>
        <w:p w14:paraId="4CED2A01" w14:textId="09E55308" w:rsidR="00141AF8" w:rsidRDefault="00852064">
          <w:pPr>
            <w:pStyle w:val="Inhopg3"/>
            <w:rPr>
              <w:rFonts w:asciiTheme="minorHAnsi" w:eastAsiaTheme="minorEastAsia" w:hAnsiTheme="minorHAnsi" w:cstheme="minorBidi"/>
              <w:sz w:val="22"/>
              <w:lang w:val="en-US" w:eastAsia="en-US" w:bidi="ar-SA"/>
            </w:rPr>
          </w:pPr>
          <w:hyperlink w:anchor="_Toc12629540" w:history="1">
            <w:r w:rsidR="00141AF8" w:rsidRPr="00190B8B">
              <w:rPr>
                <w:rStyle w:val="Hyperlink"/>
              </w:rPr>
              <w:t>2.1.1.</w:t>
            </w:r>
            <w:r w:rsidR="00141AF8">
              <w:rPr>
                <w:rFonts w:asciiTheme="minorHAnsi" w:eastAsiaTheme="minorEastAsia" w:hAnsiTheme="minorHAnsi" w:cstheme="minorBidi"/>
                <w:sz w:val="22"/>
                <w:lang w:val="en-US" w:eastAsia="en-US" w:bidi="ar-SA"/>
              </w:rPr>
              <w:tab/>
            </w:r>
            <w:r w:rsidR="00141AF8" w:rsidRPr="00190B8B">
              <w:rPr>
                <w:rStyle w:val="Hyperlink"/>
              </w:rPr>
              <w:t>Introduction</w:t>
            </w:r>
            <w:r w:rsidR="00141AF8">
              <w:rPr>
                <w:webHidden/>
              </w:rPr>
              <w:tab/>
            </w:r>
            <w:r w:rsidR="00141AF8">
              <w:rPr>
                <w:webHidden/>
              </w:rPr>
              <w:fldChar w:fldCharType="begin"/>
            </w:r>
            <w:r w:rsidR="00141AF8">
              <w:rPr>
                <w:webHidden/>
              </w:rPr>
              <w:instrText xml:space="preserve"> PAGEREF _Toc12629540 \h </w:instrText>
            </w:r>
            <w:r w:rsidR="00141AF8">
              <w:rPr>
                <w:webHidden/>
              </w:rPr>
            </w:r>
            <w:r w:rsidR="00141AF8">
              <w:rPr>
                <w:webHidden/>
              </w:rPr>
              <w:fldChar w:fldCharType="separate"/>
            </w:r>
            <w:r w:rsidR="00E006E4">
              <w:rPr>
                <w:webHidden/>
              </w:rPr>
              <w:t>4</w:t>
            </w:r>
            <w:r w:rsidR="00141AF8">
              <w:rPr>
                <w:webHidden/>
              </w:rPr>
              <w:fldChar w:fldCharType="end"/>
            </w:r>
          </w:hyperlink>
        </w:p>
        <w:p w14:paraId="41713C49" w14:textId="5FA9D890" w:rsidR="00141AF8" w:rsidRDefault="00852064">
          <w:pPr>
            <w:pStyle w:val="Inhopg3"/>
            <w:rPr>
              <w:rFonts w:asciiTheme="minorHAnsi" w:eastAsiaTheme="minorEastAsia" w:hAnsiTheme="minorHAnsi" w:cstheme="minorBidi"/>
              <w:sz w:val="22"/>
              <w:lang w:val="en-US" w:eastAsia="en-US" w:bidi="ar-SA"/>
            </w:rPr>
          </w:pPr>
          <w:hyperlink w:anchor="_Toc12629541" w:history="1">
            <w:r w:rsidR="00141AF8" w:rsidRPr="00190B8B">
              <w:rPr>
                <w:rStyle w:val="Hyperlink"/>
              </w:rPr>
              <w:t>2.1.2.</w:t>
            </w:r>
            <w:r w:rsidR="00141AF8">
              <w:rPr>
                <w:rFonts w:asciiTheme="minorHAnsi" w:eastAsiaTheme="minorEastAsia" w:hAnsiTheme="minorHAnsi" w:cstheme="minorBidi"/>
                <w:sz w:val="22"/>
                <w:lang w:val="en-US" w:eastAsia="en-US" w:bidi="ar-SA"/>
              </w:rPr>
              <w:tab/>
            </w:r>
            <w:r w:rsidR="00141AF8" w:rsidRPr="00190B8B">
              <w:rPr>
                <w:rStyle w:val="Hyperlink"/>
              </w:rPr>
              <w:t>Privation matérielle concernée: privation alimentaire</w:t>
            </w:r>
            <w:r w:rsidR="00141AF8">
              <w:rPr>
                <w:webHidden/>
              </w:rPr>
              <w:tab/>
            </w:r>
            <w:r w:rsidR="00141AF8">
              <w:rPr>
                <w:webHidden/>
              </w:rPr>
              <w:fldChar w:fldCharType="begin"/>
            </w:r>
            <w:r w:rsidR="00141AF8">
              <w:rPr>
                <w:webHidden/>
              </w:rPr>
              <w:instrText xml:space="preserve"> PAGEREF _Toc12629541 \h </w:instrText>
            </w:r>
            <w:r w:rsidR="00141AF8">
              <w:rPr>
                <w:webHidden/>
              </w:rPr>
            </w:r>
            <w:r w:rsidR="00141AF8">
              <w:rPr>
                <w:webHidden/>
              </w:rPr>
              <w:fldChar w:fldCharType="separate"/>
            </w:r>
            <w:r w:rsidR="00E006E4">
              <w:rPr>
                <w:webHidden/>
              </w:rPr>
              <w:t>5</w:t>
            </w:r>
            <w:r w:rsidR="00141AF8">
              <w:rPr>
                <w:webHidden/>
              </w:rPr>
              <w:fldChar w:fldCharType="end"/>
            </w:r>
          </w:hyperlink>
        </w:p>
        <w:p w14:paraId="302280C8" w14:textId="359C1818" w:rsidR="00141AF8" w:rsidRDefault="00852064">
          <w:pPr>
            <w:pStyle w:val="Inhopg3"/>
            <w:rPr>
              <w:rFonts w:asciiTheme="minorHAnsi" w:eastAsiaTheme="minorEastAsia" w:hAnsiTheme="minorHAnsi" w:cstheme="minorBidi"/>
              <w:sz w:val="22"/>
              <w:lang w:val="en-US" w:eastAsia="en-US" w:bidi="ar-SA"/>
            </w:rPr>
          </w:pPr>
          <w:hyperlink w:anchor="_Toc12629542" w:history="1">
            <w:r w:rsidR="00141AF8" w:rsidRPr="00190B8B">
              <w:rPr>
                <w:rStyle w:val="Hyperlink"/>
              </w:rPr>
              <w:t>2.1.3.</w:t>
            </w:r>
            <w:r w:rsidR="00141AF8">
              <w:rPr>
                <w:rFonts w:asciiTheme="minorHAnsi" w:eastAsiaTheme="minorEastAsia" w:hAnsiTheme="minorHAnsi" w:cstheme="minorBidi"/>
                <w:sz w:val="22"/>
                <w:lang w:val="en-US" w:eastAsia="en-US" w:bidi="ar-SA"/>
              </w:rPr>
              <w:tab/>
            </w:r>
            <w:r w:rsidR="00141AF8" w:rsidRPr="00190B8B">
              <w:rPr>
                <w:rStyle w:val="Hyperlink"/>
              </w:rPr>
              <w:t>Identification des personnes les plus démunies</w:t>
            </w:r>
            <w:r w:rsidR="00141AF8">
              <w:rPr>
                <w:webHidden/>
              </w:rPr>
              <w:tab/>
            </w:r>
            <w:r w:rsidR="00141AF8">
              <w:rPr>
                <w:webHidden/>
              </w:rPr>
              <w:fldChar w:fldCharType="begin"/>
            </w:r>
            <w:r w:rsidR="00141AF8">
              <w:rPr>
                <w:webHidden/>
              </w:rPr>
              <w:instrText xml:space="preserve"> PAGEREF _Toc12629542 \h </w:instrText>
            </w:r>
            <w:r w:rsidR="00141AF8">
              <w:rPr>
                <w:webHidden/>
              </w:rPr>
            </w:r>
            <w:r w:rsidR="00141AF8">
              <w:rPr>
                <w:webHidden/>
              </w:rPr>
              <w:fldChar w:fldCharType="separate"/>
            </w:r>
            <w:r w:rsidR="00E006E4">
              <w:rPr>
                <w:webHidden/>
              </w:rPr>
              <w:t>8</w:t>
            </w:r>
            <w:r w:rsidR="00141AF8">
              <w:rPr>
                <w:webHidden/>
              </w:rPr>
              <w:fldChar w:fldCharType="end"/>
            </w:r>
          </w:hyperlink>
        </w:p>
        <w:p w14:paraId="36B33E57" w14:textId="05A3DF15" w:rsidR="00141AF8" w:rsidRDefault="00852064">
          <w:pPr>
            <w:pStyle w:val="Inhopg3"/>
            <w:rPr>
              <w:rFonts w:asciiTheme="minorHAnsi" w:eastAsiaTheme="minorEastAsia" w:hAnsiTheme="minorHAnsi" w:cstheme="minorBidi"/>
              <w:sz w:val="22"/>
              <w:lang w:val="en-US" w:eastAsia="en-US" w:bidi="ar-SA"/>
            </w:rPr>
          </w:pPr>
          <w:hyperlink w:anchor="_Toc12629543" w:history="1">
            <w:r w:rsidR="00141AF8" w:rsidRPr="00190B8B">
              <w:rPr>
                <w:rStyle w:val="Hyperlink"/>
              </w:rPr>
              <w:t>2.1.4.</w:t>
            </w:r>
            <w:r w:rsidR="00141AF8">
              <w:rPr>
                <w:rFonts w:asciiTheme="minorHAnsi" w:eastAsiaTheme="minorEastAsia" w:hAnsiTheme="minorHAnsi" w:cstheme="minorBidi"/>
                <w:sz w:val="22"/>
                <w:lang w:val="en-US" w:eastAsia="en-US" w:bidi="ar-SA"/>
              </w:rPr>
              <w:tab/>
            </w:r>
            <w:r w:rsidR="00141AF8" w:rsidRPr="00190B8B">
              <w:rPr>
                <w:rStyle w:val="Hyperlink"/>
              </w:rPr>
              <w:t>Sélection des opérations</w:t>
            </w:r>
            <w:r w:rsidR="00141AF8">
              <w:rPr>
                <w:webHidden/>
              </w:rPr>
              <w:tab/>
            </w:r>
            <w:r w:rsidR="00141AF8">
              <w:rPr>
                <w:webHidden/>
              </w:rPr>
              <w:fldChar w:fldCharType="begin"/>
            </w:r>
            <w:r w:rsidR="00141AF8">
              <w:rPr>
                <w:webHidden/>
              </w:rPr>
              <w:instrText xml:space="preserve"> PAGEREF _Toc12629543 \h </w:instrText>
            </w:r>
            <w:r w:rsidR="00141AF8">
              <w:rPr>
                <w:webHidden/>
              </w:rPr>
            </w:r>
            <w:r w:rsidR="00141AF8">
              <w:rPr>
                <w:webHidden/>
              </w:rPr>
              <w:fldChar w:fldCharType="separate"/>
            </w:r>
            <w:r w:rsidR="00E006E4">
              <w:rPr>
                <w:webHidden/>
              </w:rPr>
              <w:t>13</w:t>
            </w:r>
            <w:r w:rsidR="00141AF8">
              <w:rPr>
                <w:webHidden/>
              </w:rPr>
              <w:fldChar w:fldCharType="end"/>
            </w:r>
          </w:hyperlink>
        </w:p>
        <w:p w14:paraId="156B669A" w14:textId="2CCF10C7" w:rsidR="00141AF8" w:rsidRDefault="00852064">
          <w:pPr>
            <w:pStyle w:val="Inhopg3"/>
            <w:rPr>
              <w:rFonts w:asciiTheme="minorHAnsi" w:eastAsiaTheme="minorEastAsia" w:hAnsiTheme="minorHAnsi" w:cstheme="minorBidi"/>
              <w:sz w:val="22"/>
              <w:lang w:val="en-US" w:eastAsia="en-US" w:bidi="ar-SA"/>
            </w:rPr>
          </w:pPr>
          <w:hyperlink w:anchor="_Toc12629544" w:history="1">
            <w:r w:rsidR="00141AF8" w:rsidRPr="00190B8B">
              <w:rPr>
                <w:rStyle w:val="Hyperlink"/>
              </w:rPr>
              <w:t>2.1.5.</w:t>
            </w:r>
            <w:r w:rsidR="00141AF8">
              <w:rPr>
                <w:rFonts w:asciiTheme="minorHAnsi" w:eastAsiaTheme="minorEastAsia" w:hAnsiTheme="minorHAnsi" w:cstheme="minorBidi"/>
                <w:sz w:val="22"/>
                <w:lang w:val="en-US" w:eastAsia="en-US" w:bidi="ar-SA"/>
              </w:rPr>
              <w:tab/>
            </w:r>
            <w:r w:rsidR="00141AF8" w:rsidRPr="00190B8B">
              <w:rPr>
                <w:rStyle w:val="Hyperlink"/>
              </w:rPr>
              <w:t>Sélection des organisations partenaires</w:t>
            </w:r>
            <w:r w:rsidR="00141AF8">
              <w:rPr>
                <w:webHidden/>
              </w:rPr>
              <w:tab/>
            </w:r>
            <w:r w:rsidR="00141AF8">
              <w:rPr>
                <w:webHidden/>
              </w:rPr>
              <w:fldChar w:fldCharType="begin"/>
            </w:r>
            <w:r w:rsidR="00141AF8">
              <w:rPr>
                <w:webHidden/>
              </w:rPr>
              <w:instrText xml:space="preserve"> PAGEREF _Toc12629544 \h </w:instrText>
            </w:r>
            <w:r w:rsidR="00141AF8">
              <w:rPr>
                <w:webHidden/>
              </w:rPr>
            </w:r>
            <w:r w:rsidR="00141AF8">
              <w:rPr>
                <w:webHidden/>
              </w:rPr>
              <w:fldChar w:fldCharType="separate"/>
            </w:r>
            <w:r w:rsidR="00E006E4">
              <w:rPr>
                <w:webHidden/>
              </w:rPr>
              <w:t>19</w:t>
            </w:r>
            <w:r w:rsidR="00141AF8">
              <w:rPr>
                <w:webHidden/>
              </w:rPr>
              <w:fldChar w:fldCharType="end"/>
            </w:r>
          </w:hyperlink>
        </w:p>
        <w:p w14:paraId="544BD100" w14:textId="48F151FC" w:rsidR="00141AF8" w:rsidRDefault="00852064">
          <w:pPr>
            <w:pStyle w:val="Inhopg3"/>
            <w:rPr>
              <w:rFonts w:asciiTheme="minorHAnsi" w:eastAsiaTheme="minorEastAsia" w:hAnsiTheme="minorHAnsi" w:cstheme="minorBidi"/>
              <w:sz w:val="22"/>
              <w:lang w:val="en-US" w:eastAsia="en-US" w:bidi="ar-SA"/>
            </w:rPr>
          </w:pPr>
          <w:hyperlink w:anchor="_Toc12629545" w:history="1">
            <w:r w:rsidR="00141AF8" w:rsidRPr="00190B8B">
              <w:rPr>
                <w:rStyle w:val="Hyperlink"/>
              </w:rPr>
              <w:t>2.1.6.</w:t>
            </w:r>
            <w:r w:rsidR="00141AF8">
              <w:rPr>
                <w:rFonts w:asciiTheme="minorHAnsi" w:eastAsiaTheme="minorEastAsia" w:hAnsiTheme="minorHAnsi" w:cstheme="minorBidi"/>
                <w:sz w:val="22"/>
                <w:lang w:val="en-US" w:eastAsia="en-US" w:bidi="ar-SA"/>
              </w:rPr>
              <w:tab/>
            </w:r>
            <w:r w:rsidR="00141AF8" w:rsidRPr="00190B8B">
              <w:rPr>
                <w:rStyle w:val="Hyperlink"/>
              </w:rPr>
              <w:t>Le système de gestion et contrôle</w:t>
            </w:r>
            <w:r w:rsidR="00141AF8">
              <w:rPr>
                <w:webHidden/>
              </w:rPr>
              <w:tab/>
            </w:r>
            <w:r w:rsidR="00141AF8">
              <w:rPr>
                <w:webHidden/>
              </w:rPr>
              <w:fldChar w:fldCharType="begin"/>
            </w:r>
            <w:r w:rsidR="00141AF8">
              <w:rPr>
                <w:webHidden/>
              </w:rPr>
              <w:instrText xml:space="preserve"> PAGEREF _Toc12629545 \h </w:instrText>
            </w:r>
            <w:r w:rsidR="00141AF8">
              <w:rPr>
                <w:webHidden/>
              </w:rPr>
            </w:r>
            <w:r w:rsidR="00141AF8">
              <w:rPr>
                <w:webHidden/>
              </w:rPr>
              <w:fldChar w:fldCharType="separate"/>
            </w:r>
            <w:r w:rsidR="00E006E4">
              <w:rPr>
                <w:webHidden/>
              </w:rPr>
              <w:t>19</w:t>
            </w:r>
            <w:r w:rsidR="00141AF8">
              <w:rPr>
                <w:webHidden/>
              </w:rPr>
              <w:fldChar w:fldCharType="end"/>
            </w:r>
          </w:hyperlink>
        </w:p>
        <w:p w14:paraId="7B9DC988" w14:textId="6EB744CF" w:rsidR="00141AF8" w:rsidRDefault="00852064">
          <w:pPr>
            <w:pStyle w:val="Inhopg3"/>
            <w:rPr>
              <w:rFonts w:asciiTheme="minorHAnsi" w:eastAsiaTheme="minorEastAsia" w:hAnsiTheme="minorHAnsi" w:cstheme="minorBidi"/>
              <w:sz w:val="22"/>
              <w:lang w:val="en-US" w:eastAsia="en-US" w:bidi="ar-SA"/>
            </w:rPr>
          </w:pPr>
          <w:hyperlink w:anchor="_Toc12629546" w:history="1">
            <w:r w:rsidR="00141AF8" w:rsidRPr="00190B8B">
              <w:rPr>
                <w:rStyle w:val="Hyperlink"/>
              </w:rPr>
              <w:t>2.1.7.</w:t>
            </w:r>
            <w:r w:rsidR="00141AF8">
              <w:rPr>
                <w:rFonts w:asciiTheme="minorHAnsi" w:eastAsiaTheme="minorEastAsia" w:hAnsiTheme="minorHAnsi" w:cstheme="minorBidi"/>
                <w:sz w:val="22"/>
                <w:lang w:val="en-US" w:eastAsia="en-US" w:bidi="ar-SA"/>
              </w:rPr>
              <w:tab/>
            </w:r>
            <w:r w:rsidR="00141AF8" w:rsidRPr="00190B8B">
              <w:rPr>
                <w:rStyle w:val="Hyperlink"/>
              </w:rPr>
              <w:t>Information et communication</w:t>
            </w:r>
            <w:r w:rsidR="00141AF8">
              <w:rPr>
                <w:webHidden/>
              </w:rPr>
              <w:tab/>
            </w:r>
            <w:r w:rsidR="00141AF8">
              <w:rPr>
                <w:webHidden/>
              </w:rPr>
              <w:fldChar w:fldCharType="begin"/>
            </w:r>
            <w:r w:rsidR="00141AF8">
              <w:rPr>
                <w:webHidden/>
              </w:rPr>
              <w:instrText xml:space="preserve"> PAGEREF _Toc12629546 \h </w:instrText>
            </w:r>
            <w:r w:rsidR="00141AF8">
              <w:rPr>
                <w:webHidden/>
              </w:rPr>
            </w:r>
            <w:r w:rsidR="00141AF8">
              <w:rPr>
                <w:webHidden/>
              </w:rPr>
              <w:fldChar w:fldCharType="separate"/>
            </w:r>
            <w:r w:rsidR="00E006E4">
              <w:rPr>
                <w:webHidden/>
              </w:rPr>
              <w:t>23</w:t>
            </w:r>
            <w:r w:rsidR="00141AF8">
              <w:rPr>
                <w:webHidden/>
              </w:rPr>
              <w:fldChar w:fldCharType="end"/>
            </w:r>
          </w:hyperlink>
        </w:p>
        <w:p w14:paraId="6F49731E" w14:textId="01C4E167" w:rsidR="00141AF8" w:rsidRDefault="00852064">
          <w:pPr>
            <w:pStyle w:val="Inhopg3"/>
            <w:rPr>
              <w:rFonts w:asciiTheme="minorHAnsi" w:eastAsiaTheme="minorEastAsia" w:hAnsiTheme="minorHAnsi" w:cstheme="minorBidi"/>
              <w:sz w:val="22"/>
              <w:lang w:val="en-US" w:eastAsia="en-US" w:bidi="ar-SA"/>
            </w:rPr>
          </w:pPr>
          <w:hyperlink w:anchor="_Toc12629547" w:history="1">
            <w:r w:rsidR="00141AF8" w:rsidRPr="00190B8B">
              <w:rPr>
                <w:rStyle w:val="Hyperlink"/>
              </w:rPr>
              <w:t>2.1.8.</w:t>
            </w:r>
            <w:r w:rsidR="00141AF8">
              <w:rPr>
                <w:rFonts w:asciiTheme="minorHAnsi" w:eastAsiaTheme="minorEastAsia" w:hAnsiTheme="minorHAnsi" w:cstheme="minorBidi"/>
                <w:sz w:val="22"/>
                <w:lang w:val="en-US" w:eastAsia="en-US" w:bidi="ar-SA"/>
              </w:rPr>
              <w:tab/>
            </w:r>
            <w:r w:rsidR="00141AF8" w:rsidRPr="00190B8B">
              <w:rPr>
                <w:rStyle w:val="Hyperlink"/>
              </w:rPr>
              <w:t>Optimisation du système actuel et préparations pour l'année 2019</w:t>
            </w:r>
            <w:r w:rsidR="00141AF8">
              <w:rPr>
                <w:webHidden/>
              </w:rPr>
              <w:tab/>
            </w:r>
            <w:r w:rsidR="00141AF8">
              <w:rPr>
                <w:webHidden/>
              </w:rPr>
              <w:fldChar w:fldCharType="begin"/>
            </w:r>
            <w:r w:rsidR="00141AF8">
              <w:rPr>
                <w:webHidden/>
              </w:rPr>
              <w:instrText xml:space="preserve"> PAGEREF _Toc12629547 \h </w:instrText>
            </w:r>
            <w:r w:rsidR="00141AF8">
              <w:rPr>
                <w:webHidden/>
              </w:rPr>
            </w:r>
            <w:r w:rsidR="00141AF8">
              <w:rPr>
                <w:webHidden/>
              </w:rPr>
              <w:fldChar w:fldCharType="separate"/>
            </w:r>
            <w:r w:rsidR="00E006E4">
              <w:rPr>
                <w:webHidden/>
              </w:rPr>
              <w:t>24</w:t>
            </w:r>
            <w:r w:rsidR="00141AF8">
              <w:rPr>
                <w:webHidden/>
              </w:rPr>
              <w:fldChar w:fldCharType="end"/>
            </w:r>
          </w:hyperlink>
        </w:p>
        <w:p w14:paraId="6FD24AE5" w14:textId="1A5EE622" w:rsidR="00141AF8" w:rsidRDefault="00852064">
          <w:pPr>
            <w:pStyle w:val="Inhopg3"/>
            <w:rPr>
              <w:rFonts w:asciiTheme="minorHAnsi" w:eastAsiaTheme="minorEastAsia" w:hAnsiTheme="minorHAnsi" w:cstheme="minorBidi"/>
              <w:sz w:val="22"/>
              <w:lang w:val="en-US" w:eastAsia="en-US" w:bidi="ar-SA"/>
            </w:rPr>
          </w:pPr>
          <w:hyperlink w:anchor="_Toc12629548" w:history="1">
            <w:r w:rsidR="00141AF8" w:rsidRPr="00190B8B">
              <w:rPr>
                <w:rStyle w:val="Hyperlink"/>
              </w:rPr>
              <w:t>2.2.</w:t>
            </w:r>
            <w:r w:rsidR="00141AF8">
              <w:rPr>
                <w:rFonts w:asciiTheme="minorHAnsi" w:eastAsiaTheme="minorEastAsia" w:hAnsiTheme="minorHAnsi" w:cstheme="minorBidi"/>
                <w:sz w:val="22"/>
                <w:lang w:val="en-US" w:eastAsia="en-US" w:bidi="ar-SA"/>
              </w:rPr>
              <w:tab/>
            </w:r>
            <w:r w:rsidR="00141AF8" w:rsidRPr="00190B8B">
              <w:rPr>
                <w:rStyle w:val="Hyperlink"/>
              </w:rPr>
              <w:t>Information sur l'évaluation des actions en tenant compte des articles 5(6), 5 (11), et le cas échéant, 5(13) du règlement (UE) n 223/2014.</w:t>
            </w:r>
            <w:r w:rsidR="00141AF8">
              <w:rPr>
                <w:webHidden/>
              </w:rPr>
              <w:tab/>
            </w:r>
            <w:r w:rsidR="00141AF8">
              <w:rPr>
                <w:webHidden/>
              </w:rPr>
              <w:fldChar w:fldCharType="begin"/>
            </w:r>
            <w:r w:rsidR="00141AF8">
              <w:rPr>
                <w:webHidden/>
              </w:rPr>
              <w:instrText xml:space="preserve"> PAGEREF _Toc12629548 \h </w:instrText>
            </w:r>
            <w:r w:rsidR="00141AF8">
              <w:rPr>
                <w:webHidden/>
              </w:rPr>
            </w:r>
            <w:r w:rsidR="00141AF8">
              <w:rPr>
                <w:webHidden/>
              </w:rPr>
              <w:fldChar w:fldCharType="separate"/>
            </w:r>
            <w:r w:rsidR="00E006E4">
              <w:rPr>
                <w:webHidden/>
              </w:rPr>
              <w:t>25</w:t>
            </w:r>
            <w:r w:rsidR="00141AF8">
              <w:rPr>
                <w:webHidden/>
              </w:rPr>
              <w:fldChar w:fldCharType="end"/>
            </w:r>
          </w:hyperlink>
        </w:p>
        <w:p w14:paraId="71901CEA" w14:textId="5FAFE63A" w:rsidR="00141AF8" w:rsidRDefault="00852064">
          <w:pPr>
            <w:pStyle w:val="Inhopg3"/>
            <w:rPr>
              <w:rFonts w:asciiTheme="minorHAnsi" w:eastAsiaTheme="minorEastAsia" w:hAnsiTheme="minorHAnsi" w:cstheme="minorBidi"/>
              <w:sz w:val="22"/>
              <w:lang w:val="en-US" w:eastAsia="en-US" w:bidi="ar-SA"/>
            </w:rPr>
          </w:pPr>
          <w:hyperlink w:anchor="_Toc12629549" w:history="1">
            <w:r w:rsidR="00141AF8" w:rsidRPr="00190B8B">
              <w:rPr>
                <w:rStyle w:val="Hyperlink"/>
              </w:rPr>
              <w:t>2.2.1.</w:t>
            </w:r>
            <w:r w:rsidR="00141AF8">
              <w:rPr>
                <w:rFonts w:asciiTheme="minorHAnsi" w:eastAsiaTheme="minorEastAsia" w:hAnsiTheme="minorHAnsi" w:cstheme="minorBidi"/>
                <w:sz w:val="22"/>
                <w:lang w:val="en-US" w:eastAsia="en-US" w:bidi="ar-SA"/>
              </w:rPr>
              <w:tab/>
            </w:r>
            <w:r w:rsidR="00141AF8" w:rsidRPr="00190B8B">
              <w:rPr>
                <w:rStyle w:val="Hyperlink"/>
              </w:rPr>
              <w:t>Article 5 (6) – Le risque de double financement</w:t>
            </w:r>
            <w:r w:rsidR="00141AF8">
              <w:rPr>
                <w:webHidden/>
              </w:rPr>
              <w:tab/>
            </w:r>
            <w:r w:rsidR="00141AF8">
              <w:rPr>
                <w:webHidden/>
              </w:rPr>
              <w:fldChar w:fldCharType="begin"/>
            </w:r>
            <w:r w:rsidR="00141AF8">
              <w:rPr>
                <w:webHidden/>
              </w:rPr>
              <w:instrText xml:space="preserve"> PAGEREF _Toc12629549 \h </w:instrText>
            </w:r>
            <w:r w:rsidR="00141AF8">
              <w:rPr>
                <w:webHidden/>
              </w:rPr>
            </w:r>
            <w:r w:rsidR="00141AF8">
              <w:rPr>
                <w:webHidden/>
              </w:rPr>
              <w:fldChar w:fldCharType="separate"/>
            </w:r>
            <w:r w:rsidR="00E006E4">
              <w:rPr>
                <w:webHidden/>
              </w:rPr>
              <w:t>25</w:t>
            </w:r>
            <w:r w:rsidR="00141AF8">
              <w:rPr>
                <w:webHidden/>
              </w:rPr>
              <w:fldChar w:fldCharType="end"/>
            </w:r>
          </w:hyperlink>
        </w:p>
        <w:p w14:paraId="40B2223C" w14:textId="13F7CD29" w:rsidR="00141AF8" w:rsidRDefault="00852064">
          <w:pPr>
            <w:pStyle w:val="Inhopg3"/>
            <w:rPr>
              <w:rFonts w:asciiTheme="minorHAnsi" w:eastAsiaTheme="minorEastAsia" w:hAnsiTheme="minorHAnsi" w:cstheme="minorBidi"/>
              <w:sz w:val="22"/>
              <w:lang w:val="en-US" w:eastAsia="en-US" w:bidi="ar-SA"/>
            </w:rPr>
          </w:pPr>
          <w:hyperlink w:anchor="_Toc12629550" w:history="1">
            <w:r w:rsidR="00141AF8" w:rsidRPr="00190B8B">
              <w:rPr>
                <w:rStyle w:val="Hyperlink"/>
              </w:rPr>
              <w:t>2.2.2.</w:t>
            </w:r>
            <w:r w:rsidR="00141AF8">
              <w:rPr>
                <w:rFonts w:asciiTheme="minorHAnsi" w:eastAsiaTheme="minorEastAsia" w:hAnsiTheme="minorHAnsi" w:cstheme="minorBidi"/>
                <w:sz w:val="22"/>
                <w:lang w:val="en-US" w:eastAsia="en-US" w:bidi="ar-SA"/>
              </w:rPr>
              <w:tab/>
            </w:r>
            <w:r w:rsidR="00141AF8" w:rsidRPr="00190B8B">
              <w:rPr>
                <w:rStyle w:val="Hyperlink"/>
              </w:rPr>
              <w:t>Article 5 (11) – Égalité entre les hommes et les femmes</w:t>
            </w:r>
            <w:r w:rsidR="00141AF8">
              <w:rPr>
                <w:webHidden/>
              </w:rPr>
              <w:tab/>
            </w:r>
            <w:r w:rsidR="00141AF8">
              <w:rPr>
                <w:webHidden/>
              </w:rPr>
              <w:fldChar w:fldCharType="begin"/>
            </w:r>
            <w:r w:rsidR="00141AF8">
              <w:rPr>
                <w:webHidden/>
              </w:rPr>
              <w:instrText xml:space="preserve"> PAGEREF _Toc12629550 \h </w:instrText>
            </w:r>
            <w:r w:rsidR="00141AF8">
              <w:rPr>
                <w:webHidden/>
              </w:rPr>
            </w:r>
            <w:r w:rsidR="00141AF8">
              <w:rPr>
                <w:webHidden/>
              </w:rPr>
              <w:fldChar w:fldCharType="separate"/>
            </w:r>
            <w:r w:rsidR="00E006E4">
              <w:rPr>
                <w:webHidden/>
              </w:rPr>
              <w:t>26</w:t>
            </w:r>
            <w:r w:rsidR="00141AF8">
              <w:rPr>
                <w:webHidden/>
              </w:rPr>
              <w:fldChar w:fldCharType="end"/>
            </w:r>
          </w:hyperlink>
        </w:p>
        <w:p w14:paraId="0CD840ED" w14:textId="2878FB04" w:rsidR="00141AF8" w:rsidRDefault="00852064">
          <w:pPr>
            <w:pStyle w:val="Inhopg3"/>
            <w:rPr>
              <w:rFonts w:asciiTheme="minorHAnsi" w:eastAsiaTheme="minorEastAsia" w:hAnsiTheme="minorHAnsi" w:cstheme="minorBidi"/>
              <w:sz w:val="22"/>
              <w:lang w:val="en-US" w:eastAsia="en-US" w:bidi="ar-SA"/>
            </w:rPr>
          </w:pPr>
          <w:hyperlink w:anchor="_Toc12629551" w:history="1">
            <w:r w:rsidR="00141AF8" w:rsidRPr="00190B8B">
              <w:rPr>
                <w:rStyle w:val="Hyperlink"/>
              </w:rPr>
              <w:t>2.2.3.</w:t>
            </w:r>
            <w:r w:rsidR="00141AF8">
              <w:rPr>
                <w:rFonts w:asciiTheme="minorHAnsi" w:eastAsiaTheme="minorEastAsia" w:hAnsiTheme="minorHAnsi" w:cstheme="minorBidi"/>
                <w:sz w:val="22"/>
                <w:lang w:val="en-US" w:eastAsia="en-US" w:bidi="ar-SA"/>
              </w:rPr>
              <w:tab/>
            </w:r>
            <w:r w:rsidR="00141AF8" w:rsidRPr="00190B8B">
              <w:rPr>
                <w:rStyle w:val="Hyperlink"/>
              </w:rPr>
              <w:t>Article 5 (13) – Critères objectifs / aspects climatiques et environnementaux dans le choix de l'aide alimentaire</w:t>
            </w:r>
            <w:r w:rsidR="00141AF8">
              <w:rPr>
                <w:webHidden/>
              </w:rPr>
              <w:tab/>
            </w:r>
            <w:r w:rsidR="00141AF8">
              <w:rPr>
                <w:webHidden/>
              </w:rPr>
              <w:fldChar w:fldCharType="begin"/>
            </w:r>
            <w:r w:rsidR="00141AF8">
              <w:rPr>
                <w:webHidden/>
              </w:rPr>
              <w:instrText xml:space="preserve"> PAGEREF _Toc12629551 \h </w:instrText>
            </w:r>
            <w:r w:rsidR="00141AF8">
              <w:rPr>
                <w:webHidden/>
              </w:rPr>
            </w:r>
            <w:r w:rsidR="00141AF8">
              <w:rPr>
                <w:webHidden/>
              </w:rPr>
              <w:fldChar w:fldCharType="separate"/>
            </w:r>
            <w:r w:rsidR="00E006E4">
              <w:rPr>
                <w:webHidden/>
              </w:rPr>
              <w:t>26</w:t>
            </w:r>
            <w:r w:rsidR="00141AF8">
              <w:rPr>
                <w:webHidden/>
              </w:rPr>
              <w:fldChar w:fldCharType="end"/>
            </w:r>
          </w:hyperlink>
        </w:p>
        <w:p w14:paraId="5F3F7181" w14:textId="6E9A796E" w:rsidR="00141AF8" w:rsidRDefault="00852064">
          <w:pPr>
            <w:pStyle w:val="Inhopg3"/>
            <w:rPr>
              <w:rFonts w:asciiTheme="minorHAnsi" w:eastAsiaTheme="minorEastAsia" w:hAnsiTheme="minorHAnsi" w:cstheme="minorBidi"/>
              <w:sz w:val="22"/>
              <w:lang w:val="en-US" w:eastAsia="en-US" w:bidi="ar-SA"/>
            </w:rPr>
          </w:pPr>
          <w:hyperlink w:anchor="_Toc12629552" w:history="1">
            <w:r w:rsidR="00141AF8" w:rsidRPr="00190B8B">
              <w:rPr>
                <w:rStyle w:val="Hyperlink"/>
              </w:rPr>
              <w:t>2.3.</w:t>
            </w:r>
            <w:r w:rsidR="00141AF8">
              <w:rPr>
                <w:rFonts w:asciiTheme="minorHAnsi" w:eastAsiaTheme="minorEastAsia" w:hAnsiTheme="minorHAnsi" w:cstheme="minorBidi"/>
                <w:sz w:val="22"/>
                <w:lang w:val="en-US" w:eastAsia="en-US" w:bidi="ar-SA"/>
              </w:rPr>
              <w:tab/>
            </w:r>
            <w:r w:rsidR="00141AF8" w:rsidRPr="00190B8B">
              <w:rPr>
                <w:rStyle w:val="Hyperlink"/>
              </w:rPr>
              <w:t>Indicateurs communs</w:t>
            </w:r>
            <w:r w:rsidR="00141AF8">
              <w:rPr>
                <w:webHidden/>
              </w:rPr>
              <w:tab/>
            </w:r>
            <w:r w:rsidR="00141AF8">
              <w:rPr>
                <w:webHidden/>
              </w:rPr>
              <w:fldChar w:fldCharType="begin"/>
            </w:r>
            <w:r w:rsidR="00141AF8">
              <w:rPr>
                <w:webHidden/>
              </w:rPr>
              <w:instrText xml:space="preserve"> PAGEREF _Toc12629552 \h </w:instrText>
            </w:r>
            <w:r w:rsidR="00141AF8">
              <w:rPr>
                <w:webHidden/>
              </w:rPr>
            </w:r>
            <w:r w:rsidR="00141AF8">
              <w:rPr>
                <w:webHidden/>
              </w:rPr>
              <w:fldChar w:fldCharType="separate"/>
            </w:r>
            <w:r w:rsidR="00E006E4">
              <w:rPr>
                <w:webHidden/>
              </w:rPr>
              <w:t>29</w:t>
            </w:r>
            <w:r w:rsidR="00141AF8">
              <w:rPr>
                <w:webHidden/>
              </w:rPr>
              <w:fldChar w:fldCharType="end"/>
            </w:r>
          </w:hyperlink>
        </w:p>
        <w:p w14:paraId="1FF23E8D" w14:textId="239C0F3F" w:rsidR="00141AF8" w:rsidRDefault="00852064">
          <w:pPr>
            <w:pStyle w:val="Inhopg3"/>
            <w:rPr>
              <w:rFonts w:asciiTheme="minorHAnsi" w:eastAsiaTheme="minorEastAsia" w:hAnsiTheme="minorHAnsi" w:cstheme="minorBidi"/>
              <w:sz w:val="22"/>
              <w:lang w:val="en-US" w:eastAsia="en-US" w:bidi="ar-SA"/>
            </w:rPr>
          </w:pPr>
          <w:hyperlink w:anchor="_Toc12629553" w:history="1">
            <w:r w:rsidR="00141AF8" w:rsidRPr="00190B8B">
              <w:rPr>
                <w:rStyle w:val="Hyperlink"/>
              </w:rPr>
              <w:t>2.3.1.</w:t>
            </w:r>
            <w:r w:rsidR="00141AF8">
              <w:rPr>
                <w:rFonts w:asciiTheme="minorHAnsi" w:eastAsiaTheme="minorEastAsia" w:hAnsiTheme="minorHAnsi" w:cstheme="minorBidi"/>
                <w:sz w:val="22"/>
                <w:lang w:val="en-US" w:eastAsia="en-US" w:bidi="ar-SA"/>
              </w:rPr>
              <w:tab/>
            </w:r>
            <w:r w:rsidR="00141AF8" w:rsidRPr="00190B8B">
              <w:rPr>
                <w:rStyle w:val="Hyperlink"/>
              </w:rPr>
              <w:t>Indicateurs de ressources</w:t>
            </w:r>
            <w:r w:rsidR="00141AF8">
              <w:rPr>
                <w:webHidden/>
              </w:rPr>
              <w:tab/>
            </w:r>
            <w:r w:rsidR="00141AF8">
              <w:rPr>
                <w:webHidden/>
              </w:rPr>
              <w:fldChar w:fldCharType="begin"/>
            </w:r>
            <w:r w:rsidR="00141AF8">
              <w:rPr>
                <w:webHidden/>
              </w:rPr>
              <w:instrText xml:space="preserve"> PAGEREF _Toc12629553 \h </w:instrText>
            </w:r>
            <w:r w:rsidR="00141AF8">
              <w:rPr>
                <w:webHidden/>
              </w:rPr>
            </w:r>
            <w:r w:rsidR="00141AF8">
              <w:rPr>
                <w:webHidden/>
              </w:rPr>
              <w:fldChar w:fldCharType="separate"/>
            </w:r>
            <w:r w:rsidR="00E006E4">
              <w:rPr>
                <w:webHidden/>
              </w:rPr>
              <w:t>29</w:t>
            </w:r>
            <w:r w:rsidR="00141AF8">
              <w:rPr>
                <w:webHidden/>
              </w:rPr>
              <w:fldChar w:fldCharType="end"/>
            </w:r>
          </w:hyperlink>
        </w:p>
        <w:p w14:paraId="2B567526" w14:textId="0B840496" w:rsidR="00141AF8" w:rsidRDefault="00852064">
          <w:pPr>
            <w:pStyle w:val="Inhopg3"/>
            <w:rPr>
              <w:rFonts w:asciiTheme="minorHAnsi" w:eastAsiaTheme="minorEastAsia" w:hAnsiTheme="minorHAnsi" w:cstheme="minorBidi"/>
              <w:sz w:val="22"/>
              <w:lang w:val="en-US" w:eastAsia="en-US" w:bidi="ar-SA"/>
            </w:rPr>
          </w:pPr>
          <w:hyperlink w:anchor="_Toc12629554" w:history="1">
            <w:r w:rsidR="00141AF8" w:rsidRPr="00190B8B">
              <w:rPr>
                <w:rStyle w:val="Hyperlink"/>
              </w:rPr>
              <w:t>2.3.2.</w:t>
            </w:r>
            <w:r w:rsidR="00141AF8">
              <w:rPr>
                <w:rFonts w:asciiTheme="minorHAnsi" w:eastAsiaTheme="minorEastAsia" w:hAnsiTheme="minorHAnsi" w:cstheme="minorBidi"/>
                <w:sz w:val="22"/>
                <w:lang w:val="en-US" w:eastAsia="en-US" w:bidi="ar-SA"/>
              </w:rPr>
              <w:tab/>
            </w:r>
            <w:r w:rsidR="00141AF8" w:rsidRPr="00190B8B">
              <w:rPr>
                <w:rStyle w:val="Hyperlink"/>
              </w:rPr>
              <w:t>Indicateurs de réalisation relatifs à l'aide alimentaire distribuée</w:t>
            </w:r>
            <w:r w:rsidR="00141AF8">
              <w:rPr>
                <w:webHidden/>
              </w:rPr>
              <w:tab/>
            </w:r>
            <w:r w:rsidR="00141AF8">
              <w:rPr>
                <w:webHidden/>
              </w:rPr>
              <w:fldChar w:fldCharType="begin"/>
            </w:r>
            <w:r w:rsidR="00141AF8">
              <w:rPr>
                <w:webHidden/>
              </w:rPr>
              <w:instrText xml:space="preserve"> PAGEREF _Toc12629554 \h </w:instrText>
            </w:r>
            <w:r w:rsidR="00141AF8">
              <w:rPr>
                <w:webHidden/>
              </w:rPr>
            </w:r>
            <w:r w:rsidR="00141AF8">
              <w:rPr>
                <w:webHidden/>
              </w:rPr>
              <w:fldChar w:fldCharType="separate"/>
            </w:r>
            <w:r w:rsidR="00E006E4">
              <w:rPr>
                <w:webHidden/>
              </w:rPr>
              <w:t>30</w:t>
            </w:r>
            <w:r w:rsidR="00141AF8">
              <w:rPr>
                <w:webHidden/>
              </w:rPr>
              <w:fldChar w:fldCharType="end"/>
            </w:r>
          </w:hyperlink>
        </w:p>
        <w:p w14:paraId="2ED9090C" w14:textId="7DFE84FA" w:rsidR="00141AF8" w:rsidRDefault="00852064">
          <w:pPr>
            <w:pStyle w:val="Inhopg3"/>
            <w:rPr>
              <w:rFonts w:asciiTheme="minorHAnsi" w:eastAsiaTheme="minorEastAsia" w:hAnsiTheme="minorHAnsi" w:cstheme="minorBidi"/>
              <w:sz w:val="22"/>
              <w:lang w:val="en-US" w:eastAsia="en-US" w:bidi="ar-SA"/>
            </w:rPr>
          </w:pPr>
          <w:hyperlink w:anchor="_Toc12629555" w:history="1">
            <w:r w:rsidR="00141AF8" w:rsidRPr="00190B8B">
              <w:rPr>
                <w:rStyle w:val="Hyperlink"/>
              </w:rPr>
              <w:t>2.3.3.</w:t>
            </w:r>
            <w:r w:rsidR="00141AF8">
              <w:rPr>
                <w:rFonts w:asciiTheme="minorHAnsi" w:eastAsiaTheme="minorEastAsia" w:hAnsiTheme="minorHAnsi" w:cstheme="minorBidi"/>
                <w:sz w:val="22"/>
                <w:lang w:val="en-US" w:eastAsia="en-US" w:bidi="ar-SA"/>
              </w:rPr>
              <w:tab/>
            </w:r>
            <w:r w:rsidR="00141AF8" w:rsidRPr="00190B8B">
              <w:rPr>
                <w:rStyle w:val="Hyperlink"/>
              </w:rPr>
              <w:t>Indicateurs de résultat relatifs à l'aide alimentaire distribuée</w:t>
            </w:r>
            <w:r w:rsidR="00141AF8">
              <w:rPr>
                <w:webHidden/>
              </w:rPr>
              <w:tab/>
            </w:r>
            <w:r w:rsidR="00141AF8">
              <w:rPr>
                <w:webHidden/>
              </w:rPr>
              <w:fldChar w:fldCharType="begin"/>
            </w:r>
            <w:r w:rsidR="00141AF8">
              <w:rPr>
                <w:webHidden/>
              </w:rPr>
              <w:instrText xml:space="preserve"> PAGEREF _Toc12629555 \h </w:instrText>
            </w:r>
            <w:r w:rsidR="00141AF8">
              <w:rPr>
                <w:webHidden/>
              </w:rPr>
            </w:r>
            <w:r w:rsidR="00141AF8">
              <w:rPr>
                <w:webHidden/>
              </w:rPr>
              <w:fldChar w:fldCharType="separate"/>
            </w:r>
            <w:r w:rsidR="00E006E4">
              <w:rPr>
                <w:webHidden/>
              </w:rPr>
              <w:t>31</w:t>
            </w:r>
            <w:r w:rsidR="00141AF8">
              <w:rPr>
                <w:webHidden/>
              </w:rPr>
              <w:fldChar w:fldCharType="end"/>
            </w:r>
          </w:hyperlink>
        </w:p>
        <w:p w14:paraId="573CEDD2" w14:textId="2274135C" w:rsidR="00141AF8" w:rsidRDefault="00852064">
          <w:pPr>
            <w:pStyle w:val="Inhopg3"/>
            <w:rPr>
              <w:rFonts w:asciiTheme="minorHAnsi" w:eastAsiaTheme="minorEastAsia" w:hAnsiTheme="minorHAnsi" w:cstheme="minorBidi"/>
              <w:sz w:val="22"/>
              <w:lang w:val="en-US" w:eastAsia="en-US" w:bidi="ar-SA"/>
            </w:rPr>
          </w:pPr>
          <w:hyperlink w:anchor="_Toc12629556" w:history="1">
            <w:r w:rsidR="00141AF8" w:rsidRPr="00190B8B">
              <w:rPr>
                <w:rStyle w:val="Hyperlink"/>
              </w:rPr>
              <w:t>2.3.4.</w:t>
            </w:r>
            <w:r w:rsidR="00141AF8">
              <w:rPr>
                <w:rFonts w:asciiTheme="minorHAnsi" w:eastAsiaTheme="minorEastAsia" w:hAnsiTheme="minorHAnsi" w:cstheme="minorBidi"/>
                <w:sz w:val="22"/>
                <w:lang w:val="en-US" w:eastAsia="en-US" w:bidi="ar-SA"/>
              </w:rPr>
              <w:tab/>
            </w:r>
            <w:r w:rsidR="00141AF8" w:rsidRPr="00190B8B">
              <w:rPr>
                <w:rStyle w:val="Hyperlink"/>
              </w:rPr>
              <w:t>Indicateurs de sortie relatifs à l'aide matérielle de base fournie</w:t>
            </w:r>
            <w:r w:rsidR="00141AF8">
              <w:rPr>
                <w:webHidden/>
              </w:rPr>
              <w:tab/>
            </w:r>
            <w:r w:rsidR="00141AF8">
              <w:rPr>
                <w:webHidden/>
              </w:rPr>
              <w:fldChar w:fldCharType="begin"/>
            </w:r>
            <w:r w:rsidR="00141AF8">
              <w:rPr>
                <w:webHidden/>
              </w:rPr>
              <w:instrText xml:space="preserve"> PAGEREF _Toc12629556 \h </w:instrText>
            </w:r>
            <w:r w:rsidR="00141AF8">
              <w:rPr>
                <w:webHidden/>
              </w:rPr>
            </w:r>
            <w:r w:rsidR="00141AF8">
              <w:rPr>
                <w:webHidden/>
              </w:rPr>
              <w:fldChar w:fldCharType="separate"/>
            </w:r>
            <w:r w:rsidR="00E006E4">
              <w:rPr>
                <w:webHidden/>
              </w:rPr>
              <w:t>32</w:t>
            </w:r>
            <w:r w:rsidR="00141AF8">
              <w:rPr>
                <w:webHidden/>
              </w:rPr>
              <w:fldChar w:fldCharType="end"/>
            </w:r>
          </w:hyperlink>
        </w:p>
        <w:p w14:paraId="577C70AC" w14:textId="5B2971F8" w:rsidR="00141AF8" w:rsidRDefault="00852064">
          <w:pPr>
            <w:pStyle w:val="Inhopg3"/>
            <w:rPr>
              <w:rFonts w:asciiTheme="minorHAnsi" w:eastAsiaTheme="minorEastAsia" w:hAnsiTheme="minorHAnsi" w:cstheme="minorBidi"/>
              <w:sz w:val="22"/>
              <w:lang w:val="en-US" w:eastAsia="en-US" w:bidi="ar-SA"/>
            </w:rPr>
          </w:pPr>
          <w:hyperlink w:anchor="_Toc12629557" w:history="1">
            <w:r w:rsidR="00141AF8" w:rsidRPr="00190B8B">
              <w:rPr>
                <w:rStyle w:val="Hyperlink"/>
              </w:rPr>
              <w:t>2.3.5.</w:t>
            </w:r>
            <w:r w:rsidR="00141AF8">
              <w:rPr>
                <w:rFonts w:asciiTheme="minorHAnsi" w:eastAsiaTheme="minorEastAsia" w:hAnsiTheme="minorHAnsi" w:cstheme="minorBidi"/>
                <w:sz w:val="22"/>
                <w:lang w:val="en-US" w:eastAsia="en-US" w:bidi="ar-SA"/>
              </w:rPr>
              <w:tab/>
            </w:r>
            <w:r w:rsidR="00141AF8" w:rsidRPr="00190B8B">
              <w:rPr>
                <w:rStyle w:val="Hyperlink"/>
              </w:rPr>
              <w:t>Indicateurs de résultat relatifs à l'aide matérielle de base fournie</w:t>
            </w:r>
            <w:r w:rsidR="00141AF8">
              <w:rPr>
                <w:webHidden/>
              </w:rPr>
              <w:tab/>
            </w:r>
            <w:r w:rsidR="00141AF8">
              <w:rPr>
                <w:webHidden/>
              </w:rPr>
              <w:fldChar w:fldCharType="begin"/>
            </w:r>
            <w:r w:rsidR="00141AF8">
              <w:rPr>
                <w:webHidden/>
              </w:rPr>
              <w:instrText xml:space="preserve"> PAGEREF _Toc12629557 \h </w:instrText>
            </w:r>
            <w:r w:rsidR="00141AF8">
              <w:rPr>
                <w:webHidden/>
              </w:rPr>
            </w:r>
            <w:r w:rsidR="00141AF8">
              <w:rPr>
                <w:webHidden/>
              </w:rPr>
              <w:fldChar w:fldCharType="separate"/>
            </w:r>
            <w:r w:rsidR="00E006E4">
              <w:rPr>
                <w:webHidden/>
              </w:rPr>
              <w:t>32</w:t>
            </w:r>
            <w:r w:rsidR="00141AF8">
              <w:rPr>
                <w:webHidden/>
              </w:rPr>
              <w:fldChar w:fldCharType="end"/>
            </w:r>
          </w:hyperlink>
        </w:p>
        <w:p w14:paraId="5BFB5917" w14:textId="182EE3FB" w:rsidR="00141AF8" w:rsidRDefault="00852064">
          <w:pPr>
            <w:pStyle w:val="Inhopg1"/>
            <w:tabs>
              <w:tab w:val="left" w:pos="480"/>
              <w:tab w:val="right" w:leader="dot" w:pos="9062"/>
            </w:tabs>
            <w:rPr>
              <w:rFonts w:asciiTheme="minorHAnsi" w:eastAsiaTheme="minorEastAsia" w:hAnsiTheme="minorHAnsi" w:cstheme="minorBidi"/>
              <w:noProof/>
              <w:sz w:val="22"/>
              <w:lang w:val="en-US" w:eastAsia="en-US" w:bidi="ar-SA"/>
            </w:rPr>
          </w:pPr>
          <w:hyperlink w:anchor="_Toc12629558" w:history="1">
            <w:r w:rsidR="00141AF8" w:rsidRPr="00190B8B">
              <w:rPr>
                <w:rStyle w:val="Hyperlink"/>
                <w:noProof/>
              </w:rPr>
              <w:t>II.</w:t>
            </w:r>
            <w:r w:rsidR="00141AF8">
              <w:rPr>
                <w:rFonts w:asciiTheme="minorHAnsi" w:eastAsiaTheme="minorEastAsia" w:hAnsiTheme="minorHAnsi" w:cstheme="minorBidi"/>
                <w:noProof/>
                <w:sz w:val="22"/>
                <w:lang w:val="en-US" w:eastAsia="en-US" w:bidi="ar-SA"/>
              </w:rPr>
              <w:tab/>
            </w:r>
            <w:r w:rsidR="00141AF8" w:rsidRPr="00190B8B">
              <w:rPr>
                <w:rStyle w:val="Hyperlink"/>
                <w:noProof/>
              </w:rPr>
              <w:t>Rapports présentés en 2017, 2022 et rapport final d'exécution</w:t>
            </w:r>
            <w:r w:rsidR="00141AF8">
              <w:rPr>
                <w:noProof/>
                <w:webHidden/>
              </w:rPr>
              <w:tab/>
            </w:r>
            <w:r w:rsidR="00141AF8">
              <w:rPr>
                <w:noProof/>
                <w:webHidden/>
              </w:rPr>
              <w:fldChar w:fldCharType="begin"/>
            </w:r>
            <w:r w:rsidR="00141AF8">
              <w:rPr>
                <w:noProof/>
                <w:webHidden/>
              </w:rPr>
              <w:instrText xml:space="preserve"> PAGEREF _Toc12629558 \h </w:instrText>
            </w:r>
            <w:r w:rsidR="00141AF8">
              <w:rPr>
                <w:noProof/>
                <w:webHidden/>
              </w:rPr>
            </w:r>
            <w:r w:rsidR="00141AF8">
              <w:rPr>
                <w:noProof/>
                <w:webHidden/>
              </w:rPr>
              <w:fldChar w:fldCharType="separate"/>
            </w:r>
            <w:r w:rsidR="00E006E4">
              <w:rPr>
                <w:noProof/>
                <w:webHidden/>
              </w:rPr>
              <w:t>32</w:t>
            </w:r>
            <w:r w:rsidR="00141AF8">
              <w:rPr>
                <w:noProof/>
                <w:webHidden/>
              </w:rPr>
              <w:fldChar w:fldCharType="end"/>
            </w:r>
          </w:hyperlink>
        </w:p>
        <w:p w14:paraId="5495A2B1" w14:textId="3949BAC9" w:rsidR="00141AF8" w:rsidRDefault="00852064">
          <w:pPr>
            <w:pStyle w:val="Inhopg2"/>
            <w:tabs>
              <w:tab w:val="left" w:pos="660"/>
              <w:tab w:val="right" w:leader="dot" w:pos="9062"/>
            </w:tabs>
            <w:rPr>
              <w:rFonts w:asciiTheme="minorHAnsi" w:eastAsiaTheme="minorEastAsia" w:hAnsiTheme="minorHAnsi" w:cstheme="minorBidi"/>
              <w:noProof/>
              <w:sz w:val="22"/>
              <w:lang w:val="en-US" w:eastAsia="en-US" w:bidi="ar-SA"/>
            </w:rPr>
          </w:pPr>
          <w:hyperlink w:anchor="_Toc12629559" w:history="1">
            <w:r w:rsidR="00141AF8" w:rsidRPr="00190B8B">
              <w:rPr>
                <w:rStyle w:val="Hyperlink"/>
                <w:noProof/>
              </w:rPr>
              <w:t>3.</w:t>
            </w:r>
            <w:r w:rsidR="00141AF8">
              <w:rPr>
                <w:rFonts w:asciiTheme="minorHAnsi" w:eastAsiaTheme="minorEastAsia" w:hAnsiTheme="minorHAnsi" w:cstheme="minorBidi"/>
                <w:noProof/>
                <w:sz w:val="22"/>
                <w:lang w:val="en-US" w:eastAsia="en-US" w:bidi="ar-SA"/>
              </w:rPr>
              <w:tab/>
            </w:r>
            <w:r w:rsidR="00141AF8" w:rsidRPr="00190B8B">
              <w:rPr>
                <w:rStyle w:val="Hyperlink"/>
                <w:noProof/>
              </w:rPr>
              <w:t>Contribution à la réalisation des objectifs spécifiques et globaux du FEAD</w:t>
            </w:r>
            <w:r w:rsidR="00141AF8">
              <w:rPr>
                <w:noProof/>
                <w:webHidden/>
              </w:rPr>
              <w:tab/>
            </w:r>
            <w:r w:rsidR="00141AF8">
              <w:rPr>
                <w:noProof/>
                <w:webHidden/>
              </w:rPr>
              <w:fldChar w:fldCharType="begin"/>
            </w:r>
            <w:r w:rsidR="00141AF8">
              <w:rPr>
                <w:noProof/>
                <w:webHidden/>
              </w:rPr>
              <w:instrText xml:space="preserve"> PAGEREF _Toc12629559 \h </w:instrText>
            </w:r>
            <w:r w:rsidR="00141AF8">
              <w:rPr>
                <w:noProof/>
                <w:webHidden/>
              </w:rPr>
            </w:r>
            <w:r w:rsidR="00141AF8">
              <w:rPr>
                <w:noProof/>
                <w:webHidden/>
              </w:rPr>
              <w:fldChar w:fldCharType="separate"/>
            </w:r>
            <w:r w:rsidR="00E006E4">
              <w:rPr>
                <w:noProof/>
                <w:webHidden/>
              </w:rPr>
              <w:t>32</w:t>
            </w:r>
            <w:r w:rsidR="00141AF8">
              <w:rPr>
                <w:noProof/>
                <w:webHidden/>
              </w:rPr>
              <w:fldChar w:fldCharType="end"/>
            </w:r>
          </w:hyperlink>
        </w:p>
        <w:p w14:paraId="0B8F4A41" w14:textId="1519868E" w:rsidR="00141AF8" w:rsidRDefault="00852064">
          <w:pPr>
            <w:pStyle w:val="Inhopg3"/>
            <w:rPr>
              <w:rFonts w:asciiTheme="minorHAnsi" w:eastAsiaTheme="minorEastAsia" w:hAnsiTheme="minorHAnsi" w:cstheme="minorBidi"/>
              <w:sz w:val="22"/>
              <w:lang w:val="en-US" w:eastAsia="en-US" w:bidi="ar-SA"/>
            </w:rPr>
          </w:pPr>
          <w:hyperlink w:anchor="_Toc12629560" w:history="1">
            <w:r w:rsidR="00141AF8" w:rsidRPr="00190B8B">
              <w:rPr>
                <w:rStyle w:val="Hyperlink"/>
              </w:rPr>
              <w:t>3.1.</w:t>
            </w:r>
            <w:r w:rsidR="00141AF8">
              <w:rPr>
                <w:rFonts w:asciiTheme="minorHAnsi" w:eastAsiaTheme="minorEastAsia" w:hAnsiTheme="minorHAnsi" w:cstheme="minorBidi"/>
                <w:sz w:val="22"/>
                <w:lang w:val="en-US" w:eastAsia="en-US" w:bidi="ar-SA"/>
              </w:rPr>
              <w:tab/>
            </w:r>
            <w:r w:rsidR="00141AF8" w:rsidRPr="00190B8B">
              <w:rPr>
                <w:rStyle w:val="Hyperlink"/>
              </w:rPr>
              <w:t>Information et évaluation de la contribution à la réalisation des objectifs spécifiques et globaux du FEAD, tels que spécifiés dans l'article 3 du règlement (UE) nº 223/2014</w:t>
            </w:r>
            <w:r w:rsidR="00141AF8">
              <w:rPr>
                <w:webHidden/>
              </w:rPr>
              <w:tab/>
            </w:r>
            <w:r w:rsidR="00141AF8">
              <w:rPr>
                <w:webHidden/>
              </w:rPr>
              <w:fldChar w:fldCharType="begin"/>
            </w:r>
            <w:r w:rsidR="00141AF8">
              <w:rPr>
                <w:webHidden/>
              </w:rPr>
              <w:instrText xml:space="preserve"> PAGEREF _Toc12629560 \h </w:instrText>
            </w:r>
            <w:r w:rsidR="00141AF8">
              <w:rPr>
                <w:webHidden/>
              </w:rPr>
            </w:r>
            <w:r w:rsidR="00141AF8">
              <w:rPr>
                <w:webHidden/>
              </w:rPr>
              <w:fldChar w:fldCharType="separate"/>
            </w:r>
            <w:r w:rsidR="00E006E4">
              <w:rPr>
                <w:webHidden/>
              </w:rPr>
              <w:t>32</w:t>
            </w:r>
            <w:r w:rsidR="00141AF8">
              <w:rPr>
                <w:webHidden/>
              </w:rPr>
              <w:fldChar w:fldCharType="end"/>
            </w:r>
          </w:hyperlink>
        </w:p>
        <w:p w14:paraId="13204CF3" w14:textId="5411D815" w:rsidR="00141AF8" w:rsidRDefault="00852064">
          <w:pPr>
            <w:pStyle w:val="Inhopg1"/>
            <w:tabs>
              <w:tab w:val="left" w:pos="480"/>
              <w:tab w:val="right" w:leader="dot" w:pos="9062"/>
            </w:tabs>
            <w:rPr>
              <w:rFonts w:asciiTheme="minorHAnsi" w:eastAsiaTheme="minorEastAsia" w:hAnsiTheme="minorHAnsi" w:cstheme="minorBidi"/>
              <w:noProof/>
              <w:sz w:val="22"/>
              <w:lang w:val="en-US" w:eastAsia="en-US" w:bidi="ar-SA"/>
            </w:rPr>
          </w:pPr>
          <w:hyperlink w:anchor="_Toc12629561" w:history="1">
            <w:r w:rsidR="00141AF8" w:rsidRPr="00190B8B">
              <w:rPr>
                <w:rStyle w:val="Hyperlink"/>
                <w:noProof/>
              </w:rPr>
              <w:t>III.</w:t>
            </w:r>
            <w:r w:rsidR="00141AF8">
              <w:rPr>
                <w:rFonts w:asciiTheme="minorHAnsi" w:eastAsiaTheme="minorEastAsia" w:hAnsiTheme="minorHAnsi" w:cstheme="minorBidi"/>
                <w:noProof/>
                <w:sz w:val="22"/>
                <w:lang w:val="en-US" w:eastAsia="en-US" w:bidi="ar-SA"/>
              </w:rPr>
              <w:tab/>
            </w:r>
            <w:r w:rsidR="00141AF8" w:rsidRPr="00190B8B">
              <w:rPr>
                <w:rStyle w:val="Hyperlink"/>
                <w:noProof/>
              </w:rPr>
              <w:t>Annexes</w:t>
            </w:r>
            <w:r w:rsidR="00141AF8">
              <w:rPr>
                <w:noProof/>
                <w:webHidden/>
              </w:rPr>
              <w:tab/>
            </w:r>
            <w:r w:rsidR="00141AF8">
              <w:rPr>
                <w:noProof/>
                <w:webHidden/>
              </w:rPr>
              <w:fldChar w:fldCharType="begin"/>
            </w:r>
            <w:r w:rsidR="00141AF8">
              <w:rPr>
                <w:noProof/>
                <w:webHidden/>
              </w:rPr>
              <w:instrText xml:space="preserve"> PAGEREF _Toc12629561 \h </w:instrText>
            </w:r>
            <w:r w:rsidR="00141AF8">
              <w:rPr>
                <w:noProof/>
                <w:webHidden/>
              </w:rPr>
            </w:r>
            <w:r w:rsidR="00141AF8">
              <w:rPr>
                <w:noProof/>
                <w:webHidden/>
              </w:rPr>
              <w:fldChar w:fldCharType="separate"/>
            </w:r>
            <w:r w:rsidR="00E006E4">
              <w:rPr>
                <w:noProof/>
                <w:webHidden/>
              </w:rPr>
              <w:t>32</w:t>
            </w:r>
            <w:r w:rsidR="00141AF8">
              <w:rPr>
                <w:noProof/>
                <w:webHidden/>
              </w:rPr>
              <w:fldChar w:fldCharType="end"/>
            </w:r>
          </w:hyperlink>
        </w:p>
        <w:p w14:paraId="5934B5A1" w14:textId="0492C140" w:rsidR="00141AF8" w:rsidRDefault="00852064">
          <w:pPr>
            <w:pStyle w:val="Inhopg1"/>
            <w:tabs>
              <w:tab w:val="left" w:pos="480"/>
              <w:tab w:val="right" w:leader="dot" w:pos="9062"/>
            </w:tabs>
            <w:rPr>
              <w:rFonts w:asciiTheme="minorHAnsi" w:eastAsiaTheme="minorEastAsia" w:hAnsiTheme="minorHAnsi" w:cstheme="minorBidi"/>
              <w:noProof/>
              <w:sz w:val="22"/>
              <w:lang w:val="en-US" w:eastAsia="en-US" w:bidi="ar-SA"/>
            </w:rPr>
          </w:pPr>
          <w:hyperlink w:anchor="_Toc12629562" w:history="1">
            <w:r w:rsidR="00141AF8" w:rsidRPr="00190B8B">
              <w:rPr>
                <w:rStyle w:val="Hyperlink"/>
                <w:noProof/>
              </w:rPr>
              <w:t>IV.</w:t>
            </w:r>
            <w:r w:rsidR="00141AF8">
              <w:rPr>
                <w:rFonts w:asciiTheme="minorHAnsi" w:eastAsiaTheme="minorEastAsia" w:hAnsiTheme="minorHAnsi" w:cstheme="minorBidi"/>
                <w:noProof/>
                <w:sz w:val="22"/>
                <w:lang w:val="en-US" w:eastAsia="en-US" w:bidi="ar-SA"/>
              </w:rPr>
              <w:tab/>
            </w:r>
            <w:r w:rsidR="00141AF8" w:rsidRPr="00190B8B">
              <w:rPr>
                <w:rStyle w:val="Hyperlink"/>
                <w:noProof/>
              </w:rPr>
              <w:t>Annexe: RÉSUMÉ DES OBSERVATIONS DES PARTIES PRENANTES CONCERNÉES CONFORMÉMENT À L'ARTICLE 13, PARAGRAPHE 2, DU RÈGLEMENT (UE) N°223/2014</w:t>
            </w:r>
            <w:r w:rsidR="00141AF8">
              <w:rPr>
                <w:noProof/>
                <w:webHidden/>
              </w:rPr>
              <w:tab/>
            </w:r>
            <w:r w:rsidR="00141AF8">
              <w:rPr>
                <w:noProof/>
                <w:webHidden/>
              </w:rPr>
              <w:fldChar w:fldCharType="begin"/>
            </w:r>
            <w:r w:rsidR="00141AF8">
              <w:rPr>
                <w:noProof/>
                <w:webHidden/>
              </w:rPr>
              <w:instrText xml:space="preserve"> PAGEREF _Toc12629562 \h </w:instrText>
            </w:r>
            <w:r w:rsidR="00141AF8">
              <w:rPr>
                <w:noProof/>
                <w:webHidden/>
              </w:rPr>
            </w:r>
            <w:r w:rsidR="00141AF8">
              <w:rPr>
                <w:noProof/>
                <w:webHidden/>
              </w:rPr>
              <w:fldChar w:fldCharType="separate"/>
            </w:r>
            <w:r w:rsidR="00E006E4">
              <w:rPr>
                <w:noProof/>
                <w:webHidden/>
              </w:rPr>
              <w:t>33</w:t>
            </w:r>
            <w:r w:rsidR="00141AF8">
              <w:rPr>
                <w:noProof/>
                <w:webHidden/>
              </w:rPr>
              <w:fldChar w:fldCharType="end"/>
            </w:r>
          </w:hyperlink>
        </w:p>
        <w:p w14:paraId="5628D9E6" w14:textId="5AD706A4" w:rsidR="00141AF8" w:rsidRDefault="00852064">
          <w:pPr>
            <w:pStyle w:val="Inhopg1"/>
            <w:tabs>
              <w:tab w:val="left" w:pos="480"/>
              <w:tab w:val="right" w:leader="dot" w:pos="9062"/>
            </w:tabs>
            <w:rPr>
              <w:rFonts w:asciiTheme="minorHAnsi" w:eastAsiaTheme="minorEastAsia" w:hAnsiTheme="minorHAnsi" w:cstheme="minorBidi"/>
              <w:noProof/>
              <w:sz w:val="22"/>
              <w:lang w:val="en-US" w:eastAsia="en-US" w:bidi="ar-SA"/>
            </w:rPr>
          </w:pPr>
          <w:hyperlink w:anchor="_Toc12629563" w:history="1">
            <w:r w:rsidR="00141AF8" w:rsidRPr="00190B8B">
              <w:rPr>
                <w:rStyle w:val="Hyperlink"/>
                <w:noProof/>
              </w:rPr>
              <w:t>V.</w:t>
            </w:r>
            <w:r w:rsidR="00141AF8">
              <w:rPr>
                <w:rFonts w:asciiTheme="minorHAnsi" w:eastAsiaTheme="minorEastAsia" w:hAnsiTheme="minorHAnsi" w:cstheme="minorBidi"/>
                <w:noProof/>
                <w:sz w:val="22"/>
                <w:lang w:val="en-US" w:eastAsia="en-US" w:bidi="ar-SA"/>
              </w:rPr>
              <w:tab/>
            </w:r>
            <w:r w:rsidR="00141AF8" w:rsidRPr="00190B8B">
              <w:rPr>
                <w:rStyle w:val="Hyperlink"/>
                <w:noProof/>
              </w:rPr>
              <w:t>Liste des abréviations utilisées</w:t>
            </w:r>
            <w:r w:rsidR="00141AF8">
              <w:rPr>
                <w:noProof/>
                <w:webHidden/>
              </w:rPr>
              <w:tab/>
            </w:r>
            <w:r w:rsidR="00141AF8">
              <w:rPr>
                <w:noProof/>
                <w:webHidden/>
              </w:rPr>
              <w:fldChar w:fldCharType="begin"/>
            </w:r>
            <w:r w:rsidR="00141AF8">
              <w:rPr>
                <w:noProof/>
                <w:webHidden/>
              </w:rPr>
              <w:instrText xml:space="preserve"> PAGEREF _Toc12629563 \h </w:instrText>
            </w:r>
            <w:r w:rsidR="00141AF8">
              <w:rPr>
                <w:noProof/>
                <w:webHidden/>
              </w:rPr>
            </w:r>
            <w:r w:rsidR="00141AF8">
              <w:rPr>
                <w:noProof/>
                <w:webHidden/>
              </w:rPr>
              <w:fldChar w:fldCharType="separate"/>
            </w:r>
            <w:r w:rsidR="00E006E4">
              <w:rPr>
                <w:noProof/>
                <w:webHidden/>
              </w:rPr>
              <w:t>33</w:t>
            </w:r>
            <w:r w:rsidR="00141AF8">
              <w:rPr>
                <w:noProof/>
                <w:webHidden/>
              </w:rPr>
              <w:fldChar w:fldCharType="end"/>
            </w:r>
          </w:hyperlink>
        </w:p>
        <w:p w14:paraId="05F39A6C" w14:textId="77777777" w:rsidR="00C1164B" w:rsidRDefault="00FF41B3" w:rsidP="002666E5">
          <w:pPr>
            <w:rPr>
              <w:b/>
              <w:bCs/>
              <w:lang w:val="nl-NL"/>
            </w:rPr>
          </w:pPr>
          <w:r>
            <w:rPr>
              <w:b/>
              <w:bCs/>
              <w:lang w:val="nl-NL"/>
            </w:rPr>
            <w:fldChar w:fldCharType="end"/>
          </w:r>
        </w:p>
        <w:p w14:paraId="22FBE09A" w14:textId="6D77C340" w:rsidR="00FF41B3" w:rsidRDefault="00852064" w:rsidP="002666E5"/>
      </w:sdtContent>
    </w:sdt>
    <w:p w14:paraId="268A59ED" w14:textId="77777777" w:rsidR="00C1164B" w:rsidRDefault="00C1164B" w:rsidP="00C1164B">
      <w:pPr>
        <w:pStyle w:val="Kop1"/>
        <w:ind w:left="720"/>
      </w:pPr>
      <w:bookmarkStart w:id="0" w:name="_Toc422390644"/>
    </w:p>
    <w:p w14:paraId="24A88D53" w14:textId="77777777" w:rsidR="00C1164B" w:rsidRDefault="00C1164B" w:rsidP="00C1164B"/>
    <w:p w14:paraId="714273C7" w14:textId="77777777" w:rsidR="00C1164B" w:rsidRDefault="00C1164B" w:rsidP="00C1164B"/>
    <w:p w14:paraId="1D609633" w14:textId="77777777" w:rsidR="00C1164B" w:rsidRDefault="00C1164B" w:rsidP="00C1164B"/>
    <w:p w14:paraId="1D6EF494" w14:textId="77777777" w:rsidR="00C1164B" w:rsidRDefault="00C1164B" w:rsidP="00C1164B"/>
    <w:p w14:paraId="44A98145" w14:textId="77777777" w:rsidR="00C1164B" w:rsidRDefault="00C1164B" w:rsidP="00C1164B"/>
    <w:p w14:paraId="35D1140D" w14:textId="77777777" w:rsidR="00C1164B" w:rsidRDefault="00C1164B" w:rsidP="00C1164B"/>
    <w:p w14:paraId="30FB045A" w14:textId="77777777" w:rsidR="00C1164B" w:rsidRDefault="00C1164B" w:rsidP="00C1164B"/>
    <w:p w14:paraId="28E2AB11" w14:textId="77777777" w:rsidR="00C1164B" w:rsidRDefault="00C1164B" w:rsidP="00C1164B"/>
    <w:p w14:paraId="1AC971C3" w14:textId="77777777" w:rsidR="00C1164B" w:rsidRDefault="00C1164B" w:rsidP="00C1164B"/>
    <w:p w14:paraId="3D1DFD5D" w14:textId="77777777" w:rsidR="00C1164B" w:rsidRDefault="00C1164B" w:rsidP="00C1164B"/>
    <w:p w14:paraId="428DA31D" w14:textId="77777777" w:rsidR="00C1164B" w:rsidRDefault="00C1164B" w:rsidP="00C1164B"/>
    <w:p w14:paraId="4EB77091" w14:textId="77777777" w:rsidR="00C1164B" w:rsidRDefault="00C1164B" w:rsidP="00C1164B"/>
    <w:p w14:paraId="6E664D21" w14:textId="77777777" w:rsidR="00C1164B" w:rsidRDefault="00C1164B" w:rsidP="00C1164B"/>
    <w:p w14:paraId="65A9DEC0" w14:textId="77777777" w:rsidR="00C1164B" w:rsidRDefault="00C1164B" w:rsidP="00C1164B"/>
    <w:p w14:paraId="40D35E04" w14:textId="77777777" w:rsidR="00C1164B" w:rsidRDefault="00C1164B" w:rsidP="00C1164B"/>
    <w:p w14:paraId="07CA995F" w14:textId="77777777" w:rsidR="00C1164B" w:rsidRDefault="00C1164B" w:rsidP="00C1164B"/>
    <w:p w14:paraId="026A83CB" w14:textId="77777777" w:rsidR="00C1164B" w:rsidRDefault="00C1164B" w:rsidP="00C1164B"/>
    <w:p w14:paraId="4B4EB1A7" w14:textId="77777777" w:rsidR="00C1164B" w:rsidRDefault="00C1164B" w:rsidP="00C1164B"/>
    <w:p w14:paraId="25022246" w14:textId="77777777" w:rsidR="00C1164B" w:rsidRDefault="00C1164B" w:rsidP="00C1164B"/>
    <w:p w14:paraId="5DE9904C" w14:textId="77777777" w:rsidR="00C1164B" w:rsidRDefault="00C1164B" w:rsidP="00C1164B"/>
    <w:p w14:paraId="1D3BA74B" w14:textId="77777777" w:rsidR="00C36441" w:rsidRDefault="00C36441" w:rsidP="00C1164B"/>
    <w:p w14:paraId="6451AEA4" w14:textId="77777777" w:rsidR="00C1164B" w:rsidRPr="00C1164B" w:rsidRDefault="00C1164B" w:rsidP="00C1164B"/>
    <w:p w14:paraId="35F9487D" w14:textId="77777777" w:rsidR="005614FE" w:rsidRPr="00407488" w:rsidRDefault="005614FE" w:rsidP="002666E5">
      <w:pPr>
        <w:pStyle w:val="Kop1"/>
        <w:numPr>
          <w:ilvl w:val="0"/>
          <w:numId w:val="2"/>
        </w:numPr>
      </w:pPr>
      <w:bookmarkStart w:id="1" w:name="_Toc12629536"/>
      <w:r w:rsidRPr="00407488">
        <w:lastRenderedPageBreak/>
        <w:t>Données requises pour chaque année</w:t>
      </w:r>
      <w:bookmarkEnd w:id="0"/>
      <w:bookmarkEnd w:id="1"/>
    </w:p>
    <w:p w14:paraId="375EC27F" w14:textId="77777777" w:rsidR="005614FE" w:rsidRPr="00407488" w:rsidRDefault="005614FE" w:rsidP="002666E5">
      <w:pPr>
        <w:pStyle w:val="Kop2"/>
        <w:numPr>
          <w:ilvl w:val="0"/>
          <w:numId w:val="1"/>
        </w:numPr>
        <w:spacing w:after="240" w:line="276" w:lineRule="auto"/>
      </w:pPr>
      <w:bookmarkStart w:id="2" w:name="_Toc422390645"/>
      <w:bookmarkStart w:id="3" w:name="_Toc12629537"/>
      <w:r w:rsidRPr="00407488">
        <w:t>Identification du rapport annuel</w:t>
      </w:r>
      <w:bookmarkEnd w:id="2"/>
      <w:bookmarkEnd w:id="3"/>
    </w:p>
    <w:tbl>
      <w:tblPr>
        <w:tblStyle w:val="Tabelraster"/>
        <w:tblW w:w="0" w:type="auto"/>
        <w:tblLook w:val="04A0" w:firstRow="1" w:lastRow="0" w:firstColumn="1" w:lastColumn="0" w:noHBand="0" w:noVBand="1"/>
      </w:tblPr>
      <w:tblGrid>
        <w:gridCol w:w="4521"/>
        <w:gridCol w:w="4541"/>
      </w:tblGrid>
      <w:tr w:rsidR="005614FE" w:rsidRPr="00407488" w14:paraId="517EDC0B" w14:textId="77777777" w:rsidTr="005614FE">
        <w:tc>
          <w:tcPr>
            <w:tcW w:w="4606" w:type="dxa"/>
          </w:tcPr>
          <w:p w14:paraId="495848DE" w14:textId="77777777" w:rsidR="005614FE" w:rsidRPr="00407488" w:rsidRDefault="00AB0894" w:rsidP="002666E5">
            <w:pPr>
              <w:spacing w:line="276" w:lineRule="auto"/>
            </w:pPr>
            <w:r w:rsidRPr="00407488">
              <w:t>CCI</w:t>
            </w:r>
          </w:p>
        </w:tc>
        <w:tc>
          <w:tcPr>
            <w:tcW w:w="4606" w:type="dxa"/>
          </w:tcPr>
          <w:p w14:paraId="5AF05878" w14:textId="77777777" w:rsidR="005614FE" w:rsidRPr="00407488" w:rsidRDefault="00AB0894" w:rsidP="002666E5">
            <w:pPr>
              <w:spacing w:line="276" w:lineRule="auto"/>
            </w:pPr>
            <w:r w:rsidRPr="00407488">
              <w:t>2014BE05FMOP001</w:t>
            </w:r>
          </w:p>
        </w:tc>
      </w:tr>
      <w:tr w:rsidR="005614FE" w:rsidRPr="00407488" w14:paraId="07C40E50" w14:textId="77777777" w:rsidTr="005614FE">
        <w:tc>
          <w:tcPr>
            <w:tcW w:w="4606" w:type="dxa"/>
          </w:tcPr>
          <w:p w14:paraId="0ACC73C8" w14:textId="77777777" w:rsidR="005614FE" w:rsidRPr="00407488" w:rsidRDefault="00AB0894" w:rsidP="002666E5">
            <w:pPr>
              <w:spacing w:line="276" w:lineRule="auto"/>
            </w:pPr>
            <w:r w:rsidRPr="00407488">
              <w:t>Titre</w:t>
            </w:r>
          </w:p>
        </w:tc>
        <w:tc>
          <w:tcPr>
            <w:tcW w:w="4606" w:type="dxa"/>
          </w:tcPr>
          <w:p w14:paraId="608274B4" w14:textId="7D80DC2C" w:rsidR="005614FE" w:rsidRPr="00407488" w:rsidRDefault="009961F2" w:rsidP="002666E5">
            <w:pPr>
              <w:spacing w:line="276" w:lineRule="auto"/>
            </w:pPr>
            <w:r>
              <w:t>Rapport annuel 2018</w:t>
            </w:r>
          </w:p>
        </w:tc>
      </w:tr>
      <w:tr w:rsidR="005614FE" w:rsidRPr="00407488" w14:paraId="1798A635" w14:textId="77777777" w:rsidTr="005614FE">
        <w:tc>
          <w:tcPr>
            <w:tcW w:w="4606" w:type="dxa"/>
          </w:tcPr>
          <w:p w14:paraId="0765BC47" w14:textId="77777777" w:rsidR="005614FE" w:rsidRPr="00407488" w:rsidRDefault="00AB0894" w:rsidP="002666E5">
            <w:pPr>
              <w:spacing w:line="276" w:lineRule="auto"/>
            </w:pPr>
            <w:r w:rsidRPr="00407488">
              <w:t>Version</w:t>
            </w:r>
          </w:p>
        </w:tc>
        <w:tc>
          <w:tcPr>
            <w:tcW w:w="4606" w:type="dxa"/>
          </w:tcPr>
          <w:p w14:paraId="64F49F85" w14:textId="77777777" w:rsidR="005614FE" w:rsidRPr="00407488" w:rsidRDefault="00AB0894" w:rsidP="002666E5">
            <w:pPr>
              <w:spacing w:line="276" w:lineRule="auto"/>
            </w:pPr>
            <w:r w:rsidRPr="00407488">
              <w:t>1</w:t>
            </w:r>
          </w:p>
        </w:tc>
      </w:tr>
      <w:tr w:rsidR="005614FE" w:rsidRPr="00407488" w14:paraId="31744C95" w14:textId="77777777" w:rsidTr="005614FE">
        <w:tc>
          <w:tcPr>
            <w:tcW w:w="4606" w:type="dxa"/>
          </w:tcPr>
          <w:p w14:paraId="562D0084" w14:textId="77777777" w:rsidR="005614FE" w:rsidRPr="008A7278" w:rsidRDefault="00AB0894" w:rsidP="002666E5">
            <w:pPr>
              <w:spacing w:line="276" w:lineRule="auto"/>
            </w:pPr>
            <w:r w:rsidRPr="008A7278">
              <w:t>Année du rapport</w:t>
            </w:r>
          </w:p>
        </w:tc>
        <w:tc>
          <w:tcPr>
            <w:tcW w:w="4606" w:type="dxa"/>
          </w:tcPr>
          <w:p w14:paraId="1779A9D0" w14:textId="52A3EE52" w:rsidR="005614FE" w:rsidRPr="008A7278" w:rsidRDefault="00300C46" w:rsidP="002666E5">
            <w:pPr>
              <w:spacing w:line="276" w:lineRule="auto"/>
            </w:pPr>
            <w:r>
              <w:t>2018</w:t>
            </w:r>
          </w:p>
        </w:tc>
      </w:tr>
      <w:tr w:rsidR="005614FE" w:rsidRPr="00407488" w14:paraId="26D416EA" w14:textId="77777777" w:rsidTr="005614FE">
        <w:tc>
          <w:tcPr>
            <w:tcW w:w="4606" w:type="dxa"/>
          </w:tcPr>
          <w:p w14:paraId="55AAB68F" w14:textId="77777777" w:rsidR="005614FE" w:rsidRPr="008A7278" w:rsidRDefault="00AB0894" w:rsidP="002666E5">
            <w:pPr>
              <w:spacing w:line="276" w:lineRule="auto"/>
            </w:pPr>
            <w:r w:rsidRPr="008A7278">
              <w:t>Date de consultation avec les parties prenantes</w:t>
            </w:r>
          </w:p>
        </w:tc>
        <w:tc>
          <w:tcPr>
            <w:tcW w:w="4606" w:type="dxa"/>
          </w:tcPr>
          <w:p w14:paraId="112A8244" w14:textId="3CDA759F" w:rsidR="005614FE" w:rsidRPr="0032293F" w:rsidRDefault="001916A5" w:rsidP="00FE7045">
            <w:pPr>
              <w:spacing w:line="276" w:lineRule="auto"/>
            </w:pPr>
            <w:r>
              <w:t>20/06/2019</w:t>
            </w:r>
          </w:p>
        </w:tc>
      </w:tr>
    </w:tbl>
    <w:p w14:paraId="317FC8EE" w14:textId="77777777" w:rsidR="000E45F4" w:rsidRPr="00407488" w:rsidRDefault="00741E09" w:rsidP="002666E5">
      <w:pPr>
        <w:pStyle w:val="Kop2"/>
        <w:numPr>
          <w:ilvl w:val="0"/>
          <w:numId w:val="1"/>
        </w:numPr>
        <w:spacing w:line="276" w:lineRule="auto"/>
      </w:pPr>
      <w:bookmarkStart w:id="4" w:name="_Toc422390646"/>
      <w:bookmarkStart w:id="5" w:name="_Toc12629538"/>
      <w:r w:rsidRPr="00407488">
        <w:t>Aperçu de l'exécution du programme opérationnel</w:t>
      </w:r>
      <w:bookmarkEnd w:id="4"/>
      <w:bookmarkEnd w:id="5"/>
    </w:p>
    <w:p w14:paraId="0E4C159A" w14:textId="77777777" w:rsidR="0087680D" w:rsidRDefault="0087680D" w:rsidP="002666E5">
      <w:pPr>
        <w:pStyle w:val="Kop3"/>
        <w:numPr>
          <w:ilvl w:val="1"/>
          <w:numId w:val="1"/>
        </w:numPr>
        <w:spacing w:line="276" w:lineRule="auto"/>
      </w:pPr>
      <w:bookmarkStart w:id="6" w:name="_Toc422390647"/>
      <w:bookmarkStart w:id="7" w:name="_Toc12629539"/>
      <w:r w:rsidRPr="00407488">
        <w:t>Informations sur la mise en œuvre du programme en référence aux indicateurs communs</w:t>
      </w:r>
      <w:bookmarkEnd w:id="6"/>
      <w:bookmarkEnd w:id="7"/>
    </w:p>
    <w:p w14:paraId="1F1CC798" w14:textId="77777777" w:rsidR="00132CF2" w:rsidRPr="00132CF2" w:rsidRDefault="00132CF2" w:rsidP="00132CF2"/>
    <w:p w14:paraId="17E55ED5" w14:textId="77777777" w:rsidR="004B5BBC" w:rsidRDefault="00C75A01" w:rsidP="002666E5">
      <w:pPr>
        <w:pStyle w:val="Kop3"/>
        <w:numPr>
          <w:ilvl w:val="2"/>
          <w:numId w:val="1"/>
        </w:numPr>
        <w:spacing w:after="240" w:line="276" w:lineRule="auto"/>
      </w:pPr>
      <w:bookmarkStart w:id="8" w:name="_Toc422390648"/>
      <w:bookmarkStart w:id="9" w:name="_Toc12629540"/>
      <w:r w:rsidRPr="00407488">
        <w:t>Introduction</w:t>
      </w:r>
      <w:bookmarkEnd w:id="8"/>
      <w:bookmarkEnd w:id="9"/>
    </w:p>
    <w:p w14:paraId="7E095E7C" w14:textId="28A56997" w:rsidR="00DB3984" w:rsidRDefault="00DB3984" w:rsidP="00A07F4B">
      <w:pPr>
        <w:rPr>
          <w:lang w:val="fr-BE"/>
        </w:rPr>
      </w:pPr>
      <w:bookmarkStart w:id="10" w:name="_Toc422390650"/>
      <w:r w:rsidRPr="00DB3984">
        <w:rPr>
          <w:lang w:val="fr-BE"/>
        </w:rPr>
        <w:t xml:space="preserve">En 2018 le FEAD </w:t>
      </w:r>
      <w:r w:rsidR="0096092D">
        <w:rPr>
          <w:lang w:val="fr-BE"/>
        </w:rPr>
        <w:t xml:space="preserve">et toute son écurie </w:t>
      </w:r>
      <w:r w:rsidRPr="00DB3984">
        <w:rPr>
          <w:lang w:val="fr-BE"/>
        </w:rPr>
        <w:t>se rapproche</w:t>
      </w:r>
      <w:r w:rsidR="0096092D">
        <w:rPr>
          <w:lang w:val="fr-BE"/>
        </w:rPr>
        <w:t>nt</w:t>
      </w:r>
      <w:r w:rsidRPr="00DB3984">
        <w:rPr>
          <w:lang w:val="fr-BE"/>
        </w:rPr>
        <w:t xml:space="preserve"> lentement mais sûrement de</w:t>
      </w:r>
      <w:r>
        <w:rPr>
          <w:lang w:val="fr-BE"/>
        </w:rPr>
        <w:t xml:space="preserve"> la ligne d’</w:t>
      </w:r>
      <w:r w:rsidR="0010036C">
        <w:rPr>
          <w:lang w:val="fr-BE"/>
        </w:rPr>
        <w:t>arrivée.</w:t>
      </w:r>
      <w:r w:rsidR="000558BF">
        <w:rPr>
          <w:lang w:val="fr-BE"/>
        </w:rPr>
        <w:t xml:space="preserve"> L</w:t>
      </w:r>
      <w:r w:rsidR="00356BF9">
        <w:rPr>
          <w:lang w:val="fr-BE"/>
        </w:rPr>
        <w:t xml:space="preserve">a course est pourtant technique </w:t>
      </w:r>
      <w:r w:rsidR="00534B4C">
        <w:rPr>
          <w:lang w:val="fr-BE"/>
        </w:rPr>
        <w:t>et le circuit semé de défis avec l</w:t>
      </w:r>
      <w:r w:rsidR="000558BF">
        <w:rPr>
          <w:lang w:val="fr-BE"/>
        </w:rPr>
        <w:t>’</w:t>
      </w:r>
      <w:r w:rsidR="00BB4190">
        <w:rPr>
          <w:lang w:val="fr-BE"/>
        </w:rPr>
        <w:t xml:space="preserve">enjeu </w:t>
      </w:r>
      <w:r w:rsidR="00534B4C">
        <w:rPr>
          <w:lang w:val="fr-BE"/>
        </w:rPr>
        <w:t>supplémentaire</w:t>
      </w:r>
      <w:r w:rsidR="00BB4190">
        <w:rPr>
          <w:lang w:val="fr-BE"/>
        </w:rPr>
        <w:t xml:space="preserve"> </w:t>
      </w:r>
      <w:r w:rsidR="0096092D">
        <w:rPr>
          <w:lang w:val="fr-BE"/>
        </w:rPr>
        <w:t xml:space="preserve">en fin de parcours </w:t>
      </w:r>
      <w:r w:rsidR="00BB4190">
        <w:rPr>
          <w:lang w:val="fr-BE"/>
        </w:rPr>
        <w:t xml:space="preserve">de finaliser en beauté la </w:t>
      </w:r>
      <w:r w:rsidR="0096092D">
        <w:rPr>
          <w:lang w:val="fr-BE"/>
        </w:rPr>
        <w:t>programmation</w:t>
      </w:r>
      <w:r w:rsidR="00BB4190">
        <w:rPr>
          <w:lang w:val="fr-BE"/>
        </w:rPr>
        <w:t xml:space="preserve"> actuelle (</w:t>
      </w:r>
      <w:r w:rsidR="000558BF">
        <w:rPr>
          <w:lang w:val="fr-BE"/>
        </w:rPr>
        <w:t>gestion courante exécutée de manière optimale, mise</w:t>
      </w:r>
      <w:r w:rsidR="00BB4190">
        <w:rPr>
          <w:lang w:val="fr-BE"/>
        </w:rPr>
        <w:t xml:space="preserve"> en place </w:t>
      </w:r>
      <w:r w:rsidR="000558BF">
        <w:rPr>
          <w:lang w:val="fr-BE"/>
        </w:rPr>
        <w:t xml:space="preserve">de nouvelles </w:t>
      </w:r>
      <w:r w:rsidR="00BB4190">
        <w:rPr>
          <w:lang w:val="fr-BE"/>
        </w:rPr>
        <w:t xml:space="preserve">améliorations, </w:t>
      </w:r>
      <w:r w:rsidR="000558BF">
        <w:rPr>
          <w:lang w:val="fr-BE"/>
        </w:rPr>
        <w:t>etc</w:t>
      </w:r>
      <w:r w:rsidR="00BB4190">
        <w:rPr>
          <w:lang w:val="fr-BE"/>
        </w:rPr>
        <w:t xml:space="preserve">.) tout en s’intéressant de près </w:t>
      </w:r>
      <w:r w:rsidR="0080053B">
        <w:rPr>
          <w:lang w:val="fr-BE"/>
        </w:rPr>
        <w:t>à</w:t>
      </w:r>
      <w:r w:rsidR="00534B4C">
        <w:rPr>
          <w:lang w:val="fr-BE"/>
        </w:rPr>
        <w:t xml:space="preserve"> la </w:t>
      </w:r>
      <w:r w:rsidR="0096092D">
        <w:rPr>
          <w:lang w:val="fr-BE"/>
        </w:rPr>
        <w:t>programmation</w:t>
      </w:r>
      <w:r w:rsidR="00534B4C">
        <w:rPr>
          <w:lang w:val="fr-BE"/>
        </w:rPr>
        <w:t xml:space="preserve"> à </w:t>
      </w:r>
      <w:r w:rsidR="0080053B">
        <w:rPr>
          <w:lang w:val="fr-BE"/>
        </w:rPr>
        <w:t>v</w:t>
      </w:r>
      <w:r w:rsidR="00534B4C">
        <w:rPr>
          <w:lang w:val="fr-BE"/>
        </w:rPr>
        <w:t>enir</w:t>
      </w:r>
      <w:r w:rsidR="007241E2">
        <w:rPr>
          <w:lang w:val="fr-BE"/>
        </w:rPr>
        <w:t xml:space="preserve"> </w:t>
      </w:r>
      <w:r w:rsidR="00BB4190">
        <w:rPr>
          <w:lang w:val="fr-BE"/>
        </w:rPr>
        <w:t>: quels ont été les défis que nous avons relevés,</w:t>
      </w:r>
      <w:r w:rsidR="00356BF9">
        <w:rPr>
          <w:lang w:val="fr-BE"/>
        </w:rPr>
        <w:t xml:space="preserve"> ceux que nous aimerions éviter</w:t>
      </w:r>
      <w:r w:rsidR="007241E2">
        <w:rPr>
          <w:lang w:val="fr-BE"/>
        </w:rPr>
        <w:t xml:space="preserve"> </w:t>
      </w:r>
      <w:r w:rsidR="00BB4190">
        <w:rPr>
          <w:lang w:val="fr-BE"/>
        </w:rPr>
        <w:t>; quelles ont été nos forces et nos faiblesses, etc.</w:t>
      </w:r>
    </w:p>
    <w:p w14:paraId="4FEA8D52" w14:textId="23DF222A" w:rsidR="00EC4339" w:rsidRDefault="00BB4190" w:rsidP="00A07F4B">
      <w:pPr>
        <w:rPr>
          <w:lang w:val="fr-BE"/>
        </w:rPr>
      </w:pPr>
      <w:r>
        <w:rPr>
          <w:lang w:val="fr-BE"/>
        </w:rPr>
        <w:t>C’est encore une fois</w:t>
      </w:r>
      <w:r w:rsidR="0010036C">
        <w:rPr>
          <w:lang w:val="fr-BE"/>
        </w:rPr>
        <w:t xml:space="preserve"> </w:t>
      </w:r>
      <w:r>
        <w:rPr>
          <w:lang w:val="fr-BE"/>
        </w:rPr>
        <w:t>grâce</w:t>
      </w:r>
      <w:r w:rsidR="0010036C">
        <w:rPr>
          <w:lang w:val="fr-BE"/>
        </w:rPr>
        <w:t xml:space="preserve"> à toute l’é</w:t>
      </w:r>
      <w:r w:rsidR="0096092D">
        <w:rPr>
          <w:lang w:val="fr-BE"/>
        </w:rPr>
        <w:t>quipe</w:t>
      </w:r>
      <w:r w:rsidR="0010036C">
        <w:rPr>
          <w:lang w:val="fr-BE"/>
        </w:rPr>
        <w:t xml:space="preserve"> FEAD </w:t>
      </w:r>
      <w:r w:rsidR="000021CD">
        <w:rPr>
          <w:lang w:val="fr-BE"/>
        </w:rPr>
        <w:t>(</w:t>
      </w:r>
      <w:r w:rsidR="001A790B">
        <w:rPr>
          <w:lang w:val="fr-BE"/>
        </w:rPr>
        <w:t xml:space="preserve">et notamment tous les </w:t>
      </w:r>
      <w:r w:rsidR="000021CD">
        <w:rPr>
          <w:lang w:val="fr-BE"/>
        </w:rPr>
        <w:t xml:space="preserve">partenaires) </w:t>
      </w:r>
      <w:r w:rsidR="0010036C">
        <w:rPr>
          <w:lang w:val="fr-BE"/>
        </w:rPr>
        <w:t xml:space="preserve">que </w:t>
      </w:r>
      <w:r>
        <w:rPr>
          <w:lang w:val="fr-BE"/>
        </w:rPr>
        <w:t xml:space="preserve">la course a </w:t>
      </w:r>
      <w:r w:rsidR="00BC5040">
        <w:rPr>
          <w:lang w:val="fr-BE"/>
        </w:rPr>
        <w:t xml:space="preserve">pu être </w:t>
      </w:r>
      <w:r>
        <w:rPr>
          <w:lang w:val="fr-BE"/>
        </w:rPr>
        <w:t>menée à bien en 2018. Malgré quelques virages difficiles et quelques</w:t>
      </w:r>
      <w:r w:rsidR="000558BF">
        <w:rPr>
          <w:lang w:val="fr-BE"/>
        </w:rPr>
        <w:t xml:space="preserve"> </w:t>
      </w:r>
      <w:r w:rsidR="00BC5040">
        <w:rPr>
          <w:lang w:val="fr-BE"/>
        </w:rPr>
        <w:t>ajustements à faire,</w:t>
      </w:r>
      <w:r w:rsidR="000558BF">
        <w:rPr>
          <w:lang w:val="fr-BE"/>
        </w:rPr>
        <w:t xml:space="preserve"> les techniques de pilotage mises en place ont permis de nouveau de terminer </w:t>
      </w:r>
      <w:r w:rsidR="0096092D">
        <w:rPr>
          <w:lang w:val="fr-BE"/>
        </w:rPr>
        <w:t>le parcours</w:t>
      </w:r>
      <w:r w:rsidR="000558BF">
        <w:rPr>
          <w:lang w:val="fr-BE"/>
        </w:rPr>
        <w:t xml:space="preserve"> en bonne position et d’</w:t>
      </w:r>
      <w:r w:rsidR="00BC5040">
        <w:rPr>
          <w:lang w:val="fr-BE"/>
        </w:rPr>
        <w:t>inscrire</w:t>
      </w:r>
      <w:r w:rsidR="000558BF">
        <w:rPr>
          <w:lang w:val="fr-BE"/>
        </w:rPr>
        <w:t xml:space="preserve"> l’aide alimentaire dans une vision d’intégration sociale au sein d’une politique d’aide alimentaire cohérente. </w:t>
      </w:r>
    </w:p>
    <w:p w14:paraId="5A42BEFA" w14:textId="4CF7283E" w:rsidR="00BC5040" w:rsidRDefault="000558BF" w:rsidP="00A07F4B">
      <w:pPr>
        <w:rPr>
          <w:lang w:val="fr-BE"/>
        </w:rPr>
      </w:pPr>
      <w:r>
        <w:rPr>
          <w:lang w:val="fr-BE"/>
        </w:rPr>
        <w:t>Le drapeau vert a été levé plu</w:t>
      </w:r>
      <w:r w:rsidR="00BC5040">
        <w:rPr>
          <w:lang w:val="fr-BE"/>
        </w:rPr>
        <w:t>sieurs fois durant cette année</w:t>
      </w:r>
      <w:r w:rsidR="00191974">
        <w:rPr>
          <w:lang w:val="fr-BE"/>
        </w:rPr>
        <w:t xml:space="preserve"> pour montrer le rôle de levier auprès des autorités publiques que le FEAD est capable de jouer</w:t>
      </w:r>
      <w:r w:rsidR="007241E2">
        <w:rPr>
          <w:lang w:val="fr-BE"/>
        </w:rPr>
        <w:t xml:space="preserve"> </w:t>
      </w:r>
      <w:r w:rsidR="00BC5040">
        <w:rPr>
          <w:lang w:val="fr-BE"/>
        </w:rPr>
        <w:t>: un énorme travail sur le cahier des charges a été mené (inclusion de clauses environnementales,</w:t>
      </w:r>
      <w:r w:rsidR="00C642BD">
        <w:rPr>
          <w:lang w:val="fr-BE"/>
        </w:rPr>
        <w:t xml:space="preserve"> amélioration des produits, amélioration des critères d’évaluation, etc.)</w:t>
      </w:r>
      <w:r w:rsidR="00EC4339">
        <w:rPr>
          <w:lang w:val="fr-BE"/>
        </w:rPr>
        <w:t xml:space="preserve">, </w:t>
      </w:r>
      <w:r w:rsidR="007E5849">
        <w:rPr>
          <w:lang w:val="fr-BE"/>
        </w:rPr>
        <w:t>aide matérielle proposée pour la deuxième fois sur la programmation (kits d’hygiène et langes pour bébés), budget mis à disposition par la loterie nationale pour un appel à projet visant le soutien à la distribution de l’aide alimentaire</w:t>
      </w:r>
      <w:r w:rsidR="00191974">
        <w:rPr>
          <w:lang w:val="fr-BE"/>
        </w:rPr>
        <w:t xml:space="preserve"> (soutien logistique et organisationnel)</w:t>
      </w:r>
      <w:r w:rsidR="007E5849">
        <w:rPr>
          <w:lang w:val="fr-BE"/>
        </w:rPr>
        <w:t>, lutte contre le gaspillage alimentaire via un projet (à destination de l’économie sociale) de récupération d’invendus pour en faire de la soupe fra</w:t>
      </w:r>
      <w:r w:rsidR="007241E2">
        <w:rPr>
          <w:lang w:val="fr-BE"/>
        </w:rPr>
        <w:t>î</w:t>
      </w:r>
      <w:r w:rsidR="007E5849">
        <w:rPr>
          <w:lang w:val="fr-BE"/>
        </w:rPr>
        <w:t>che à distribuer dans le cadre du FEAD, etc.</w:t>
      </w:r>
    </w:p>
    <w:p w14:paraId="704C156F" w14:textId="3C887E70" w:rsidR="000558BF" w:rsidRDefault="000558BF" w:rsidP="00A07F4B">
      <w:pPr>
        <w:rPr>
          <w:lang w:val="fr-BE"/>
        </w:rPr>
      </w:pPr>
      <w:r>
        <w:rPr>
          <w:lang w:val="fr-BE"/>
        </w:rPr>
        <w:t>Le drapeau rouge a aussi dû être levé – notamment à cause des difficultés rencontré</w:t>
      </w:r>
      <w:r w:rsidR="000021CD">
        <w:rPr>
          <w:lang w:val="fr-BE"/>
        </w:rPr>
        <w:t>e</w:t>
      </w:r>
      <w:r>
        <w:rPr>
          <w:lang w:val="fr-BE"/>
        </w:rPr>
        <w:t>s lors de l’</w:t>
      </w:r>
      <w:r w:rsidR="00BC5040">
        <w:rPr>
          <w:lang w:val="fr-BE"/>
        </w:rPr>
        <w:t xml:space="preserve">appel à </w:t>
      </w:r>
      <w:proofErr w:type="spellStart"/>
      <w:r w:rsidR="00BC5040">
        <w:rPr>
          <w:lang w:val="fr-BE"/>
        </w:rPr>
        <w:t>marché</w:t>
      </w:r>
      <w:proofErr w:type="spellEnd"/>
      <w:r w:rsidR="00BC5040">
        <w:rPr>
          <w:lang w:val="fr-BE"/>
        </w:rPr>
        <w:t xml:space="preserve"> </w:t>
      </w:r>
      <w:r w:rsidR="00356BF9" w:rsidRPr="001A790B">
        <w:rPr>
          <w:lang w:val="fr-BE"/>
        </w:rPr>
        <w:t xml:space="preserve">2018 qui ont </w:t>
      </w:r>
      <w:r w:rsidR="001A790B" w:rsidRPr="001A790B">
        <w:rPr>
          <w:lang w:val="fr-BE"/>
        </w:rPr>
        <w:t>engendré</w:t>
      </w:r>
      <w:r w:rsidR="00356BF9" w:rsidRPr="001A790B">
        <w:rPr>
          <w:lang w:val="fr-BE"/>
        </w:rPr>
        <w:t xml:space="preserve"> une rupture dans les livraisons </w:t>
      </w:r>
      <w:r w:rsidR="00BC5040">
        <w:rPr>
          <w:lang w:val="fr-BE"/>
        </w:rPr>
        <w:t>(voir plus loin).</w:t>
      </w:r>
    </w:p>
    <w:p w14:paraId="0968D597" w14:textId="13902082" w:rsidR="00A07F4B" w:rsidRPr="001A790B" w:rsidRDefault="001A790B" w:rsidP="00A07F4B">
      <w:pPr>
        <w:rPr>
          <w:lang w:val="fr-BE"/>
        </w:rPr>
      </w:pPr>
      <w:r w:rsidRPr="001A790B">
        <w:rPr>
          <w:lang w:val="fr-BE"/>
        </w:rPr>
        <w:lastRenderedPageBreak/>
        <w:t xml:space="preserve">Néanmoins, </w:t>
      </w:r>
      <w:r w:rsidRPr="00B51FE0">
        <w:rPr>
          <w:lang w:val="fr-BE"/>
        </w:rPr>
        <w:t>cette année, c</w:t>
      </w:r>
      <w:r w:rsidR="00A07F4B" w:rsidRPr="00B51FE0">
        <w:rPr>
          <w:lang w:val="fr-BE"/>
        </w:rPr>
        <w:t xml:space="preserve">e ne sont pas moins de </w:t>
      </w:r>
      <w:r w:rsidR="000C4939" w:rsidRPr="00B51FE0">
        <w:rPr>
          <w:lang w:val="fr-BE"/>
        </w:rPr>
        <w:t>8.260,66</w:t>
      </w:r>
      <w:r w:rsidR="00A07F4B" w:rsidRPr="00B51FE0">
        <w:rPr>
          <w:lang w:val="fr-BE"/>
        </w:rPr>
        <w:t xml:space="preserve"> tonnes de produits qui ont été distribués à </w:t>
      </w:r>
      <w:r w:rsidR="00EA36B2" w:rsidRPr="00B51FE0">
        <w:rPr>
          <w:lang w:val="fr-BE"/>
        </w:rPr>
        <w:t>393.824</w:t>
      </w:r>
      <w:r w:rsidR="00A07F4B" w:rsidRPr="00B51FE0">
        <w:rPr>
          <w:lang w:val="fr-BE"/>
        </w:rPr>
        <w:t xml:space="preserve"> personnes dans le besoin. </w:t>
      </w:r>
    </w:p>
    <w:p w14:paraId="15D6C2BF" w14:textId="61907CA9" w:rsidR="00A07F4B" w:rsidRPr="00F31F4B" w:rsidRDefault="00A07F4B" w:rsidP="00A07F4B">
      <w:pPr>
        <w:rPr>
          <w:lang w:val="fr-BE"/>
        </w:rPr>
      </w:pPr>
      <w:r w:rsidRPr="00F31F4B">
        <w:rPr>
          <w:lang w:val="fr-BE"/>
        </w:rPr>
        <w:t>Ces chiffres nous rappellent,</w:t>
      </w:r>
      <w:r w:rsidR="00F31F4B" w:rsidRPr="00F31F4B">
        <w:rPr>
          <w:lang w:val="fr-BE"/>
        </w:rPr>
        <w:t xml:space="preserve"> comme chaque année, </w:t>
      </w:r>
      <w:r w:rsidRPr="00F31F4B">
        <w:rPr>
          <w:lang w:val="fr-BE"/>
        </w:rPr>
        <w:t xml:space="preserve">le rôle essentiel joué par le FEAD en Belgique, qui continue de représenter environ 50% de ce que les Banques alimentaires belges reçoivent. </w:t>
      </w:r>
    </w:p>
    <w:p w14:paraId="2B61A7AC" w14:textId="422E7116" w:rsidR="001A790B" w:rsidRPr="00A07F4B" w:rsidRDefault="00A07F4B" w:rsidP="00A07F4B">
      <w:pPr>
        <w:rPr>
          <w:lang w:val="fr-BE"/>
        </w:rPr>
      </w:pPr>
      <w:r w:rsidRPr="00F31F4B">
        <w:rPr>
          <w:lang w:val="fr-BE"/>
        </w:rPr>
        <w:t>Le présent rapport annuel fournit un aperçu des différentes activités réalisées tout au long de l’année 201</w:t>
      </w:r>
      <w:r w:rsidR="00F31F4B" w:rsidRPr="00F31F4B">
        <w:rPr>
          <w:lang w:val="fr-BE"/>
        </w:rPr>
        <w:t>8</w:t>
      </w:r>
      <w:r w:rsidRPr="00F31F4B">
        <w:rPr>
          <w:lang w:val="fr-BE"/>
        </w:rPr>
        <w:t>. Ces activités y sont mises en relation avec les indicateurs communs figurant au point 2.3.</w:t>
      </w:r>
    </w:p>
    <w:p w14:paraId="728269F0" w14:textId="6BFB9778" w:rsidR="00C954FE" w:rsidRDefault="005B31F6" w:rsidP="00A74EEC">
      <w:pPr>
        <w:pStyle w:val="Kop3"/>
        <w:numPr>
          <w:ilvl w:val="2"/>
          <w:numId w:val="1"/>
        </w:numPr>
        <w:spacing w:after="240" w:line="276" w:lineRule="auto"/>
      </w:pPr>
      <w:bookmarkStart w:id="11" w:name="_Toc12629541"/>
      <w:r w:rsidRPr="00DA0446">
        <w:t>P</w:t>
      </w:r>
      <w:r w:rsidR="0090351D" w:rsidRPr="00DA0446">
        <w:t>rivation matérielle</w:t>
      </w:r>
      <w:r w:rsidRPr="00DA0446">
        <w:t xml:space="preserve"> concernée</w:t>
      </w:r>
      <w:r w:rsidR="00C954FE" w:rsidRPr="00DA0446">
        <w:t xml:space="preserve">: </w:t>
      </w:r>
      <w:bookmarkEnd w:id="10"/>
      <w:r w:rsidR="0090351D" w:rsidRPr="00DA0446">
        <w:t>privation alimentaire</w:t>
      </w:r>
      <w:bookmarkEnd w:id="11"/>
    </w:p>
    <w:p w14:paraId="1287C63B" w14:textId="2A3878BD" w:rsidR="00427525" w:rsidRDefault="00427525" w:rsidP="00427525">
      <w:pPr>
        <w:rPr>
          <w:lang w:val="fr-BE"/>
        </w:rPr>
      </w:pPr>
      <w:r w:rsidRPr="003140AB">
        <w:rPr>
          <w:lang w:val="fr-BE"/>
        </w:rPr>
        <w:t>En 201</w:t>
      </w:r>
      <w:r w:rsidR="009961F2">
        <w:rPr>
          <w:lang w:val="fr-BE"/>
        </w:rPr>
        <w:t>8</w:t>
      </w:r>
      <w:r w:rsidRPr="003140AB">
        <w:rPr>
          <w:lang w:val="fr-BE"/>
        </w:rPr>
        <w:t>, comme prévu dans le Programme Opérationnel (PO), des produits alimentaires ont été mis gratuitement à la disposition des CPAS et des organisations</w:t>
      </w:r>
      <w:r w:rsidR="00461D6A" w:rsidRPr="003140AB">
        <w:rPr>
          <w:lang w:val="fr-BE"/>
        </w:rPr>
        <w:t xml:space="preserve"> partenaires</w:t>
      </w:r>
      <w:r w:rsidRPr="003140AB">
        <w:rPr>
          <w:lang w:val="fr-BE"/>
        </w:rPr>
        <w:t xml:space="preserve"> agréées afin qu’ils soient distribués gratuitement aux plus démunis en Belgique. </w:t>
      </w:r>
    </w:p>
    <w:p w14:paraId="5C83E356" w14:textId="40CFAA6A" w:rsidR="00DB3984" w:rsidRPr="003140AB" w:rsidRDefault="00DB3984" w:rsidP="00427525">
      <w:pPr>
        <w:rPr>
          <w:rFonts w:ascii="Calibri" w:hAnsi="Calibri"/>
          <w:sz w:val="22"/>
          <w:lang w:val="fr-BE"/>
        </w:rPr>
      </w:pPr>
      <w:r w:rsidRPr="006257EF">
        <w:rPr>
          <w:lang w:val="fr-BE"/>
        </w:rPr>
        <w:t xml:space="preserve">L’appel à </w:t>
      </w:r>
      <w:proofErr w:type="spellStart"/>
      <w:r w:rsidRPr="006257EF">
        <w:rPr>
          <w:lang w:val="fr-BE"/>
        </w:rPr>
        <w:t>marché</w:t>
      </w:r>
      <w:proofErr w:type="spellEnd"/>
      <w:r w:rsidRPr="006257EF">
        <w:rPr>
          <w:lang w:val="fr-BE"/>
        </w:rPr>
        <w:t xml:space="preserve"> 2018 a dû être </w:t>
      </w:r>
      <w:r w:rsidR="007241E2">
        <w:rPr>
          <w:lang w:val="fr-BE"/>
        </w:rPr>
        <w:t>re</w:t>
      </w:r>
      <w:r w:rsidRPr="006257EF">
        <w:rPr>
          <w:lang w:val="fr-BE"/>
        </w:rPr>
        <w:t>lancé suite à des problèmes rencontrés lors de la première publication (voir plus loin).</w:t>
      </w:r>
    </w:p>
    <w:p w14:paraId="7DCC7AB4" w14:textId="38EF77C4" w:rsidR="00427525" w:rsidRPr="003140AB" w:rsidRDefault="00427525" w:rsidP="00427525">
      <w:pPr>
        <w:rPr>
          <w:lang w:val="fr-BE"/>
        </w:rPr>
      </w:pPr>
      <w:r w:rsidRPr="003140AB">
        <w:rPr>
          <w:lang w:val="fr-BE"/>
        </w:rPr>
        <w:t xml:space="preserve">Le </w:t>
      </w:r>
      <w:r w:rsidR="00726F34">
        <w:rPr>
          <w:lang w:val="fr-BE"/>
        </w:rPr>
        <w:t>programme</w:t>
      </w:r>
      <w:r w:rsidR="00726F34" w:rsidRPr="003140AB">
        <w:rPr>
          <w:lang w:val="fr-BE"/>
        </w:rPr>
        <w:t xml:space="preserve"> </w:t>
      </w:r>
      <w:r w:rsidRPr="003140AB">
        <w:rPr>
          <w:lang w:val="fr-BE"/>
        </w:rPr>
        <w:t>a été mis en œuvre selon la chronologie suivante :</w:t>
      </w:r>
    </w:p>
    <w:p w14:paraId="354C05A0" w14:textId="06490C63" w:rsidR="005B16C6" w:rsidRPr="00912438" w:rsidRDefault="00213BC3" w:rsidP="00427525">
      <w:pPr>
        <w:numPr>
          <w:ilvl w:val="0"/>
          <w:numId w:val="22"/>
        </w:numPr>
        <w:spacing w:after="0"/>
        <w:rPr>
          <w:lang w:val="fr-BE"/>
        </w:rPr>
      </w:pPr>
      <w:r w:rsidRPr="00912438">
        <w:rPr>
          <w:b/>
          <w:bCs/>
          <w:lang w:val="fr-BE"/>
        </w:rPr>
        <w:t>Fin 201</w:t>
      </w:r>
      <w:r w:rsidR="00912438">
        <w:rPr>
          <w:b/>
          <w:bCs/>
          <w:lang w:val="fr-BE"/>
        </w:rPr>
        <w:t>7</w:t>
      </w:r>
      <w:r w:rsidR="00DC784F" w:rsidRPr="00912438">
        <w:rPr>
          <w:b/>
          <w:bCs/>
          <w:lang w:val="fr-BE"/>
        </w:rPr>
        <w:t xml:space="preserve"> – début 201</w:t>
      </w:r>
      <w:r w:rsidR="00912438">
        <w:rPr>
          <w:b/>
          <w:bCs/>
          <w:lang w:val="fr-BE"/>
        </w:rPr>
        <w:t>8</w:t>
      </w:r>
      <w:r w:rsidR="007241E2">
        <w:rPr>
          <w:b/>
          <w:bCs/>
          <w:lang w:val="fr-BE"/>
        </w:rPr>
        <w:t xml:space="preserve"> </w:t>
      </w:r>
      <w:r w:rsidR="00427525" w:rsidRPr="00912438">
        <w:rPr>
          <w:lang w:val="fr-BE"/>
        </w:rPr>
        <w:t>:</w:t>
      </w:r>
      <w:r w:rsidR="00912438" w:rsidRPr="00912438">
        <w:rPr>
          <w:lang w:val="fr-BE"/>
        </w:rPr>
        <w:t xml:space="preserve"> début de la</w:t>
      </w:r>
      <w:r w:rsidR="00427525" w:rsidRPr="00912438">
        <w:rPr>
          <w:lang w:val="fr-BE"/>
        </w:rPr>
        <w:t xml:space="preserve"> préparation de la liste de</w:t>
      </w:r>
      <w:r w:rsidRPr="00912438">
        <w:rPr>
          <w:lang w:val="fr-BE"/>
        </w:rPr>
        <w:t>s produits pour la campagne 201</w:t>
      </w:r>
      <w:r w:rsidR="00912438" w:rsidRPr="00912438">
        <w:rPr>
          <w:lang w:val="fr-BE"/>
        </w:rPr>
        <w:t>8</w:t>
      </w:r>
      <w:r w:rsidRPr="00912438">
        <w:rPr>
          <w:lang w:val="fr-BE"/>
        </w:rPr>
        <w:t>.</w:t>
      </w:r>
      <w:r w:rsidR="00DC784F" w:rsidRPr="00912438">
        <w:rPr>
          <w:lang w:val="fr-BE"/>
        </w:rPr>
        <w:tab/>
      </w:r>
      <w:r w:rsidR="00427525" w:rsidRPr="00912438">
        <w:rPr>
          <w:lang w:val="fr-BE"/>
        </w:rPr>
        <w:t xml:space="preserve"> </w:t>
      </w:r>
      <w:r w:rsidR="00427525" w:rsidRPr="00912438">
        <w:rPr>
          <w:lang w:val="fr-BE"/>
        </w:rPr>
        <w:br/>
      </w:r>
      <w:r w:rsidR="005B16C6" w:rsidRPr="00912438">
        <w:rPr>
          <w:lang w:val="fr-BE"/>
        </w:rPr>
        <w:t xml:space="preserve">Comme </w:t>
      </w:r>
      <w:r w:rsidR="007E515E">
        <w:rPr>
          <w:lang w:val="fr-BE"/>
        </w:rPr>
        <w:t>pour les campagnes précédentes</w:t>
      </w:r>
      <w:r w:rsidR="005B16C6" w:rsidRPr="00912438">
        <w:rPr>
          <w:lang w:val="fr-BE"/>
        </w:rPr>
        <w:t>, le processus a suivi la procédure mise en place par l’</w:t>
      </w:r>
      <w:r w:rsidR="007241E2">
        <w:rPr>
          <w:lang w:val="fr-BE"/>
        </w:rPr>
        <w:t>Autorité de Gestion (</w:t>
      </w:r>
      <w:r w:rsidR="005B16C6" w:rsidRPr="00912438">
        <w:rPr>
          <w:lang w:val="fr-BE"/>
        </w:rPr>
        <w:t>AG</w:t>
      </w:r>
      <w:r w:rsidR="007241E2">
        <w:rPr>
          <w:lang w:val="fr-BE"/>
        </w:rPr>
        <w:t>)</w:t>
      </w:r>
      <w:r w:rsidR="005B16C6" w:rsidRPr="00912438">
        <w:rPr>
          <w:lang w:val="fr-BE"/>
        </w:rPr>
        <w:t xml:space="preserve"> pour la sélection des produits (voir aussi l</w:t>
      </w:r>
      <w:r w:rsidR="007E515E">
        <w:rPr>
          <w:lang w:val="fr-BE"/>
        </w:rPr>
        <w:t>es rapports annuels précédents) mais a connu un léger retard. En effet, l’AG a souhaité intégrer des clauses sociales et environnementales dans le cahier des charges. L’AG a don</w:t>
      </w:r>
      <w:r w:rsidR="007241E2">
        <w:rPr>
          <w:lang w:val="fr-BE"/>
        </w:rPr>
        <w:t>c</w:t>
      </w:r>
      <w:r w:rsidR="007E515E">
        <w:rPr>
          <w:lang w:val="fr-BE"/>
        </w:rPr>
        <w:t xml:space="preserve"> fait appel à un expert en la matière pour la rédaction du cahier des charges.</w:t>
      </w:r>
    </w:p>
    <w:p w14:paraId="23FFE6F3" w14:textId="1F6B5441" w:rsidR="00427525" w:rsidRPr="009961F2" w:rsidRDefault="00427525" w:rsidP="005B16C6">
      <w:pPr>
        <w:spacing w:after="0"/>
        <w:ind w:left="720"/>
        <w:rPr>
          <w:highlight w:val="yellow"/>
          <w:lang w:val="fr-BE"/>
        </w:rPr>
      </w:pPr>
    </w:p>
    <w:p w14:paraId="0F2097AC" w14:textId="4CEF1B9F" w:rsidR="003F1CC6" w:rsidRDefault="00427525" w:rsidP="00427525">
      <w:pPr>
        <w:pStyle w:val="Lijstalinea"/>
        <w:numPr>
          <w:ilvl w:val="0"/>
          <w:numId w:val="23"/>
        </w:numPr>
      </w:pPr>
      <w:r w:rsidRPr="007E515E">
        <w:t>Première consultation des partenaires lors de la réunion trimestrielle d</w:t>
      </w:r>
      <w:r w:rsidR="005B16C6" w:rsidRPr="007E515E">
        <w:t xml:space="preserve">e concertation en </w:t>
      </w:r>
      <w:r w:rsidR="007E515E" w:rsidRPr="007E515E">
        <w:rPr>
          <w:b/>
        </w:rPr>
        <w:t>décembre</w:t>
      </w:r>
      <w:r w:rsidR="005B16C6" w:rsidRPr="007E515E">
        <w:rPr>
          <w:b/>
        </w:rPr>
        <w:t xml:space="preserve"> 201</w:t>
      </w:r>
      <w:r w:rsidR="007E515E" w:rsidRPr="007E515E">
        <w:rPr>
          <w:b/>
        </w:rPr>
        <w:t>7</w:t>
      </w:r>
      <w:r w:rsidR="003F1CC6" w:rsidRPr="007E515E">
        <w:t xml:space="preserve">. L’AG </w:t>
      </w:r>
      <w:r w:rsidR="007241E2">
        <w:t>n’</w:t>
      </w:r>
      <w:r w:rsidR="007E515E">
        <w:t xml:space="preserve">a </w:t>
      </w:r>
      <w:r w:rsidR="00726F34">
        <w:t xml:space="preserve">pas </w:t>
      </w:r>
      <w:r w:rsidR="007E515E">
        <w:t xml:space="preserve">souhaité </w:t>
      </w:r>
      <w:r w:rsidR="007241E2">
        <w:t>modifier de façon importante</w:t>
      </w:r>
      <w:r w:rsidR="007E515E">
        <w:t xml:space="preserve"> la liste de produits. </w:t>
      </w:r>
    </w:p>
    <w:p w14:paraId="70B47D95" w14:textId="0C036E11" w:rsidR="007E515E" w:rsidRPr="007E515E" w:rsidRDefault="007E515E" w:rsidP="007E515E">
      <w:pPr>
        <w:pStyle w:val="Lijstalinea"/>
      </w:pPr>
      <w:r>
        <w:t>En ce qui concerne les livraisons, l’AG, en accord avec ses partenaires, a décidé de continuer avec le même système que pou</w:t>
      </w:r>
      <w:r w:rsidR="00356BF9">
        <w:t>r la campagne 2017 (pour rappel</w:t>
      </w:r>
      <w:r w:rsidR="007241E2">
        <w:t xml:space="preserve"> </w:t>
      </w:r>
      <w:r>
        <w:t>: utilisation du forfait prévu dans le règlement européen pour les co</w:t>
      </w:r>
      <w:r w:rsidR="007241E2">
        <w:t>û</w:t>
      </w:r>
      <w:r>
        <w:t>ts de transport et logistique – voir AIR 2017).</w:t>
      </w:r>
    </w:p>
    <w:p w14:paraId="49B7B1AB" w14:textId="77777777" w:rsidR="00B32787" w:rsidRPr="009961F2" w:rsidRDefault="00B32787" w:rsidP="00B32787">
      <w:pPr>
        <w:pStyle w:val="Lijstalinea"/>
        <w:rPr>
          <w:highlight w:val="yellow"/>
        </w:rPr>
      </w:pPr>
    </w:p>
    <w:p w14:paraId="66668855" w14:textId="046F67CD" w:rsidR="00CF2A8F" w:rsidRPr="003E7C09" w:rsidRDefault="003E7C09" w:rsidP="006257EF">
      <w:pPr>
        <w:pStyle w:val="Lijstalinea"/>
        <w:numPr>
          <w:ilvl w:val="0"/>
          <w:numId w:val="23"/>
        </w:numPr>
      </w:pPr>
      <w:r w:rsidRPr="003E7C09">
        <w:t>Etant donné qu</w:t>
      </w:r>
      <w:r w:rsidR="007241E2">
        <w:t xml:space="preserve">’il n’y avait que peu de produits nouveaux dans </w:t>
      </w:r>
      <w:r w:rsidRPr="003E7C09">
        <w:t>la liste des produits</w:t>
      </w:r>
      <w:r w:rsidR="007241E2">
        <w:t>,</w:t>
      </w:r>
      <w:r w:rsidRPr="003E7C09">
        <w:t xml:space="preserve"> les experts en</w:t>
      </w:r>
      <w:r w:rsidR="002F0B35" w:rsidRPr="003E7C09">
        <w:t xml:space="preserve"> nutrition</w:t>
      </w:r>
      <w:r w:rsidR="00CF2A8F" w:rsidRPr="003E7C09">
        <w:t xml:space="preserve"> </w:t>
      </w:r>
      <w:r w:rsidRPr="003E7C09">
        <w:rPr>
          <w:b/>
        </w:rPr>
        <w:t xml:space="preserve">ont été consultés par mail uniquement </w:t>
      </w:r>
      <w:r w:rsidRPr="003E7C09">
        <w:t xml:space="preserve">(notamment pour la composition des fruits secs et </w:t>
      </w:r>
      <w:r w:rsidR="007241E2">
        <w:t>d</w:t>
      </w:r>
      <w:r w:rsidRPr="003E7C09">
        <w:t xml:space="preserve">es galettes de </w:t>
      </w:r>
      <w:r w:rsidR="00356BF9" w:rsidRPr="003E7C09">
        <w:t>maïs</w:t>
      </w:r>
      <w:r w:rsidRPr="003E7C09">
        <w:t xml:space="preserve">). </w:t>
      </w:r>
      <w:r w:rsidR="00CF2A8F" w:rsidRPr="003E7C09">
        <w:t xml:space="preserve"> </w:t>
      </w:r>
    </w:p>
    <w:p w14:paraId="0A2A371A" w14:textId="77777777" w:rsidR="003E7C09" w:rsidRPr="003E7C09" w:rsidRDefault="003E7C09" w:rsidP="003E7C09">
      <w:pPr>
        <w:pStyle w:val="Lijstalinea"/>
      </w:pPr>
    </w:p>
    <w:p w14:paraId="100C2CE3" w14:textId="06ABF548" w:rsidR="00AD427E" w:rsidRPr="005A09C8" w:rsidRDefault="003E7C09" w:rsidP="00AD427E">
      <w:pPr>
        <w:pStyle w:val="Lijstalinea"/>
        <w:numPr>
          <w:ilvl w:val="0"/>
          <w:numId w:val="23"/>
        </w:numPr>
        <w:spacing w:after="0"/>
      </w:pPr>
      <w:r w:rsidRPr="005A09C8">
        <w:t>C</w:t>
      </w:r>
      <w:r w:rsidR="001607D7" w:rsidRPr="005A09C8">
        <w:t xml:space="preserve">omme chaque année, une étude </w:t>
      </w:r>
      <w:r w:rsidR="00FF272D" w:rsidRPr="005A09C8">
        <w:t>approfondie</w:t>
      </w:r>
      <w:r w:rsidR="001607D7" w:rsidRPr="005A09C8">
        <w:t xml:space="preserve"> d</w:t>
      </w:r>
      <w:r w:rsidR="00FF272D" w:rsidRPr="005A09C8">
        <w:t>u</w:t>
      </w:r>
      <w:r w:rsidR="001607D7" w:rsidRPr="005A09C8">
        <w:t xml:space="preserve"> marché a été menée afin </w:t>
      </w:r>
      <w:r w:rsidR="00FF272D" w:rsidRPr="005A09C8">
        <w:t>d’examiner et de tester</w:t>
      </w:r>
      <w:r w:rsidR="008C5BCF" w:rsidRPr="005A09C8">
        <w:t xml:space="preserve"> les produits existants </w:t>
      </w:r>
      <w:r w:rsidR="00006276" w:rsidRPr="005A09C8">
        <w:t>sur le marché</w:t>
      </w:r>
      <w:r w:rsidRPr="005A09C8">
        <w:t xml:space="preserve"> – pour les nouveaux produits de la liste, à savoir les fruits secs, les galettes de </w:t>
      </w:r>
      <w:r w:rsidR="00356BF9" w:rsidRPr="005A09C8">
        <w:t>maïs</w:t>
      </w:r>
      <w:r w:rsidRPr="005A09C8">
        <w:t xml:space="preserve"> et les haricots blancs. Cette étude a permis à l’AG de rédiger les spécifications techniques de ces nouveaux produits. Les </w:t>
      </w:r>
      <w:r w:rsidRPr="005A09C8">
        <w:lastRenderedPageBreak/>
        <w:t xml:space="preserve">compositions et étiquettes des produits ont été analysées par l’expert du SPF Santé publique et son avis a été pris en compte dans la version finale des fiches techniques. </w:t>
      </w:r>
      <w:r w:rsidR="008C5BCF" w:rsidRPr="005A09C8">
        <w:t xml:space="preserve"> </w:t>
      </w:r>
    </w:p>
    <w:p w14:paraId="40770A1C" w14:textId="77777777" w:rsidR="00AD427E" w:rsidRPr="00EC608F" w:rsidRDefault="00AD427E" w:rsidP="00AD427E">
      <w:pPr>
        <w:pStyle w:val="Lijstalinea"/>
        <w:spacing w:after="0"/>
      </w:pPr>
    </w:p>
    <w:p w14:paraId="12DC1B12" w14:textId="449AD571" w:rsidR="00F015C8" w:rsidRPr="00BA52D0" w:rsidRDefault="00427525" w:rsidP="005A09C8">
      <w:pPr>
        <w:pStyle w:val="Lijstalinea"/>
        <w:numPr>
          <w:ilvl w:val="0"/>
          <w:numId w:val="23"/>
        </w:numPr>
        <w:spacing w:after="0"/>
      </w:pPr>
      <w:r w:rsidRPr="00BA52D0">
        <w:t xml:space="preserve">La liste définitive des produits a été </w:t>
      </w:r>
      <w:r w:rsidR="003E7C09" w:rsidRPr="00BA52D0">
        <w:t>clôturée</w:t>
      </w:r>
      <w:r w:rsidRPr="00BA52D0">
        <w:t xml:space="preserve"> et présentée à </w:t>
      </w:r>
      <w:r w:rsidR="003E7C09" w:rsidRPr="00BA52D0">
        <w:t>l’expert en clauses sociales et environnementales en février 2019</w:t>
      </w:r>
      <w:r w:rsidR="008C5BCF" w:rsidRPr="00BA52D0">
        <w:t xml:space="preserve">. </w:t>
      </w:r>
      <w:r w:rsidR="00EC608F" w:rsidRPr="00BA52D0">
        <w:t>Depuis le début du FEAD, les cahiers des charges pour les différentes campagnes annuelles ont été adaptés plusieurs fois dans le but de proposer des produits de meilleure qualité. Pour la campagne 2</w:t>
      </w:r>
      <w:r w:rsidR="007241E2">
        <w:t>0</w:t>
      </w:r>
      <w:r w:rsidR="00EC608F" w:rsidRPr="00BA52D0">
        <w:t>18, l’AG a souhaité aller plus loin et rendre le marché encore plus durable. Dans ce cadre, l’AG a fait ap</w:t>
      </w:r>
      <w:r w:rsidR="00356BF9" w:rsidRPr="00BA52D0">
        <w:t xml:space="preserve">pel à une expertise extérieure </w:t>
      </w:r>
      <w:r w:rsidR="00EC608F" w:rsidRPr="00BA52D0">
        <w:t xml:space="preserve">afin d’évaluer les possibilités pour renforcer l’impact environnemental et social des achats en établissant des recommandations sur les clauses et dispositions que l’AG pourrait insérer dans </w:t>
      </w:r>
      <w:r w:rsidR="007241E2">
        <w:t>le cahier des charges</w:t>
      </w:r>
      <w:r w:rsidR="00EC608F" w:rsidRPr="00BA52D0">
        <w:t>. L’expertise demandée s’e</w:t>
      </w:r>
      <w:r w:rsidR="00356BF9" w:rsidRPr="00BA52D0">
        <w:t>st déclinée en deux volets</w:t>
      </w:r>
      <w:r w:rsidR="006977A6">
        <w:t xml:space="preserve"> </w:t>
      </w:r>
      <w:r w:rsidR="00EC608F" w:rsidRPr="00BA52D0">
        <w:t xml:space="preserve">: </w:t>
      </w:r>
      <w:r w:rsidR="006977A6">
        <w:t xml:space="preserve">1) </w:t>
      </w:r>
      <w:r w:rsidR="00EC608F" w:rsidRPr="00BA52D0">
        <w:t xml:space="preserve">établir </w:t>
      </w:r>
      <w:r w:rsidR="006977A6">
        <w:t>des</w:t>
      </w:r>
      <w:r w:rsidR="00EC608F" w:rsidRPr="00BA52D0">
        <w:t xml:space="preserve"> recommandations sur les clauses ou dispositions qui pourraient immédiatement être ajoutées </w:t>
      </w:r>
      <w:r w:rsidR="006977A6">
        <w:t xml:space="preserve">au cahier des charges </w:t>
      </w:r>
      <w:r w:rsidR="00EC608F" w:rsidRPr="00BA52D0">
        <w:t xml:space="preserve">pour la campagne 2018 et accompagner l’insertion de ces dispositions </w:t>
      </w:r>
      <w:r w:rsidR="006977A6">
        <w:t>l</w:t>
      </w:r>
      <w:r w:rsidR="00EC608F" w:rsidRPr="00BA52D0">
        <w:t>ors de la rédaction du cahier des charges, et</w:t>
      </w:r>
      <w:r w:rsidR="006977A6">
        <w:t xml:space="preserve"> 2)</w:t>
      </w:r>
      <w:r w:rsidR="00EC608F" w:rsidRPr="00BA52D0">
        <w:t xml:space="preserve"> établir un plan par étapes permettant de renforcer graduellement les aspects sociaux et environnementaux dans les marchés lancés par l’AG (voir analyse plus loin point). </w:t>
      </w:r>
    </w:p>
    <w:p w14:paraId="4FB7FEA3" w14:textId="77777777" w:rsidR="00AD427E" w:rsidRPr="009961F2" w:rsidRDefault="00AD427E" w:rsidP="0001188C">
      <w:pPr>
        <w:pStyle w:val="Lijstalinea"/>
        <w:spacing w:after="0"/>
        <w:rPr>
          <w:highlight w:val="yellow"/>
        </w:rPr>
      </w:pPr>
    </w:p>
    <w:p w14:paraId="31B01B76" w14:textId="2D236FF2" w:rsidR="00427525" w:rsidRPr="005A09C8" w:rsidRDefault="00427525" w:rsidP="00427525">
      <w:pPr>
        <w:pStyle w:val="Lijstalinea"/>
        <w:numPr>
          <w:ilvl w:val="0"/>
          <w:numId w:val="23"/>
        </w:numPr>
        <w:spacing w:after="0"/>
      </w:pPr>
      <w:r w:rsidRPr="005A09C8">
        <w:t xml:space="preserve">À l’issue du processus, des spécifications techniques pour le cahier des charges ont été rédigées par </w:t>
      </w:r>
      <w:r w:rsidR="00F474C4" w:rsidRPr="005A09C8">
        <w:t>l’AG</w:t>
      </w:r>
      <w:r w:rsidRPr="005A09C8">
        <w:t>.</w:t>
      </w:r>
      <w:r w:rsidR="00F474C4" w:rsidRPr="005A09C8">
        <w:t xml:space="preserve"> </w:t>
      </w:r>
    </w:p>
    <w:p w14:paraId="4C1A42E0" w14:textId="77777777" w:rsidR="00427525" w:rsidRPr="005A09C8" w:rsidRDefault="00427525" w:rsidP="00427525">
      <w:pPr>
        <w:ind w:left="360"/>
        <w:rPr>
          <w:lang w:val="fr-BE"/>
        </w:rPr>
      </w:pPr>
    </w:p>
    <w:p w14:paraId="038F959C" w14:textId="1B958363" w:rsidR="005D5CC7" w:rsidRPr="005A09C8" w:rsidRDefault="002D7369" w:rsidP="005D5CC7">
      <w:pPr>
        <w:pStyle w:val="Lijstalinea"/>
        <w:numPr>
          <w:ilvl w:val="0"/>
          <w:numId w:val="22"/>
        </w:numPr>
      </w:pPr>
      <w:r>
        <w:rPr>
          <w:b/>
          <w:bCs/>
        </w:rPr>
        <w:t>Mai</w:t>
      </w:r>
      <w:r w:rsidR="005D5CC7" w:rsidRPr="005A09C8">
        <w:rPr>
          <w:b/>
          <w:bCs/>
        </w:rPr>
        <w:t xml:space="preserve"> 201</w:t>
      </w:r>
      <w:r w:rsidR="005A09C8" w:rsidRPr="005A09C8">
        <w:rPr>
          <w:b/>
          <w:bCs/>
        </w:rPr>
        <w:t>8</w:t>
      </w:r>
      <w:r w:rsidR="006977A6">
        <w:rPr>
          <w:b/>
          <w:bCs/>
        </w:rPr>
        <w:t xml:space="preserve"> </w:t>
      </w:r>
      <w:r w:rsidR="005D5CC7" w:rsidRPr="005A09C8">
        <w:t>: L’AG engage la procédure pour acheter les denrées alimentaires pour l'année 2017 via un appel d'offres ouvert européen.</w:t>
      </w:r>
    </w:p>
    <w:p w14:paraId="6A1C3C79" w14:textId="5F969FD3" w:rsidR="008F77B1" w:rsidRDefault="005A09C8" w:rsidP="005D5CC7">
      <w:pPr>
        <w:pStyle w:val="Lijstalinea"/>
        <w:rPr>
          <w:bCs/>
        </w:rPr>
      </w:pPr>
      <w:r w:rsidRPr="005A09C8">
        <w:rPr>
          <w:bCs/>
        </w:rPr>
        <w:t xml:space="preserve">La procédure </w:t>
      </w:r>
      <w:r w:rsidR="005D5CC7" w:rsidRPr="005A09C8">
        <w:rPr>
          <w:bCs/>
        </w:rPr>
        <w:t xml:space="preserve"> a été lancé</w:t>
      </w:r>
      <w:r w:rsidR="00F015C8" w:rsidRPr="005A09C8">
        <w:rPr>
          <w:bCs/>
        </w:rPr>
        <w:t>e</w:t>
      </w:r>
      <w:r w:rsidR="005D5CC7" w:rsidRPr="005A09C8">
        <w:rPr>
          <w:bCs/>
        </w:rPr>
        <w:t xml:space="preserve"> le </w:t>
      </w:r>
      <w:r w:rsidRPr="005A09C8">
        <w:rPr>
          <w:bCs/>
        </w:rPr>
        <w:t>15/06/2018</w:t>
      </w:r>
      <w:r w:rsidR="005D5CC7" w:rsidRPr="005A09C8">
        <w:rPr>
          <w:bCs/>
        </w:rPr>
        <w:t xml:space="preserve"> pour un </w:t>
      </w:r>
      <w:r w:rsidR="005D5CC7" w:rsidRPr="002D7369">
        <w:rPr>
          <w:bCs/>
        </w:rPr>
        <w:t xml:space="preserve">montant de </w:t>
      </w:r>
      <w:r w:rsidR="002D7369" w:rsidRPr="002D7369">
        <w:rPr>
          <w:b/>
          <w:bCs/>
        </w:rPr>
        <w:t xml:space="preserve">12.208.896,23 </w:t>
      </w:r>
      <w:r w:rsidR="005D5CC7" w:rsidRPr="002D7369">
        <w:rPr>
          <w:b/>
          <w:bCs/>
        </w:rPr>
        <w:t>euros</w:t>
      </w:r>
      <w:r w:rsidR="005D5CC7" w:rsidRPr="002D7369">
        <w:rPr>
          <w:bCs/>
        </w:rPr>
        <w:t xml:space="preserve"> </w:t>
      </w:r>
      <w:r w:rsidR="005D5CC7" w:rsidRPr="005A09C8">
        <w:rPr>
          <w:bCs/>
        </w:rPr>
        <w:t xml:space="preserve">(TVA exclue). La séance d’ouverture pour cet appel </w:t>
      </w:r>
      <w:r w:rsidR="00F015C8" w:rsidRPr="005A09C8">
        <w:rPr>
          <w:bCs/>
        </w:rPr>
        <w:t xml:space="preserve">à </w:t>
      </w:r>
      <w:proofErr w:type="spellStart"/>
      <w:r w:rsidR="00F015C8" w:rsidRPr="005A09C8">
        <w:rPr>
          <w:bCs/>
        </w:rPr>
        <w:t>marché</w:t>
      </w:r>
      <w:proofErr w:type="spellEnd"/>
      <w:r w:rsidR="00F015C8" w:rsidRPr="005A09C8">
        <w:rPr>
          <w:bCs/>
        </w:rPr>
        <w:t xml:space="preserve"> </w:t>
      </w:r>
      <w:r w:rsidR="005D5CC7" w:rsidRPr="005A09C8">
        <w:rPr>
          <w:bCs/>
        </w:rPr>
        <w:t xml:space="preserve">a eu lieu le </w:t>
      </w:r>
      <w:r w:rsidRPr="005A09C8">
        <w:rPr>
          <w:bCs/>
        </w:rPr>
        <w:t>31/07/2018</w:t>
      </w:r>
      <w:r w:rsidR="005D5CC7" w:rsidRPr="005A09C8">
        <w:rPr>
          <w:bCs/>
        </w:rPr>
        <w:t>.</w:t>
      </w:r>
      <w:r>
        <w:rPr>
          <w:bCs/>
        </w:rPr>
        <w:br/>
      </w:r>
      <w:r w:rsidR="006977A6" w:rsidRPr="006977A6">
        <w:rPr>
          <w:bCs/>
        </w:rPr>
        <w:t>Cependant, en raison de certains éléments problématiques dans la procédure, presque toutes les offres présentaient des manquements par rapport au cahier des charges, qui ne pouvaient être rectifiés dans le cadre de la procédure choisie. Il n’a donc pas été jugé opportun de procéder à une attribution de ce marché sur la base de cette procédure.</w:t>
      </w:r>
      <w:r>
        <w:rPr>
          <w:bCs/>
        </w:rPr>
        <w:br/>
      </w:r>
      <w:r w:rsidR="001916A5">
        <w:rPr>
          <w:bCs/>
        </w:rPr>
        <w:t>Explications</w:t>
      </w:r>
      <w:r w:rsidR="00052041" w:rsidRPr="00052041">
        <w:rPr>
          <w:bCs/>
        </w:rPr>
        <w:t>:</w:t>
      </w:r>
      <w:r w:rsidR="00052041">
        <w:rPr>
          <w:bCs/>
        </w:rPr>
        <w:t xml:space="preserve"> l’appel à </w:t>
      </w:r>
      <w:proofErr w:type="spellStart"/>
      <w:r w:rsidR="00052041">
        <w:rPr>
          <w:bCs/>
        </w:rPr>
        <w:t>marché</w:t>
      </w:r>
      <w:proofErr w:type="spellEnd"/>
      <w:r w:rsidR="00052041">
        <w:rPr>
          <w:bCs/>
        </w:rPr>
        <w:t xml:space="preserve"> 2018 a connu certaines nouveautés</w:t>
      </w:r>
      <w:r w:rsidR="006F1A18">
        <w:rPr>
          <w:bCs/>
        </w:rPr>
        <w:t xml:space="preserve"> </w:t>
      </w:r>
      <w:r w:rsidR="001A790B">
        <w:rPr>
          <w:bCs/>
        </w:rPr>
        <w:t>(suite à une modification législative</w:t>
      </w:r>
      <w:r w:rsidR="006977A6">
        <w:rPr>
          <w:bCs/>
        </w:rPr>
        <w:t xml:space="preserve"> en application de la directive européenne de 2014</w:t>
      </w:r>
      <w:r w:rsidR="006F1A18">
        <w:rPr>
          <w:bCs/>
        </w:rPr>
        <w:t>)</w:t>
      </w:r>
      <w:r w:rsidR="00052041">
        <w:rPr>
          <w:bCs/>
        </w:rPr>
        <w:t xml:space="preserve">. </w:t>
      </w:r>
      <w:r w:rsidR="006977A6">
        <w:rPr>
          <w:bCs/>
        </w:rPr>
        <w:t>L</w:t>
      </w:r>
      <w:r w:rsidR="00052041">
        <w:rPr>
          <w:bCs/>
        </w:rPr>
        <w:t xml:space="preserve">es soumissions ne pouvaient plus se faire sous format papier mais uniquement </w:t>
      </w:r>
      <w:r w:rsidR="008F77B1">
        <w:rPr>
          <w:bCs/>
        </w:rPr>
        <w:t>par voie électronique</w:t>
      </w:r>
      <w:r w:rsidR="00052041">
        <w:rPr>
          <w:bCs/>
        </w:rPr>
        <w:t xml:space="preserve">. </w:t>
      </w:r>
      <w:r w:rsidR="006977A6">
        <w:rPr>
          <w:bCs/>
        </w:rPr>
        <w:t>Malheureusement</w:t>
      </w:r>
      <w:r w:rsidR="00052041">
        <w:rPr>
          <w:bCs/>
        </w:rPr>
        <w:t xml:space="preserve">, les signatures électroniques des soumissionnaires n’étaient pas conformes et </w:t>
      </w:r>
      <w:r w:rsidR="006977A6">
        <w:rPr>
          <w:bCs/>
        </w:rPr>
        <w:t>n’ont pas pu être déclarées valides</w:t>
      </w:r>
      <w:r w:rsidR="00052041">
        <w:rPr>
          <w:bCs/>
        </w:rPr>
        <w:t xml:space="preserve">. </w:t>
      </w:r>
    </w:p>
    <w:p w14:paraId="4D968E5E" w14:textId="307E3E6A" w:rsidR="00163489" w:rsidRDefault="006977A6" w:rsidP="00163489">
      <w:pPr>
        <w:pStyle w:val="Lijstalinea"/>
        <w:rPr>
          <w:bCs/>
        </w:rPr>
      </w:pPr>
      <w:r>
        <w:rPr>
          <w:bCs/>
        </w:rPr>
        <w:t>Par ailleurs,</w:t>
      </w:r>
      <w:r w:rsidR="00052041">
        <w:rPr>
          <w:bCs/>
        </w:rPr>
        <w:t xml:space="preserve"> l’AG a légèrement changé </w:t>
      </w:r>
      <w:r w:rsidR="008F77B1">
        <w:rPr>
          <w:bCs/>
        </w:rPr>
        <w:t xml:space="preserve">les exigences administratives et notamment </w:t>
      </w:r>
      <w:r w:rsidR="00052041">
        <w:rPr>
          <w:bCs/>
        </w:rPr>
        <w:t>le formulaire d’introduction des offres</w:t>
      </w:r>
      <w:r>
        <w:rPr>
          <w:bCs/>
        </w:rPr>
        <w:t xml:space="preserve"> sur base des recommandations de l’Autorité d’Audit</w:t>
      </w:r>
      <w:r w:rsidR="008F77B1">
        <w:rPr>
          <w:bCs/>
        </w:rPr>
        <w:t xml:space="preserve">. </w:t>
      </w:r>
      <w:r w:rsidR="00052041">
        <w:rPr>
          <w:bCs/>
        </w:rPr>
        <w:t xml:space="preserve"> </w:t>
      </w:r>
      <w:r>
        <w:rPr>
          <w:bCs/>
        </w:rPr>
        <w:t>Ainsi, à</w:t>
      </w:r>
      <w:r w:rsidR="008F77B1">
        <w:rPr>
          <w:bCs/>
        </w:rPr>
        <w:t xml:space="preserve"> partir de la campagne 2018, l’AG  a </w:t>
      </w:r>
      <w:r>
        <w:rPr>
          <w:bCs/>
        </w:rPr>
        <w:t xml:space="preserve">modifié </w:t>
      </w:r>
      <w:r w:rsidR="008F77B1">
        <w:rPr>
          <w:bCs/>
        </w:rPr>
        <w:t>la</w:t>
      </w:r>
      <w:r>
        <w:rPr>
          <w:bCs/>
        </w:rPr>
        <w:t xml:space="preserve"> gestion de </w:t>
      </w:r>
      <w:r w:rsidR="008F505F">
        <w:rPr>
          <w:bCs/>
        </w:rPr>
        <w:t>la réception des livraisons. En effet, l’AG utilise FEDCOM</w:t>
      </w:r>
      <w:r w:rsidR="00943D39">
        <w:rPr>
          <w:bCs/>
        </w:rPr>
        <w:t xml:space="preserve"> (</w:t>
      </w:r>
      <w:r w:rsidR="00943D39" w:rsidRPr="006977A6">
        <w:t xml:space="preserve">FEDCOM est </w:t>
      </w:r>
      <w:r w:rsidR="00943D39">
        <w:t>l’</w:t>
      </w:r>
      <w:r w:rsidR="00943D39" w:rsidRPr="006977A6">
        <w:t xml:space="preserve">application </w:t>
      </w:r>
      <w:r w:rsidR="00943D39">
        <w:t xml:space="preserve">informatique gérant </w:t>
      </w:r>
      <w:r w:rsidR="00943D39" w:rsidRPr="006977A6">
        <w:t xml:space="preserve"> la comptabilité de l’</w:t>
      </w:r>
      <w:r w:rsidR="00943D39">
        <w:t>E</w:t>
      </w:r>
      <w:r w:rsidR="00943D39" w:rsidRPr="006977A6">
        <w:t>tat.</w:t>
      </w:r>
      <w:r w:rsidR="00943D39">
        <w:t>)</w:t>
      </w:r>
      <w:r w:rsidR="008F505F">
        <w:rPr>
          <w:bCs/>
        </w:rPr>
        <w:t xml:space="preserve"> pour gérer </w:t>
      </w:r>
      <w:r>
        <w:rPr>
          <w:bCs/>
        </w:rPr>
        <w:t>les livraisons</w:t>
      </w:r>
      <w:r w:rsidR="008F505F">
        <w:rPr>
          <w:bCs/>
        </w:rPr>
        <w:t xml:space="preserve"> ce qui permet, entre autres, de pouvoir suivre les commandes et l’exécution du marché et</w:t>
      </w:r>
      <w:r>
        <w:rPr>
          <w:bCs/>
        </w:rPr>
        <w:t xml:space="preserve">, ainsi, assurer </w:t>
      </w:r>
      <w:r w:rsidR="008F505F">
        <w:rPr>
          <w:bCs/>
        </w:rPr>
        <w:t xml:space="preserve">un meilleur suivi du processus </w:t>
      </w:r>
      <w:r>
        <w:rPr>
          <w:bCs/>
        </w:rPr>
        <w:t xml:space="preserve"> dans le cadre d’une </w:t>
      </w:r>
      <w:r w:rsidR="008F505F">
        <w:rPr>
          <w:bCs/>
        </w:rPr>
        <w:t>amélioration continue du système.</w:t>
      </w:r>
    </w:p>
    <w:p w14:paraId="06F5708A" w14:textId="77777777" w:rsidR="008F505F" w:rsidRDefault="008F505F" w:rsidP="005D5CC7">
      <w:pPr>
        <w:pStyle w:val="Lijstalinea"/>
        <w:rPr>
          <w:bCs/>
        </w:rPr>
      </w:pPr>
    </w:p>
    <w:p w14:paraId="470B8532" w14:textId="67930EBF" w:rsidR="005D5CC7" w:rsidRDefault="008F77B1" w:rsidP="005D5CC7">
      <w:pPr>
        <w:pStyle w:val="Lijstalinea"/>
        <w:rPr>
          <w:bCs/>
        </w:rPr>
      </w:pPr>
      <w:r>
        <w:rPr>
          <w:bCs/>
        </w:rPr>
        <w:lastRenderedPageBreak/>
        <w:t>Les erreurs commises par les soum</w:t>
      </w:r>
      <w:r w:rsidR="001916A5">
        <w:rPr>
          <w:bCs/>
        </w:rPr>
        <w:t>issionnaires sont les suivantes</w:t>
      </w:r>
      <w:r>
        <w:rPr>
          <w:bCs/>
        </w:rPr>
        <w:t>: a) dépassement du budget maximum (prix total des soumissionnaires supérieur au budget disponible. Donc offre non valable), b) prix unitaire exprimé à deux chiffres après la virgule (n’a pas été respecté</w:t>
      </w:r>
      <w:r w:rsidR="00AE153D">
        <w:rPr>
          <w:bCs/>
        </w:rPr>
        <w:t xml:space="preserve"> – </w:t>
      </w:r>
      <w:r w:rsidR="001916A5">
        <w:rPr>
          <w:bCs/>
        </w:rPr>
        <w:t>rendant les offres non valables</w:t>
      </w:r>
      <w:r w:rsidR="00AE153D">
        <w:rPr>
          <w:bCs/>
        </w:rPr>
        <w:t>; c) les quantités d’unités proposées étaient incorrec</w:t>
      </w:r>
      <w:r w:rsidR="00641CE4">
        <w:rPr>
          <w:bCs/>
        </w:rPr>
        <w:t>tes (les offres comportaient de</w:t>
      </w:r>
      <w:r w:rsidR="00AE153D">
        <w:rPr>
          <w:bCs/>
        </w:rPr>
        <w:t>s</w:t>
      </w:r>
      <w:r w:rsidR="00641CE4">
        <w:rPr>
          <w:bCs/>
        </w:rPr>
        <w:t xml:space="preserve"> </w:t>
      </w:r>
      <w:r w:rsidR="00AE153D">
        <w:rPr>
          <w:bCs/>
        </w:rPr>
        <w:t>unités comportant des chiffres avec des virgules. Or, des demi unité</w:t>
      </w:r>
      <w:r w:rsidR="001916A5">
        <w:rPr>
          <w:bCs/>
        </w:rPr>
        <w:t>s ne peuvent pas être produites</w:t>
      </w:r>
      <w:r w:rsidR="00AE153D">
        <w:rPr>
          <w:bCs/>
        </w:rPr>
        <w:t>; il aurait fallu les arrondir vers le bas).</w:t>
      </w:r>
    </w:p>
    <w:p w14:paraId="5B544C28" w14:textId="77777777" w:rsidR="005A09C8" w:rsidRDefault="005A09C8" w:rsidP="005D5CC7">
      <w:pPr>
        <w:pStyle w:val="Lijstalinea"/>
        <w:rPr>
          <w:bCs/>
        </w:rPr>
      </w:pPr>
    </w:p>
    <w:p w14:paraId="0E4545B7" w14:textId="46CCF935" w:rsidR="00430A47" w:rsidRPr="006F1A18" w:rsidRDefault="00163489" w:rsidP="006F1A18">
      <w:pPr>
        <w:pStyle w:val="Lijstalinea"/>
        <w:rPr>
          <w:bCs/>
        </w:rPr>
      </w:pPr>
      <w:r w:rsidRPr="006F1A18">
        <w:rPr>
          <w:bCs/>
        </w:rPr>
        <w:t xml:space="preserve">Au regard des éléments problématiques, il a été jugé préférable d’annuler la procédure et de lancer un nouveau marché. En septembre 2018, un second cahier des charges  a été établi. Le marché comprend 20 lots, identique au premier. Des modifications administratives y ont été apportées pour renforcer l’information aux soumissionnaires quant aux obligations administratives, afin d’éviter les problèmes rencontrés dans la cadre de la première procédure. . Le cahier des charges a été </w:t>
      </w:r>
      <w:r w:rsidR="00525E0C" w:rsidRPr="006F1A18">
        <w:rPr>
          <w:bCs/>
        </w:rPr>
        <w:t xml:space="preserve">soumis pour avis à l’Inspection des finances. </w:t>
      </w:r>
      <w:r w:rsidR="00641CE4" w:rsidRPr="006F1A18">
        <w:rPr>
          <w:bCs/>
        </w:rPr>
        <w:t>La procédure</w:t>
      </w:r>
      <w:r w:rsidR="00525E0C" w:rsidRPr="006F1A18">
        <w:rPr>
          <w:bCs/>
        </w:rPr>
        <w:t xml:space="preserve"> a été lancée le 28/09/2018</w:t>
      </w:r>
      <w:r w:rsidRPr="006F1A18">
        <w:rPr>
          <w:bCs/>
        </w:rPr>
        <w:t xml:space="preserve"> après validation par le Conseil des Ministres</w:t>
      </w:r>
      <w:r w:rsidR="00525E0C" w:rsidRPr="006F1A18">
        <w:rPr>
          <w:bCs/>
        </w:rPr>
        <w:t xml:space="preserve">. La séance d’ouverture pour cet appel à </w:t>
      </w:r>
      <w:proofErr w:type="spellStart"/>
      <w:r w:rsidR="00525E0C" w:rsidRPr="006F1A18">
        <w:rPr>
          <w:bCs/>
        </w:rPr>
        <w:t>marché</w:t>
      </w:r>
      <w:proofErr w:type="spellEnd"/>
      <w:r w:rsidR="00525E0C" w:rsidRPr="006F1A18">
        <w:rPr>
          <w:bCs/>
        </w:rPr>
        <w:t xml:space="preserve"> a eu lieu le 30/10/2018.</w:t>
      </w:r>
      <w:r w:rsidRPr="006F1A18">
        <w:rPr>
          <w:bCs/>
        </w:rPr>
        <w:t xml:space="preserve"> Ce nouveau cahier des charges prévoyait notamment la tenue d’une </w:t>
      </w:r>
      <w:r w:rsidR="00430A47" w:rsidRPr="006F1A18">
        <w:rPr>
          <w:bCs/>
        </w:rPr>
        <w:t>session d’information organisée par l’AG pour les soumissionnaires</w:t>
      </w:r>
      <w:r w:rsidRPr="006F1A18">
        <w:rPr>
          <w:bCs/>
        </w:rPr>
        <w:t xml:space="preserve"> potentiels</w:t>
      </w:r>
      <w:r w:rsidR="00430A47" w:rsidRPr="006F1A18">
        <w:rPr>
          <w:bCs/>
        </w:rPr>
        <w:t xml:space="preserve"> dans le but d’éviter qu</w:t>
      </w:r>
      <w:r w:rsidRPr="006F1A18">
        <w:rPr>
          <w:bCs/>
        </w:rPr>
        <w:t>’i</w:t>
      </w:r>
      <w:r w:rsidR="00430A47" w:rsidRPr="006F1A18">
        <w:rPr>
          <w:bCs/>
        </w:rPr>
        <w:t xml:space="preserve">ls </w:t>
      </w:r>
      <w:r w:rsidRPr="006F1A18">
        <w:rPr>
          <w:bCs/>
        </w:rPr>
        <w:t xml:space="preserve"> ne </w:t>
      </w:r>
      <w:r w:rsidR="00430A47" w:rsidRPr="006F1A18">
        <w:rPr>
          <w:bCs/>
        </w:rPr>
        <w:t>commettent les mêmes erre</w:t>
      </w:r>
      <w:r w:rsidR="00641CE4" w:rsidRPr="006F1A18">
        <w:rPr>
          <w:bCs/>
        </w:rPr>
        <w:t>urs que précédemment</w:t>
      </w:r>
      <w:r w:rsidRPr="006F1A18">
        <w:rPr>
          <w:bCs/>
        </w:rPr>
        <w:t>. Cette session comprenait u</w:t>
      </w:r>
      <w:r w:rsidR="006257EF" w:rsidRPr="006F1A18">
        <w:rPr>
          <w:bCs/>
        </w:rPr>
        <w:t xml:space="preserve">ne présentation détaillée sur la procédure de signature </w:t>
      </w:r>
      <w:r w:rsidR="00AE153D" w:rsidRPr="006F1A18">
        <w:rPr>
          <w:bCs/>
        </w:rPr>
        <w:t>électronique</w:t>
      </w:r>
      <w:r w:rsidRPr="006F1A18">
        <w:rPr>
          <w:bCs/>
        </w:rPr>
        <w:t>, u</w:t>
      </w:r>
      <w:r w:rsidR="008F77B1" w:rsidRPr="006F1A18">
        <w:rPr>
          <w:bCs/>
        </w:rPr>
        <w:t xml:space="preserve">ne présentation </w:t>
      </w:r>
      <w:r w:rsidRPr="006F1A18">
        <w:rPr>
          <w:bCs/>
        </w:rPr>
        <w:t>faisant</w:t>
      </w:r>
      <w:r w:rsidR="008F77B1" w:rsidRPr="006F1A18">
        <w:rPr>
          <w:bCs/>
        </w:rPr>
        <w:t xml:space="preserve"> le point sur les obligations concernant les droits d’entrée sur les produits soumis aux accises </w:t>
      </w:r>
      <w:r w:rsidRPr="006F1A18">
        <w:rPr>
          <w:bCs/>
        </w:rPr>
        <w:t>pour le lot « </w:t>
      </w:r>
      <w:r w:rsidR="008F77B1" w:rsidRPr="006F1A18">
        <w:rPr>
          <w:bCs/>
        </w:rPr>
        <w:t>café</w:t>
      </w:r>
      <w:r w:rsidRPr="006F1A18">
        <w:rPr>
          <w:bCs/>
        </w:rPr>
        <w:t xml:space="preserve"> » et une </w:t>
      </w:r>
      <w:r w:rsidR="00AE153D" w:rsidRPr="006F1A18">
        <w:rPr>
          <w:bCs/>
        </w:rPr>
        <w:t xml:space="preserve"> présentation de tous les autres changements dans le cahier des charges.</w:t>
      </w:r>
      <w:r w:rsidRPr="006F1A18">
        <w:rPr>
          <w:bCs/>
        </w:rPr>
        <w:t xml:space="preserve"> Cette session s’est clôturée par une session de questions réponses. </w:t>
      </w:r>
    </w:p>
    <w:p w14:paraId="6F3BECC8" w14:textId="2DAAF97A" w:rsidR="005A09C8" w:rsidRPr="00430A47" w:rsidRDefault="00AE153D" w:rsidP="00AE153D">
      <w:pPr>
        <w:ind w:left="720"/>
        <w:rPr>
          <w:bCs/>
        </w:rPr>
      </w:pPr>
      <w:r>
        <w:rPr>
          <w:bCs/>
        </w:rPr>
        <w:t>Les offres reçues la deuxième fois étaient bien conformes et l’AG a pu attribuer le marché</w:t>
      </w:r>
      <w:r w:rsidR="00163489">
        <w:rPr>
          <w:bCs/>
        </w:rPr>
        <w:t xml:space="preserve"> en fin d’année 2018 et en début de l’année 2019</w:t>
      </w:r>
      <w:r>
        <w:rPr>
          <w:bCs/>
        </w:rPr>
        <w:t>.</w:t>
      </w:r>
    </w:p>
    <w:p w14:paraId="484F6111" w14:textId="19645A14" w:rsidR="00A66EB9" w:rsidRPr="00A66EB9" w:rsidRDefault="00A66EB9" w:rsidP="006257EF">
      <w:pPr>
        <w:pStyle w:val="Lijstalinea"/>
        <w:numPr>
          <w:ilvl w:val="0"/>
          <w:numId w:val="22"/>
        </w:numPr>
        <w:spacing w:after="0"/>
      </w:pPr>
      <w:r w:rsidRPr="00A66EB9">
        <w:rPr>
          <w:b/>
        </w:rPr>
        <w:t>Juin</w:t>
      </w:r>
      <w:r w:rsidR="00F474C4" w:rsidRPr="00A66EB9">
        <w:rPr>
          <w:b/>
        </w:rPr>
        <w:t xml:space="preserve"> 201</w:t>
      </w:r>
      <w:r w:rsidRPr="00A66EB9">
        <w:rPr>
          <w:b/>
        </w:rPr>
        <w:t>8</w:t>
      </w:r>
      <w:r w:rsidR="00163489">
        <w:rPr>
          <w:b/>
        </w:rPr>
        <w:t xml:space="preserve"> </w:t>
      </w:r>
      <w:r w:rsidR="00F474C4" w:rsidRPr="00A66EB9">
        <w:rPr>
          <w:b/>
        </w:rPr>
        <w:t xml:space="preserve">: </w:t>
      </w:r>
      <w:r w:rsidR="00427525" w:rsidRPr="00A66EB9">
        <w:t>les CPAS et les organisations partenaires ont été invités à transmettre leur commande de denrée</w:t>
      </w:r>
      <w:r w:rsidR="00F474C4" w:rsidRPr="00A66EB9">
        <w:t>s alimentaires pour l’année 201</w:t>
      </w:r>
      <w:r w:rsidRPr="00A66EB9">
        <w:t>8</w:t>
      </w:r>
      <w:r w:rsidR="00A03098" w:rsidRPr="00A66EB9">
        <w:t xml:space="preserve"> via le site internet de l’A</w:t>
      </w:r>
      <w:r w:rsidR="00427525" w:rsidRPr="00A66EB9">
        <w:t xml:space="preserve">G. </w:t>
      </w:r>
    </w:p>
    <w:p w14:paraId="58AD5F60" w14:textId="2156C591" w:rsidR="00A03098" w:rsidRPr="00A66EB9" w:rsidRDefault="00A03098" w:rsidP="00A66EB9">
      <w:pPr>
        <w:pStyle w:val="Lijstalinea"/>
        <w:spacing w:after="0"/>
      </w:pPr>
      <w:r w:rsidRPr="00A66EB9">
        <w:t>Au même moment, le règlement 201</w:t>
      </w:r>
      <w:r w:rsidR="00A66EB9">
        <w:t>8</w:t>
      </w:r>
      <w:r w:rsidRPr="00A66EB9">
        <w:t xml:space="preserve"> a été publié sur le site de l’AG: </w:t>
      </w:r>
      <w:hyperlink r:id="rId10" w:history="1">
        <w:r w:rsidR="00B17BFF" w:rsidRPr="00AC659E">
          <w:rPr>
            <w:rStyle w:val="Hyperlink"/>
          </w:rPr>
          <w:t>https://www.mi-is.be/sites/default/files/documents/fead_-_reglement_2018_fr.docx</w:t>
        </w:r>
      </w:hyperlink>
      <w:r w:rsidR="00B17BFF">
        <w:t xml:space="preserve"> </w:t>
      </w:r>
    </w:p>
    <w:p w14:paraId="7C030CD1" w14:textId="352A7C81" w:rsidR="00A03098" w:rsidRPr="00A66EB9" w:rsidRDefault="00A03098" w:rsidP="00A03098">
      <w:pPr>
        <w:pStyle w:val="Lijstalinea"/>
        <w:spacing w:after="0"/>
      </w:pPr>
      <w:r w:rsidRPr="00A66EB9">
        <w:t>En introduisant une commande, les organisations partenaires agréées et CPAS s’engagent à respecter ce règlement stipulant les conditions pour recevoir de l’aide.</w:t>
      </w:r>
    </w:p>
    <w:p w14:paraId="188641C5" w14:textId="42EAEE18" w:rsidR="00427525" w:rsidRPr="00A66EB9" w:rsidRDefault="00A03098" w:rsidP="00A03098">
      <w:pPr>
        <w:pStyle w:val="Lijstalinea"/>
        <w:spacing w:after="0"/>
        <w:rPr>
          <w:lang w:val="fr-BE"/>
        </w:rPr>
      </w:pPr>
      <w:r w:rsidRPr="00A66EB9">
        <w:t xml:space="preserve">Au total, </w:t>
      </w:r>
      <w:r w:rsidR="00A66EB9" w:rsidRPr="00B17BFF">
        <w:rPr>
          <w:b/>
          <w:bCs/>
          <w:lang w:val="fr-BE"/>
        </w:rPr>
        <w:t xml:space="preserve">747 </w:t>
      </w:r>
      <w:r w:rsidRPr="00B17BFF">
        <w:rPr>
          <w:bCs/>
          <w:lang w:val="fr-BE"/>
        </w:rPr>
        <w:t>commandes ont été introduites en 201</w:t>
      </w:r>
      <w:r w:rsidR="00A66EB9" w:rsidRPr="00B17BFF">
        <w:rPr>
          <w:bCs/>
          <w:lang w:val="fr-BE"/>
        </w:rPr>
        <w:t>8</w:t>
      </w:r>
      <w:r w:rsidRPr="00A66EB9">
        <w:rPr>
          <w:lang w:val="fr-BE"/>
        </w:rPr>
        <w:t>.</w:t>
      </w:r>
    </w:p>
    <w:p w14:paraId="0ECEDAB3" w14:textId="77777777" w:rsidR="00FE7045" w:rsidRPr="009961F2" w:rsidRDefault="00FE7045" w:rsidP="00FE7045">
      <w:pPr>
        <w:pStyle w:val="Lijstalinea"/>
        <w:spacing w:before="240" w:after="0"/>
        <w:rPr>
          <w:b/>
          <w:bCs/>
          <w:highlight w:val="yellow"/>
        </w:rPr>
      </w:pPr>
    </w:p>
    <w:p w14:paraId="2628FDFC" w14:textId="761841B0" w:rsidR="00427525" w:rsidRPr="00A66EB9" w:rsidRDefault="001916A5" w:rsidP="00427525">
      <w:pPr>
        <w:pStyle w:val="Lijstalinea"/>
        <w:numPr>
          <w:ilvl w:val="0"/>
          <w:numId w:val="22"/>
        </w:numPr>
        <w:spacing w:before="240" w:after="0"/>
        <w:rPr>
          <w:b/>
          <w:bCs/>
        </w:rPr>
      </w:pPr>
      <w:r>
        <w:rPr>
          <w:b/>
          <w:bCs/>
        </w:rPr>
        <w:t>Janvier/février 2019</w:t>
      </w:r>
      <w:r w:rsidR="00A66EB9" w:rsidRPr="00A66EB9">
        <w:rPr>
          <w:b/>
          <w:bCs/>
        </w:rPr>
        <w:t>:</w:t>
      </w:r>
      <w:r w:rsidR="00427525" w:rsidRPr="00A66EB9">
        <w:t xml:space="preserve"> Les produits alimentaires disponibles suite à l’appel d’offre ont été répartis en fonction, d'une part, des commandes et des quantités disponibles et, d'autre part, d'un </w:t>
      </w:r>
      <w:r>
        <w:t>«</w:t>
      </w:r>
      <w:r w:rsidR="00427525" w:rsidRPr="00A66EB9">
        <w:t>plafond communal</w:t>
      </w:r>
      <w:r w:rsidR="00251FEE">
        <w:t>»</w:t>
      </w:r>
      <w:r w:rsidR="00427525" w:rsidRPr="00A66EB9">
        <w:t xml:space="preserve"> établi sur la base du nombre de bénéficiaires de RIS par commune concernée. </w:t>
      </w:r>
    </w:p>
    <w:p w14:paraId="0EB8CEC5" w14:textId="4883289D" w:rsidR="00B96D3D" w:rsidRPr="00A66EB9" w:rsidRDefault="00A66EB9" w:rsidP="00FF7598">
      <w:pPr>
        <w:pStyle w:val="Lijstalinea"/>
        <w:spacing w:before="240" w:after="0"/>
      </w:pPr>
      <w:r w:rsidRPr="00A66EB9">
        <w:t xml:space="preserve">Comme chaque année, la </w:t>
      </w:r>
      <w:r w:rsidR="00427525" w:rsidRPr="00A66EB9">
        <w:t>clé de répartition a été appliquée</w:t>
      </w:r>
      <w:r w:rsidR="00251FEE">
        <w:t xml:space="preserve"> </w:t>
      </w:r>
      <w:r w:rsidR="00427525" w:rsidRPr="00A66EB9">
        <w:t>: le plafond communal établi sur la base du nombre de bénéficiaires du RIS, a été adapté afin de respecter la clé de répartition convenue entre le fédéral et les régions dans le cadre du FEAD.</w:t>
      </w:r>
      <w:r w:rsidR="00427525" w:rsidRPr="00A66EB9">
        <w:rPr>
          <w:b/>
          <w:bCs/>
        </w:rPr>
        <w:t xml:space="preserve"> </w:t>
      </w:r>
      <w:r w:rsidR="00427525" w:rsidRPr="00A66EB9">
        <w:t>Cette clé de répartition est la suivante:</w:t>
      </w:r>
    </w:p>
    <w:p w14:paraId="78A81975" w14:textId="4B99C091" w:rsidR="00427525" w:rsidRPr="00A66EB9" w:rsidRDefault="005D5CC7" w:rsidP="00427525">
      <w:pPr>
        <w:pStyle w:val="Lijstalinea"/>
        <w:numPr>
          <w:ilvl w:val="1"/>
          <w:numId w:val="22"/>
        </w:numPr>
        <w:spacing w:before="240" w:after="0"/>
        <w:rPr>
          <w:b/>
          <w:bCs/>
        </w:rPr>
      </w:pPr>
      <w:r w:rsidRPr="00A66EB9">
        <w:lastRenderedPageBreak/>
        <w:t>Région Bruxelloise</w:t>
      </w:r>
      <w:r w:rsidR="00251FEE">
        <w:t xml:space="preserve"> </w:t>
      </w:r>
      <w:r w:rsidRPr="00A66EB9">
        <w:t xml:space="preserve">: </w:t>
      </w:r>
      <w:r w:rsidR="00427525" w:rsidRPr="00A66EB9">
        <w:t>23,18%</w:t>
      </w:r>
    </w:p>
    <w:p w14:paraId="63E593E4" w14:textId="027C12CF" w:rsidR="00427525" w:rsidRPr="00A66EB9" w:rsidRDefault="005D5CC7" w:rsidP="00427525">
      <w:pPr>
        <w:pStyle w:val="Lijstalinea"/>
        <w:numPr>
          <w:ilvl w:val="1"/>
          <w:numId w:val="22"/>
        </w:numPr>
        <w:spacing w:before="240" w:after="0"/>
        <w:rPr>
          <w:b/>
          <w:bCs/>
        </w:rPr>
      </w:pPr>
      <w:r w:rsidRPr="00A66EB9">
        <w:t>Région Flamand</w:t>
      </w:r>
      <w:r w:rsidR="00251FEE">
        <w:t xml:space="preserve"> </w:t>
      </w:r>
      <w:r w:rsidRPr="00A66EB9">
        <w:t xml:space="preserve">: </w:t>
      </w:r>
      <w:r w:rsidR="00427525" w:rsidRPr="00A66EB9">
        <w:t>23,24%</w:t>
      </w:r>
    </w:p>
    <w:p w14:paraId="5BDC5760" w14:textId="12E6D1B2" w:rsidR="005D5CC7" w:rsidRPr="00A66EB9" w:rsidRDefault="005D5CC7" w:rsidP="005D5CC7">
      <w:pPr>
        <w:pStyle w:val="Lijstalinea"/>
        <w:numPr>
          <w:ilvl w:val="1"/>
          <w:numId w:val="22"/>
        </w:numPr>
        <w:spacing w:before="240" w:after="0"/>
        <w:rPr>
          <w:b/>
          <w:bCs/>
        </w:rPr>
      </w:pPr>
      <w:r w:rsidRPr="00A66EB9">
        <w:t>Région Wallonne</w:t>
      </w:r>
      <w:r w:rsidR="00251FEE">
        <w:t xml:space="preserve"> </w:t>
      </w:r>
      <w:r w:rsidRPr="00A66EB9">
        <w:t xml:space="preserve">: </w:t>
      </w:r>
      <w:r w:rsidR="00427525" w:rsidRPr="00A66EB9">
        <w:t>53,57%</w:t>
      </w:r>
    </w:p>
    <w:p w14:paraId="6995C0DA" w14:textId="77777777" w:rsidR="005D5CC7" w:rsidRPr="009961F2" w:rsidRDefault="005D5CC7" w:rsidP="005D5CC7">
      <w:pPr>
        <w:pStyle w:val="Lijstalinea"/>
        <w:spacing w:before="240" w:after="0"/>
        <w:ind w:left="1440"/>
        <w:rPr>
          <w:b/>
          <w:bCs/>
          <w:highlight w:val="yellow"/>
        </w:rPr>
      </w:pPr>
    </w:p>
    <w:p w14:paraId="7500ADB8" w14:textId="03F28831" w:rsidR="00427525" w:rsidRPr="00912E94" w:rsidRDefault="00912E94" w:rsidP="00427525">
      <w:pPr>
        <w:pStyle w:val="Lijstalinea"/>
        <w:numPr>
          <w:ilvl w:val="0"/>
          <w:numId w:val="22"/>
        </w:numPr>
        <w:spacing w:before="240" w:after="0"/>
        <w:rPr>
          <w:b/>
          <w:bCs/>
        </w:rPr>
      </w:pPr>
      <w:r w:rsidRPr="00912E94">
        <w:rPr>
          <w:b/>
          <w:bCs/>
        </w:rPr>
        <w:t>Février 2019</w:t>
      </w:r>
      <w:r w:rsidR="00251FEE">
        <w:rPr>
          <w:b/>
          <w:bCs/>
        </w:rPr>
        <w:t xml:space="preserve"> </w:t>
      </w:r>
      <w:r w:rsidR="00427525" w:rsidRPr="00912E94">
        <w:rPr>
          <w:b/>
          <w:bCs/>
        </w:rPr>
        <w:t xml:space="preserve">: </w:t>
      </w:r>
      <w:r w:rsidR="00427525" w:rsidRPr="00912E94">
        <w:t xml:space="preserve">Début des livraisons. Les produits alimentaires </w:t>
      </w:r>
      <w:r w:rsidR="00251FEE">
        <w:t xml:space="preserve">achetés dans le cadre de la campagne 2018 </w:t>
      </w:r>
      <w:r w:rsidR="00427525" w:rsidRPr="00912E94">
        <w:t xml:space="preserve">ont commencé à être livrés aux organisations partenaires agréées. </w:t>
      </w:r>
    </w:p>
    <w:p w14:paraId="42610F2C" w14:textId="77777777" w:rsidR="00445DCD" w:rsidRDefault="00445DCD" w:rsidP="00445DCD">
      <w:pPr>
        <w:spacing w:after="240"/>
      </w:pPr>
    </w:p>
    <w:p w14:paraId="38DB167F" w14:textId="2AF98BC0" w:rsidR="00445DCD" w:rsidRPr="00445DCD" w:rsidRDefault="00445DCD" w:rsidP="00251FEE">
      <w:pPr>
        <w:spacing w:after="240"/>
        <w:ind w:left="360"/>
      </w:pPr>
      <w:r>
        <w:t xml:space="preserve">L’AG a donc </w:t>
      </w:r>
      <w:r w:rsidR="00A67F76">
        <w:t>dû</w:t>
      </w:r>
      <w:r>
        <w:t xml:space="preserve"> gérer c</w:t>
      </w:r>
      <w:r w:rsidR="008F6000">
        <w:t>e retard involontaire</w:t>
      </w:r>
      <w:r>
        <w:t xml:space="preserve">. </w:t>
      </w:r>
      <w:r w:rsidRPr="00445DCD">
        <w:t>Conscient</w:t>
      </w:r>
      <w:r w:rsidR="00251FEE">
        <w:t>e</w:t>
      </w:r>
      <w:r w:rsidRPr="00445DCD">
        <w:t xml:space="preserve"> du problème que cela pose</w:t>
      </w:r>
      <w:r>
        <w:t>rait</w:t>
      </w:r>
      <w:r w:rsidRPr="00445DCD">
        <w:t xml:space="preserve"> pour </w:t>
      </w:r>
      <w:r>
        <w:t>la plupart des organisations</w:t>
      </w:r>
      <w:r w:rsidRPr="00445DCD">
        <w:t xml:space="preserve"> des mesures d’urgence ont été mises en place</w:t>
      </w:r>
      <w:r w:rsidR="00251FEE">
        <w:t>, à la demande du Ministre Denis Ducarme,</w:t>
      </w:r>
      <w:r w:rsidRPr="00445DCD">
        <w:t xml:space="preserve"> pour assurer la tran</w:t>
      </w:r>
      <w:r w:rsidR="00B17BFF">
        <w:t>sition entre les deux campagnes</w:t>
      </w:r>
      <w:r>
        <w:t xml:space="preserve">: </w:t>
      </w:r>
    </w:p>
    <w:p w14:paraId="26DC4481" w14:textId="1B9CE64B" w:rsidR="00466B9F" w:rsidRPr="00A67F76" w:rsidRDefault="00466B9F" w:rsidP="006257EF">
      <w:pPr>
        <w:pStyle w:val="Lijstalinea"/>
        <w:numPr>
          <w:ilvl w:val="0"/>
          <w:numId w:val="30"/>
        </w:numPr>
        <w:spacing w:after="240" w:line="259" w:lineRule="auto"/>
        <w:rPr>
          <w:rFonts w:cs="Arial"/>
          <w:szCs w:val="24"/>
          <w:lang w:val="fr-BE" w:eastAsia="fr-BE"/>
        </w:rPr>
      </w:pPr>
      <w:r w:rsidRPr="00A67F76">
        <w:rPr>
          <w:rFonts w:cs="Arial"/>
          <w:b/>
          <w:szCs w:val="24"/>
          <w:lang w:val="fr-BE" w:eastAsia="fr-BE"/>
        </w:rPr>
        <w:t>Subside aux banques alimentaires et entrepôts</w:t>
      </w:r>
      <w:r w:rsidRPr="00A67F76">
        <w:rPr>
          <w:rFonts w:cs="Arial"/>
          <w:szCs w:val="24"/>
          <w:lang w:val="fr-BE" w:eastAsia="fr-BE"/>
        </w:rPr>
        <w:t xml:space="preserve">: un subside de 150.000 euros </w:t>
      </w:r>
      <w:r w:rsidR="00611E67">
        <w:rPr>
          <w:rFonts w:cs="Arial"/>
          <w:szCs w:val="24"/>
          <w:lang w:val="fr-BE" w:eastAsia="fr-BE"/>
        </w:rPr>
        <w:t xml:space="preserve">(non FEAD) </w:t>
      </w:r>
      <w:r w:rsidR="00A67F76" w:rsidRPr="00A67F76">
        <w:rPr>
          <w:rFonts w:cs="Arial"/>
          <w:szCs w:val="24"/>
          <w:lang w:val="fr-BE" w:eastAsia="fr-BE"/>
        </w:rPr>
        <w:t>a été</w:t>
      </w:r>
      <w:r w:rsidRPr="00A67F76">
        <w:rPr>
          <w:rFonts w:cs="Arial"/>
          <w:szCs w:val="24"/>
          <w:lang w:val="fr-BE" w:eastAsia="fr-BE"/>
        </w:rPr>
        <w:t xml:space="preserve"> réparti entre les Banques Alimentaires et les grands entrepôts pour l’achat de denrées alimentaires de première nécessité. </w:t>
      </w:r>
      <w:r w:rsidR="00A67F76" w:rsidRPr="00A67F76">
        <w:rPr>
          <w:rFonts w:cs="Arial"/>
          <w:szCs w:val="24"/>
          <w:lang w:val="fr-BE" w:eastAsia="fr-BE"/>
        </w:rPr>
        <w:t>Chaque entrepôt a reçu un budget entre 10.000 et</w:t>
      </w:r>
      <w:r w:rsidR="00A67F76">
        <w:rPr>
          <w:rFonts w:cs="Arial"/>
          <w:szCs w:val="24"/>
          <w:lang w:val="fr-BE" w:eastAsia="fr-BE"/>
        </w:rPr>
        <w:t xml:space="preserve"> 13.000 euros et</w:t>
      </w:r>
      <w:r w:rsidRPr="00A67F76">
        <w:rPr>
          <w:rFonts w:cs="Arial"/>
          <w:szCs w:val="24"/>
          <w:lang w:val="fr-BE" w:eastAsia="fr-BE"/>
        </w:rPr>
        <w:t xml:space="preserve"> </w:t>
      </w:r>
      <w:r w:rsidR="00A67F76" w:rsidRPr="00A67F76">
        <w:rPr>
          <w:rFonts w:cs="Arial"/>
          <w:szCs w:val="24"/>
          <w:lang w:val="fr-BE" w:eastAsia="fr-BE"/>
        </w:rPr>
        <w:t>a pu</w:t>
      </w:r>
      <w:r w:rsidRPr="00A67F76">
        <w:rPr>
          <w:rFonts w:cs="Arial"/>
          <w:szCs w:val="24"/>
          <w:lang w:val="fr-BE" w:eastAsia="fr-BE"/>
        </w:rPr>
        <w:t xml:space="preserve"> choisir quelles denrées acheter en fonction de</w:t>
      </w:r>
      <w:r w:rsidR="00A67F76" w:rsidRPr="00A67F76">
        <w:rPr>
          <w:rFonts w:cs="Arial"/>
          <w:szCs w:val="24"/>
          <w:lang w:val="fr-BE" w:eastAsia="fr-BE"/>
        </w:rPr>
        <w:t xml:space="preserve"> </w:t>
      </w:r>
      <w:r w:rsidRPr="00A67F76">
        <w:rPr>
          <w:rFonts w:cs="Arial"/>
          <w:szCs w:val="24"/>
          <w:lang w:val="fr-BE" w:eastAsia="fr-BE"/>
        </w:rPr>
        <w:t>s</w:t>
      </w:r>
      <w:r w:rsidR="00A67F76" w:rsidRPr="00A67F76">
        <w:rPr>
          <w:rFonts w:cs="Arial"/>
          <w:szCs w:val="24"/>
          <w:lang w:val="fr-BE" w:eastAsia="fr-BE"/>
        </w:rPr>
        <w:t>es</w:t>
      </w:r>
      <w:r w:rsidRPr="00A67F76">
        <w:rPr>
          <w:rFonts w:cs="Arial"/>
          <w:szCs w:val="24"/>
          <w:lang w:val="fr-BE" w:eastAsia="fr-BE"/>
        </w:rPr>
        <w:t xml:space="preserve"> besoins. Ce budget </w:t>
      </w:r>
      <w:r w:rsidR="00A67F76" w:rsidRPr="00A67F76">
        <w:rPr>
          <w:rFonts w:cs="Arial"/>
          <w:szCs w:val="24"/>
          <w:lang w:val="fr-BE" w:eastAsia="fr-BE"/>
        </w:rPr>
        <w:t>a</w:t>
      </w:r>
      <w:r w:rsidRPr="00A67F76">
        <w:rPr>
          <w:rFonts w:cs="Arial"/>
          <w:szCs w:val="24"/>
          <w:lang w:val="fr-BE" w:eastAsia="fr-BE"/>
        </w:rPr>
        <w:t xml:space="preserve"> </w:t>
      </w:r>
      <w:r w:rsidR="00A67F76" w:rsidRPr="00A67F76">
        <w:rPr>
          <w:rFonts w:cs="Arial"/>
          <w:szCs w:val="24"/>
          <w:lang w:val="fr-BE" w:eastAsia="fr-BE"/>
        </w:rPr>
        <w:t xml:space="preserve">permis </w:t>
      </w:r>
      <w:r w:rsidRPr="00A67F76">
        <w:rPr>
          <w:rFonts w:cs="Arial"/>
          <w:szCs w:val="24"/>
          <w:lang w:val="fr-BE" w:eastAsia="fr-BE"/>
        </w:rPr>
        <w:t xml:space="preserve">de répondre rapidement aux besoins du terrain (dès début décembre). Le subside </w:t>
      </w:r>
      <w:r w:rsidR="00A67F76" w:rsidRPr="00A67F76">
        <w:rPr>
          <w:rFonts w:cs="Arial"/>
          <w:szCs w:val="24"/>
          <w:lang w:val="fr-BE" w:eastAsia="fr-BE"/>
        </w:rPr>
        <w:t>a été</w:t>
      </w:r>
      <w:r w:rsidRPr="00A67F76">
        <w:rPr>
          <w:rFonts w:cs="Arial"/>
          <w:szCs w:val="24"/>
          <w:lang w:val="fr-BE" w:eastAsia="fr-BE"/>
        </w:rPr>
        <w:t xml:space="preserve"> octroyé en décembre et les produits </w:t>
      </w:r>
      <w:r w:rsidR="00A67F76" w:rsidRPr="00A67F76">
        <w:rPr>
          <w:rFonts w:cs="Arial"/>
          <w:szCs w:val="24"/>
          <w:lang w:val="fr-BE" w:eastAsia="fr-BE"/>
        </w:rPr>
        <w:t>ont été</w:t>
      </w:r>
      <w:r w:rsidRPr="00A67F76">
        <w:rPr>
          <w:rFonts w:cs="Arial"/>
          <w:szCs w:val="24"/>
          <w:lang w:val="fr-BE" w:eastAsia="fr-BE"/>
        </w:rPr>
        <w:t xml:space="preserve"> achetés avant mi-janvier 2019 pour être mis à disposition rapidement. </w:t>
      </w:r>
    </w:p>
    <w:p w14:paraId="6B3CE1F3" w14:textId="77777777" w:rsidR="00466B9F" w:rsidRPr="00445DCD" w:rsidRDefault="00466B9F" w:rsidP="00466B9F">
      <w:pPr>
        <w:pStyle w:val="Lijstalinea"/>
        <w:rPr>
          <w:rFonts w:cs="Arial"/>
          <w:szCs w:val="24"/>
          <w:lang w:val="fr-BE" w:eastAsia="fr-BE"/>
        </w:rPr>
      </w:pPr>
    </w:p>
    <w:p w14:paraId="6824D362" w14:textId="5AA0F4FC" w:rsidR="00B72E42" w:rsidRPr="00B72E42" w:rsidRDefault="00466B9F" w:rsidP="00B72E42">
      <w:pPr>
        <w:pStyle w:val="Lijstalinea"/>
        <w:numPr>
          <w:ilvl w:val="0"/>
          <w:numId w:val="30"/>
        </w:numPr>
        <w:spacing w:before="240" w:after="0" w:line="259" w:lineRule="auto"/>
        <w:rPr>
          <w:szCs w:val="24"/>
          <w:lang w:val="fr-BE"/>
        </w:rPr>
      </w:pPr>
      <w:r w:rsidRPr="008F1983">
        <w:rPr>
          <w:rFonts w:cs="Arial"/>
          <w:b/>
          <w:szCs w:val="24"/>
          <w:lang w:val="fr-BE" w:eastAsia="fr-BE"/>
        </w:rPr>
        <w:t>Prolongation du marché 2017</w:t>
      </w:r>
      <w:r w:rsidRPr="008F1983">
        <w:rPr>
          <w:rFonts w:cs="Arial"/>
          <w:szCs w:val="24"/>
          <w:lang w:val="fr-BE" w:eastAsia="fr-BE"/>
        </w:rPr>
        <w:t xml:space="preserve"> : </w:t>
      </w:r>
      <w:r w:rsidR="00A67F76" w:rsidRPr="008F1983">
        <w:rPr>
          <w:rFonts w:cs="Arial"/>
          <w:szCs w:val="24"/>
          <w:lang w:val="fr-BE" w:eastAsia="fr-BE"/>
        </w:rPr>
        <w:t>l’AG</w:t>
      </w:r>
      <w:r w:rsidRPr="008F1983">
        <w:rPr>
          <w:rFonts w:cs="Arial"/>
          <w:szCs w:val="24"/>
          <w:lang w:val="fr-BE" w:eastAsia="fr-BE"/>
        </w:rPr>
        <w:t xml:space="preserve"> </w:t>
      </w:r>
      <w:r w:rsidR="00A67F76" w:rsidRPr="008F1983">
        <w:rPr>
          <w:rFonts w:cs="Arial"/>
          <w:szCs w:val="24"/>
          <w:lang w:val="fr-BE" w:eastAsia="fr-BE"/>
        </w:rPr>
        <w:t>a</w:t>
      </w:r>
      <w:r w:rsidRPr="008F1983">
        <w:rPr>
          <w:rFonts w:cs="Arial"/>
          <w:szCs w:val="24"/>
          <w:lang w:val="fr-BE" w:eastAsia="fr-BE"/>
        </w:rPr>
        <w:t xml:space="preserve"> prolong</w:t>
      </w:r>
      <w:r w:rsidR="00A67F76" w:rsidRPr="008F1983">
        <w:rPr>
          <w:rFonts w:cs="Arial"/>
          <w:szCs w:val="24"/>
          <w:lang w:val="fr-BE" w:eastAsia="fr-BE"/>
        </w:rPr>
        <w:t>é</w:t>
      </w:r>
      <w:r w:rsidRPr="008F1983">
        <w:rPr>
          <w:rFonts w:cs="Arial"/>
          <w:szCs w:val="24"/>
          <w:lang w:val="fr-BE" w:eastAsia="fr-BE"/>
        </w:rPr>
        <w:t xml:space="preserve"> </w:t>
      </w:r>
      <w:r w:rsidR="00B72E42">
        <w:rPr>
          <w:rFonts w:cs="Arial"/>
          <w:szCs w:val="24"/>
          <w:lang w:val="fr-BE" w:eastAsia="fr-BE"/>
        </w:rPr>
        <w:t xml:space="preserve">l’appel à </w:t>
      </w:r>
      <w:proofErr w:type="spellStart"/>
      <w:r w:rsidR="00B72E42">
        <w:rPr>
          <w:rFonts w:cs="Arial"/>
          <w:szCs w:val="24"/>
          <w:lang w:val="fr-BE" w:eastAsia="fr-BE"/>
        </w:rPr>
        <w:t>marché</w:t>
      </w:r>
      <w:proofErr w:type="spellEnd"/>
      <w:r w:rsidR="00B72E42">
        <w:rPr>
          <w:rFonts w:cs="Arial"/>
          <w:szCs w:val="24"/>
          <w:lang w:val="fr-BE" w:eastAsia="fr-BE"/>
        </w:rPr>
        <w:t xml:space="preserve"> 2017 pour 3 produits</w:t>
      </w:r>
      <w:r w:rsidR="00685602">
        <w:rPr>
          <w:rFonts w:cs="Arial"/>
          <w:szCs w:val="24"/>
          <w:lang w:val="fr-BE" w:eastAsia="fr-BE"/>
        </w:rPr>
        <w:t xml:space="preserve"> </w:t>
      </w:r>
      <w:r w:rsidRPr="008F1983">
        <w:rPr>
          <w:rFonts w:cs="Arial"/>
          <w:szCs w:val="24"/>
          <w:lang w:val="fr-BE" w:eastAsia="fr-BE"/>
        </w:rPr>
        <w:t xml:space="preserve">: l’huile d’olive, le chocolat et la confiture. </w:t>
      </w:r>
      <w:r w:rsidR="00B72E42" w:rsidRPr="00611E67">
        <w:rPr>
          <w:rFonts w:cs="Arial"/>
          <w:szCs w:val="24"/>
          <w:lang w:val="fr-BE" w:eastAsia="fr-BE"/>
        </w:rPr>
        <w:t>Pour ces 3 produits une quantité supplémentaire de 10% a pu être livrée.</w:t>
      </w:r>
      <w:r w:rsidR="00B72E42" w:rsidRPr="00B72E42">
        <w:rPr>
          <w:rFonts w:cs="Arial"/>
          <w:color w:val="FF0000"/>
          <w:szCs w:val="24"/>
          <w:lang w:val="fr-BE" w:eastAsia="fr-BE"/>
        </w:rPr>
        <w:t xml:space="preserve"> </w:t>
      </w:r>
      <w:r w:rsidRPr="008F1983">
        <w:rPr>
          <w:rFonts w:cs="Arial"/>
          <w:szCs w:val="24"/>
          <w:lang w:val="fr-BE" w:eastAsia="fr-BE"/>
        </w:rPr>
        <w:t xml:space="preserve">Au total, environ 200.000 unités de ces produits </w:t>
      </w:r>
      <w:r w:rsidR="00A67F76" w:rsidRPr="008F1983">
        <w:rPr>
          <w:rFonts w:cs="Arial"/>
          <w:szCs w:val="24"/>
          <w:lang w:val="fr-BE" w:eastAsia="fr-BE"/>
        </w:rPr>
        <w:t>ont été</w:t>
      </w:r>
      <w:r w:rsidRPr="008F1983">
        <w:rPr>
          <w:rFonts w:cs="Arial"/>
          <w:szCs w:val="24"/>
          <w:lang w:val="fr-BE" w:eastAsia="fr-BE"/>
        </w:rPr>
        <w:t xml:space="preserve"> mis à distribution des partenaires et</w:t>
      </w:r>
      <w:r w:rsidR="00B72E42">
        <w:rPr>
          <w:rFonts w:cs="Arial"/>
          <w:szCs w:val="24"/>
          <w:lang w:val="fr-BE" w:eastAsia="fr-BE"/>
        </w:rPr>
        <w:t xml:space="preserve"> distribués avant février 2019.</w:t>
      </w:r>
    </w:p>
    <w:p w14:paraId="60A45178" w14:textId="3DD67AEC" w:rsidR="00E10332" w:rsidRPr="00912E94" w:rsidRDefault="00027CA3" w:rsidP="00427525">
      <w:pPr>
        <w:spacing w:before="240"/>
        <w:rPr>
          <w:lang w:val="fr-BE"/>
        </w:rPr>
      </w:pPr>
      <w:r w:rsidRPr="00912E94">
        <w:rPr>
          <w:lang w:val="fr-BE"/>
        </w:rPr>
        <w:t>Tous les produits livrés en 201</w:t>
      </w:r>
      <w:r w:rsidR="00912E94" w:rsidRPr="00912E94">
        <w:rPr>
          <w:lang w:val="fr-BE"/>
        </w:rPr>
        <w:t>7</w:t>
      </w:r>
      <w:r w:rsidR="00427525" w:rsidRPr="00912E94">
        <w:rPr>
          <w:lang w:val="fr-BE"/>
        </w:rPr>
        <w:t xml:space="preserve"> aux CPAS et organisations partenaires agréées n’ont pas pu être totalement distribués aux plus démunis au cours de l’</w:t>
      </w:r>
      <w:r w:rsidRPr="00912E94">
        <w:rPr>
          <w:lang w:val="fr-BE"/>
        </w:rPr>
        <w:t>année 201</w:t>
      </w:r>
      <w:r w:rsidR="00912E94" w:rsidRPr="00912E94">
        <w:rPr>
          <w:lang w:val="fr-BE"/>
        </w:rPr>
        <w:t>7</w:t>
      </w:r>
      <w:r w:rsidRPr="00912E94">
        <w:rPr>
          <w:lang w:val="fr-BE"/>
        </w:rPr>
        <w:t>. Par conséquent, les</w:t>
      </w:r>
      <w:r w:rsidR="00427525" w:rsidRPr="00912E94">
        <w:rPr>
          <w:lang w:val="fr-BE"/>
        </w:rPr>
        <w:t xml:space="preserve"> CPAS et organisations partenaires ont continué la dist</w:t>
      </w:r>
      <w:r w:rsidRPr="00912E94">
        <w:rPr>
          <w:lang w:val="fr-BE"/>
        </w:rPr>
        <w:t>ribution de ces produits en 201</w:t>
      </w:r>
      <w:r w:rsidR="00912E94">
        <w:rPr>
          <w:lang w:val="fr-BE"/>
        </w:rPr>
        <w:t>8</w:t>
      </w:r>
      <w:r w:rsidR="00427525" w:rsidRPr="00912E94">
        <w:rPr>
          <w:lang w:val="fr-BE"/>
        </w:rPr>
        <w:t xml:space="preserve">. </w:t>
      </w:r>
      <w:r w:rsidR="00912E94">
        <w:rPr>
          <w:lang w:val="fr-BE"/>
        </w:rPr>
        <w:t>Du fait du retard de la campagne 2018, l’année 2019 conna</w:t>
      </w:r>
      <w:r w:rsidR="00685602">
        <w:rPr>
          <w:lang w:val="fr-BE"/>
        </w:rPr>
        <w:t>î</w:t>
      </w:r>
      <w:r w:rsidR="00912E94">
        <w:rPr>
          <w:lang w:val="fr-BE"/>
        </w:rPr>
        <w:t xml:space="preserve">tra un chevauchement des livraisons deux campagnes (2018 et 2019) ; la </w:t>
      </w:r>
      <w:r w:rsidR="00631A56">
        <w:rPr>
          <w:lang w:val="fr-BE"/>
        </w:rPr>
        <w:t>campagne</w:t>
      </w:r>
      <w:r w:rsidR="00912E94">
        <w:rPr>
          <w:lang w:val="fr-BE"/>
        </w:rPr>
        <w:t xml:space="preserve"> 2019 étant en cours de préparation lors de la rédaction de ce rapport. Les distributions aux CPAS et O</w:t>
      </w:r>
      <w:r w:rsidR="00E10332">
        <w:rPr>
          <w:lang w:val="fr-BE"/>
        </w:rPr>
        <w:t xml:space="preserve">rganisations </w:t>
      </w:r>
      <w:r w:rsidR="00912E94">
        <w:rPr>
          <w:lang w:val="fr-BE"/>
        </w:rPr>
        <w:t>P</w:t>
      </w:r>
      <w:r w:rsidR="00E10332">
        <w:rPr>
          <w:lang w:val="fr-BE"/>
        </w:rPr>
        <w:t>artenaires</w:t>
      </w:r>
      <w:r w:rsidR="00912E94">
        <w:rPr>
          <w:lang w:val="fr-BE"/>
        </w:rPr>
        <w:t xml:space="preserve"> devraient commencer en octobre 201</w:t>
      </w:r>
      <w:r w:rsidR="00852064">
        <w:rPr>
          <w:lang w:val="fr-BE"/>
        </w:rPr>
        <w:t>9</w:t>
      </w:r>
      <w:bookmarkStart w:id="12" w:name="_GoBack"/>
      <w:bookmarkEnd w:id="12"/>
      <w:r w:rsidR="00912E94">
        <w:rPr>
          <w:lang w:val="fr-BE"/>
        </w:rPr>
        <w:t xml:space="preserve"> (alors que la fin des distributions de la campagne 2018 est prévue pour début 2020.</w:t>
      </w:r>
    </w:p>
    <w:p w14:paraId="25D774E0" w14:textId="77777777" w:rsidR="0035767E" w:rsidRPr="00DA0446" w:rsidRDefault="0035767E" w:rsidP="002666E5">
      <w:pPr>
        <w:pStyle w:val="Kop3"/>
        <w:numPr>
          <w:ilvl w:val="2"/>
          <w:numId w:val="1"/>
        </w:numPr>
        <w:spacing w:after="240" w:line="276" w:lineRule="auto"/>
      </w:pPr>
      <w:bookmarkStart w:id="13" w:name="_Toc422390651"/>
      <w:bookmarkStart w:id="14" w:name="_Toc12629542"/>
      <w:r w:rsidRPr="00DA0446">
        <w:t>Identification des personnes les plus démunies</w:t>
      </w:r>
      <w:bookmarkEnd w:id="13"/>
      <w:bookmarkEnd w:id="14"/>
    </w:p>
    <w:p w14:paraId="55AB8B51" w14:textId="77777777" w:rsidR="000C7B32" w:rsidRPr="00DA0446" w:rsidRDefault="000C7B32" w:rsidP="002666E5">
      <w:pPr>
        <w:pStyle w:val="Kop4"/>
        <w:numPr>
          <w:ilvl w:val="3"/>
          <w:numId w:val="1"/>
        </w:numPr>
        <w:spacing w:after="240" w:line="276" w:lineRule="auto"/>
      </w:pPr>
      <w:r w:rsidRPr="00DA0446">
        <w:t>Généralités</w:t>
      </w:r>
    </w:p>
    <w:p w14:paraId="6EE1C8EE" w14:textId="3CAE3F94" w:rsidR="00CF0733" w:rsidRPr="000126C6" w:rsidRDefault="002F46D8" w:rsidP="002666E5">
      <w:pPr>
        <w:autoSpaceDE w:val="0"/>
        <w:autoSpaceDN w:val="0"/>
        <w:adjustRightInd w:val="0"/>
        <w:spacing w:after="0"/>
      </w:pPr>
      <w:r w:rsidRPr="000126C6">
        <w:t xml:space="preserve">Pour rappel, dans le cadre du FEAD, un seul et même critère permet de définir </w:t>
      </w:r>
      <w:r w:rsidR="00A93585" w:rsidRPr="000126C6">
        <w:t>les</w:t>
      </w:r>
      <w:r w:rsidRPr="000126C6">
        <w:t xml:space="preserve"> personne</w:t>
      </w:r>
      <w:r w:rsidR="00A93585" w:rsidRPr="000126C6">
        <w:t>s</w:t>
      </w:r>
      <w:r w:rsidRPr="000126C6">
        <w:t xml:space="preserve"> </w:t>
      </w:r>
      <w:r w:rsidR="00A93585" w:rsidRPr="000126C6">
        <w:t>pouvant</w:t>
      </w:r>
      <w:r w:rsidR="009C3467" w:rsidRPr="000126C6">
        <w:t xml:space="preserve"> bénéficier de produits FEAD</w:t>
      </w:r>
      <w:r w:rsidR="00685602">
        <w:t xml:space="preserve"> </w:t>
      </w:r>
      <w:r w:rsidR="00A93585" w:rsidRPr="000126C6">
        <w:t>: toute</w:t>
      </w:r>
      <w:r w:rsidR="00E95116" w:rsidRPr="000126C6">
        <w:t xml:space="preserve"> personne vivant sous le seuil de pauvreté </w:t>
      </w:r>
      <w:r w:rsidR="004C2DE0" w:rsidRPr="000126C6">
        <w:t>(indicateur AROP – voir</w:t>
      </w:r>
      <w:r w:rsidR="00685602">
        <w:t xml:space="preserve"> </w:t>
      </w:r>
      <w:r w:rsidR="000D120C" w:rsidRPr="000126C6">
        <w:t xml:space="preserve">: </w:t>
      </w:r>
    </w:p>
    <w:p w14:paraId="59D8DEF6" w14:textId="663B1E94" w:rsidR="00A93585" w:rsidRPr="000126C6" w:rsidRDefault="00852064" w:rsidP="002666E5">
      <w:pPr>
        <w:autoSpaceDE w:val="0"/>
        <w:autoSpaceDN w:val="0"/>
        <w:adjustRightInd w:val="0"/>
        <w:spacing w:after="0"/>
        <w:rPr>
          <w:szCs w:val="24"/>
          <w:u w:val="single"/>
        </w:rPr>
      </w:pPr>
      <w:hyperlink r:id="rId11" w:history="1">
        <w:r w:rsidR="009C3467" w:rsidRPr="000126C6">
          <w:rPr>
            <w:rStyle w:val="Hyperlink"/>
            <w:color w:val="auto"/>
            <w:szCs w:val="24"/>
          </w:rPr>
          <w:t>http://statbel.fgov.be/fr/binaries/Publication_Silc_STATBEL_FR_28JUL15_tcm326-271022.xls</w:t>
        </w:r>
      </w:hyperlink>
      <w:r w:rsidR="00EC7FEF" w:rsidRPr="000126C6">
        <w:t xml:space="preserve">). </w:t>
      </w:r>
      <w:r w:rsidR="00A93585" w:rsidRPr="000126C6">
        <w:t>Ce</w:t>
      </w:r>
      <w:r w:rsidR="00685602">
        <w:t xml:space="preserve"> critère</w:t>
      </w:r>
      <w:r w:rsidR="004E0C8D">
        <w:t xml:space="preserve"> </w:t>
      </w:r>
      <w:r w:rsidR="00A93585" w:rsidRPr="000126C6">
        <w:t xml:space="preserve">a été retenu </w:t>
      </w:r>
      <w:r w:rsidR="00685602">
        <w:t>car il</w:t>
      </w:r>
      <w:r w:rsidR="00A93585" w:rsidRPr="000126C6">
        <w:t xml:space="preserve"> </w:t>
      </w:r>
      <w:r w:rsidR="009C3467" w:rsidRPr="000126C6">
        <w:t>est simple, objecti</w:t>
      </w:r>
      <w:r w:rsidR="00685602">
        <w:t>f</w:t>
      </w:r>
      <w:r w:rsidR="009C3467" w:rsidRPr="000126C6">
        <w:t xml:space="preserve"> et </w:t>
      </w:r>
      <w:r w:rsidR="00685602">
        <w:t xml:space="preserve">permet de couvrir les personnes les plus précarisées de notre société, notamment les </w:t>
      </w:r>
      <w:r w:rsidR="00A93585" w:rsidRPr="000126C6">
        <w:t xml:space="preserve">sans-abri, </w:t>
      </w:r>
      <w:r w:rsidR="00685602">
        <w:t xml:space="preserve">les </w:t>
      </w:r>
      <w:r w:rsidR="00A93585" w:rsidRPr="000126C6">
        <w:t xml:space="preserve">réfugiés, </w:t>
      </w:r>
      <w:r w:rsidR="00685602">
        <w:t xml:space="preserve">les </w:t>
      </w:r>
      <w:r w:rsidR="004E0C8D" w:rsidRPr="000126C6">
        <w:t>sans-papier</w:t>
      </w:r>
      <w:r w:rsidR="004E0C8D">
        <w:t>s</w:t>
      </w:r>
      <w:r w:rsidR="00A93585" w:rsidRPr="000126C6">
        <w:t>, etc.</w:t>
      </w:r>
    </w:p>
    <w:p w14:paraId="108DD64E" w14:textId="77777777" w:rsidR="00A93585" w:rsidRPr="00261126" w:rsidRDefault="00A93585" w:rsidP="002666E5">
      <w:pPr>
        <w:autoSpaceDE w:val="0"/>
        <w:autoSpaceDN w:val="0"/>
        <w:adjustRightInd w:val="0"/>
        <w:spacing w:after="0"/>
      </w:pPr>
    </w:p>
    <w:p w14:paraId="4F675804" w14:textId="567AD2FB" w:rsidR="00A93585" w:rsidRPr="000126C6" w:rsidRDefault="007C716E" w:rsidP="002666E5">
      <w:pPr>
        <w:autoSpaceDE w:val="0"/>
        <w:autoSpaceDN w:val="0"/>
        <w:adjustRightInd w:val="0"/>
        <w:spacing w:after="0"/>
      </w:pPr>
      <w:r>
        <w:lastRenderedPageBreak/>
        <w:t xml:space="preserve">Comme chaque année, </w:t>
      </w:r>
      <w:r w:rsidR="003A3A34">
        <w:t>p</w:t>
      </w:r>
      <w:r w:rsidR="00A93585" w:rsidRPr="000126C6">
        <w:t>our la campagne 201</w:t>
      </w:r>
      <w:r w:rsidR="003A3A34">
        <w:t>8</w:t>
      </w:r>
      <w:r w:rsidR="00A93585" w:rsidRPr="000126C6">
        <w:t>, le seuil de pauvreté a été mis à jour et publié dans le règlement:</w:t>
      </w:r>
    </w:p>
    <w:p w14:paraId="4086BB32" w14:textId="77777777" w:rsidR="00DB3984" w:rsidRPr="00FE4555" w:rsidRDefault="00DB3984" w:rsidP="00DB3984">
      <w:pPr>
        <w:pStyle w:val="Default"/>
        <w:numPr>
          <w:ilvl w:val="0"/>
          <w:numId w:val="8"/>
        </w:numPr>
        <w:spacing w:line="276" w:lineRule="auto"/>
        <w:jc w:val="both"/>
        <w:rPr>
          <w:rFonts w:ascii="Gill Sans MT" w:hAnsi="Gill Sans MT"/>
          <w:color w:val="auto"/>
          <w:lang w:val="fr-BE"/>
        </w:rPr>
      </w:pPr>
      <w:r w:rsidRPr="00FE4555">
        <w:rPr>
          <w:rFonts w:ascii="Gill Sans MT" w:hAnsi="Gill Sans MT"/>
          <w:color w:val="auto"/>
          <w:lang w:val="fr-BE"/>
        </w:rPr>
        <w:t>Personne isolée : 13.670</w:t>
      </w:r>
      <w:r w:rsidRPr="00FE4555">
        <w:rPr>
          <w:rFonts w:ascii="Gill Sans MT" w:hAnsi="Gill Sans MT" w:cs="TimesNewRoman"/>
          <w:color w:val="auto"/>
          <w:lang w:val="fr-BE"/>
        </w:rPr>
        <w:t xml:space="preserve">€/ </w:t>
      </w:r>
      <w:r w:rsidRPr="00FE4555">
        <w:rPr>
          <w:rFonts w:ascii="Gill Sans MT" w:hAnsi="Gill Sans MT"/>
          <w:color w:val="auto"/>
          <w:lang w:val="fr-BE"/>
        </w:rPr>
        <w:t>net par an</w:t>
      </w:r>
    </w:p>
    <w:p w14:paraId="0BC839F8" w14:textId="3C6760D3" w:rsidR="00DB3984" w:rsidRPr="00FE4555" w:rsidRDefault="00DB3984" w:rsidP="00DB3984">
      <w:pPr>
        <w:pStyle w:val="Default"/>
        <w:numPr>
          <w:ilvl w:val="0"/>
          <w:numId w:val="8"/>
        </w:numPr>
        <w:spacing w:line="276" w:lineRule="auto"/>
        <w:jc w:val="both"/>
        <w:rPr>
          <w:rFonts w:ascii="Gill Sans MT" w:hAnsi="Gill Sans MT"/>
          <w:color w:val="auto"/>
          <w:lang w:val="fr-BE"/>
        </w:rPr>
      </w:pPr>
      <w:r w:rsidRPr="00FE4555">
        <w:rPr>
          <w:rFonts w:ascii="Gill Sans MT" w:hAnsi="Gill Sans MT"/>
          <w:color w:val="auto"/>
          <w:lang w:val="fr-BE"/>
        </w:rPr>
        <w:t>2 adultes et 2 enfants</w:t>
      </w:r>
      <w:r w:rsidR="00685602">
        <w:rPr>
          <w:rFonts w:ascii="Gill Sans MT" w:hAnsi="Gill Sans MT"/>
          <w:color w:val="auto"/>
          <w:lang w:val="fr-BE"/>
        </w:rPr>
        <w:t xml:space="preserve"> </w:t>
      </w:r>
      <w:r w:rsidRPr="00FE4555">
        <w:rPr>
          <w:rFonts w:ascii="Gill Sans MT" w:hAnsi="Gill Sans MT"/>
          <w:color w:val="auto"/>
          <w:lang w:val="fr-BE"/>
        </w:rPr>
        <w:t>: 28.708€/ net par an</w:t>
      </w:r>
    </w:p>
    <w:p w14:paraId="1B64998A" w14:textId="1BEF74A5" w:rsidR="00DB3984" w:rsidRPr="00FE4555" w:rsidRDefault="00DB3984" w:rsidP="00DB3984">
      <w:pPr>
        <w:pStyle w:val="Default"/>
        <w:numPr>
          <w:ilvl w:val="0"/>
          <w:numId w:val="8"/>
        </w:numPr>
        <w:spacing w:line="276" w:lineRule="auto"/>
        <w:jc w:val="both"/>
        <w:rPr>
          <w:rFonts w:ascii="Gill Sans MT" w:hAnsi="Gill Sans MT"/>
          <w:color w:val="auto"/>
          <w:lang w:val="fr-BE"/>
        </w:rPr>
      </w:pPr>
      <w:r w:rsidRPr="00FE4555">
        <w:rPr>
          <w:rFonts w:ascii="Gill Sans MT" w:hAnsi="Gill Sans MT"/>
          <w:color w:val="auto"/>
          <w:lang w:val="fr-BE"/>
        </w:rPr>
        <w:t xml:space="preserve">Pour d’autres </w:t>
      </w:r>
      <w:r w:rsidR="00685602">
        <w:rPr>
          <w:rFonts w:ascii="Gill Sans MT" w:hAnsi="Gill Sans MT"/>
          <w:color w:val="auto"/>
          <w:lang w:val="fr-BE"/>
        </w:rPr>
        <w:t>compositions</w:t>
      </w:r>
      <w:r w:rsidR="00685602" w:rsidRPr="00FE4555">
        <w:rPr>
          <w:rFonts w:ascii="Gill Sans MT" w:hAnsi="Gill Sans MT"/>
          <w:color w:val="auto"/>
          <w:lang w:val="fr-BE"/>
        </w:rPr>
        <w:t xml:space="preserve"> </w:t>
      </w:r>
      <w:r w:rsidRPr="00FE4555">
        <w:rPr>
          <w:rFonts w:ascii="Gill Sans MT" w:hAnsi="Gill Sans MT"/>
          <w:color w:val="auto"/>
          <w:lang w:val="fr-BE"/>
        </w:rPr>
        <w:t>de familles</w:t>
      </w:r>
      <w:r w:rsidR="00685602">
        <w:rPr>
          <w:rFonts w:ascii="Gill Sans MT" w:hAnsi="Gill Sans MT"/>
          <w:color w:val="auto"/>
          <w:lang w:val="fr-BE"/>
        </w:rPr>
        <w:t xml:space="preserve"> </w:t>
      </w:r>
      <w:r w:rsidRPr="00FE4555">
        <w:rPr>
          <w:rFonts w:ascii="Gill Sans MT" w:hAnsi="Gill Sans MT"/>
          <w:color w:val="auto"/>
          <w:lang w:val="fr-BE"/>
        </w:rPr>
        <w:t>: On assigne une pondération de 1 au premier adulte du ménage, de 0,5 à chaque membre âgé de plus de 14 ans et de 0,3 aux enfants de moins de 14 ans.</w:t>
      </w:r>
    </w:p>
    <w:p w14:paraId="2FCCB4EC" w14:textId="77777777" w:rsidR="000126C6" w:rsidRPr="00261126" w:rsidRDefault="000126C6" w:rsidP="002666E5">
      <w:pPr>
        <w:autoSpaceDE w:val="0"/>
        <w:autoSpaceDN w:val="0"/>
        <w:adjustRightInd w:val="0"/>
        <w:spacing w:after="0"/>
        <w:rPr>
          <w:lang w:val="fr-BE"/>
        </w:rPr>
      </w:pPr>
    </w:p>
    <w:p w14:paraId="0045671C" w14:textId="5F5D6CB7" w:rsidR="00E95116" w:rsidRPr="00261126" w:rsidRDefault="00A93585" w:rsidP="002666E5">
      <w:pPr>
        <w:autoSpaceDE w:val="0"/>
        <w:autoSpaceDN w:val="0"/>
        <w:adjustRightInd w:val="0"/>
        <w:spacing w:after="0"/>
      </w:pPr>
      <w:r w:rsidRPr="00261126">
        <w:t>Nous rappelons</w:t>
      </w:r>
      <w:r w:rsidR="000126C6" w:rsidRPr="00261126">
        <w:t>, comme chaque année,</w:t>
      </w:r>
      <w:r w:rsidRPr="00261126">
        <w:t xml:space="preserve"> qu’il</w:t>
      </w:r>
      <w:r w:rsidR="00276C65" w:rsidRPr="00261126">
        <w:t xml:space="preserve"> existe une exception à ce </w:t>
      </w:r>
      <w:r w:rsidRPr="00261126">
        <w:t>critère</w:t>
      </w:r>
      <w:r w:rsidR="00685602">
        <w:t xml:space="preserve"> d’octroi de l’aide </w:t>
      </w:r>
      <w:r w:rsidR="004569A1" w:rsidRPr="00261126">
        <w:t>:</w:t>
      </w:r>
      <w:r w:rsidR="003C5103" w:rsidRPr="00261126">
        <w:t xml:space="preserve"> les personnes prises en charge par une initiative locale d’accueil (ILA). En effet, dans le cadre d’une ILA, </w:t>
      </w:r>
      <w:r w:rsidR="004569A1" w:rsidRPr="00261126">
        <w:t>le</w:t>
      </w:r>
      <w:r w:rsidR="003C5103" w:rsidRPr="00261126">
        <w:t xml:space="preserve"> CPAS</w:t>
      </w:r>
      <w:r w:rsidR="004569A1" w:rsidRPr="00261126">
        <w:t xml:space="preserve"> a pour responsabilité</w:t>
      </w:r>
      <w:r w:rsidR="003C5103" w:rsidRPr="00261126">
        <w:t xml:space="preserve"> de pourvoir aux besoins matériels (y compris alimentaires)</w:t>
      </w:r>
      <w:r w:rsidR="004569A1" w:rsidRPr="00261126">
        <w:t xml:space="preserve"> des personnes concernées</w:t>
      </w:r>
      <w:r w:rsidR="003C5103" w:rsidRPr="00261126">
        <w:t xml:space="preserve">. </w:t>
      </w:r>
      <w:r w:rsidR="00276C65" w:rsidRPr="00261126">
        <w:t>Le</w:t>
      </w:r>
      <w:r w:rsidRPr="00261126">
        <w:t>s</w:t>
      </w:r>
      <w:r w:rsidR="00276C65" w:rsidRPr="00261126">
        <w:t xml:space="preserve"> CPAS reçoi</w:t>
      </w:r>
      <w:r w:rsidRPr="00261126">
        <w:t>ven</w:t>
      </w:r>
      <w:r w:rsidR="00276C65" w:rsidRPr="00261126">
        <w:t xml:space="preserve">t des moyens financiers </w:t>
      </w:r>
      <w:r w:rsidR="00E43659" w:rsidRPr="00261126">
        <w:t>pour venir en aide aux personnes bénéficiant d’une ILA. A</w:t>
      </w:r>
      <w:r w:rsidR="00276C65" w:rsidRPr="00261126">
        <w:t xml:space="preserve">fin d’éviter </w:t>
      </w:r>
      <w:r w:rsidR="00E43659" w:rsidRPr="00261126">
        <w:t>un risque de</w:t>
      </w:r>
      <w:r w:rsidR="00276C65" w:rsidRPr="00261126">
        <w:t xml:space="preserve"> double financement, les personnes en ILA ne peuvent </w:t>
      </w:r>
      <w:r w:rsidR="004569A1" w:rsidRPr="00261126">
        <w:t xml:space="preserve">donc </w:t>
      </w:r>
      <w:r w:rsidR="00276C65" w:rsidRPr="00261126">
        <w:t xml:space="preserve">pas recevoir de produits FEAD. </w:t>
      </w:r>
    </w:p>
    <w:p w14:paraId="0191585F" w14:textId="77777777" w:rsidR="000D120C" w:rsidRPr="00261126" w:rsidRDefault="000D120C" w:rsidP="002666E5">
      <w:pPr>
        <w:autoSpaceDE w:val="0"/>
        <w:autoSpaceDN w:val="0"/>
        <w:adjustRightInd w:val="0"/>
        <w:spacing w:after="0"/>
      </w:pPr>
    </w:p>
    <w:p w14:paraId="3FF7D4A8" w14:textId="593636DC" w:rsidR="000D120C" w:rsidRDefault="00C95C84" w:rsidP="002666E5">
      <w:pPr>
        <w:autoSpaceDE w:val="0"/>
        <w:autoSpaceDN w:val="0"/>
        <w:adjustRightInd w:val="0"/>
        <w:spacing w:after="0"/>
      </w:pPr>
      <w:r w:rsidRPr="00261126">
        <w:t>Pour rappel, s</w:t>
      </w:r>
      <w:r w:rsidR="000D120C" w:rsidRPr="00261126">
        <w:t xml:space="preserve">ur </w:t>
      </w:r>
      <w:r w:rsidR="00685602">
        <w:t>base de ce critère d’octroi de l’aide alimentaire</w:t>
      </w:r>
      <w:r w:rsidR="000D120C" w:rsidRPr="00261126">
        <w:t xml:space="preserve">, chaque CPAS et organisation partenaire agréée </w:t>
      </w:r>
      <w:r w:rsidR="008130F4" w:rsidRPr="00261126">
        <w:t>est</w:t>
      </w:r>
      <w:r w:rsidR="000D120C" w:rsidRPr="00261126">
        <w:t xml:space="preserve"> tenu(e) de mettre sur pied un mécanisme permettant de vérifier que les bénéficiaires satisfont effectivement aux conditions. Ce mécanisme </w:t>
      </w:r>
      <w:r w:rsidR="008130F4" w:rsidRPr="00261126">
        <w:t>est</w:t>
      </w:r>
      <w:r w:rsidR="000D120C" w:rsidRPr="00261126">
        <w:t xml:space="preserve"> </w:t>
      </w:r>
      <w:r w:rsidR="009A34EC" w:rsidRPr="00261126">
        <w:t xml:space="preserve">systématiquement </w:t>
      </w:r>
      <w:r w:rsidR="000D120C" w:rsidRPr="00261126">
        <w:t xml:space="preserve">vérifié lors </w:t>
      </w:r>
      <w:r w:rsidR="00010DF4" w:rsidRPr="00261126">
        <w:t>des</w:t>
      </w:r>
      <w:r w:rsidR="000D120C" w:rsidRPr="00261126">
        <w:t xml:space="preserve"> contrôles</w:t>
      </w:r>
      <w:r w:rsidRPr="00261126">
        <w:t xml:space="preserve"> que l’AG effectue sur place</w:t>
      </w:r>
      <w:r w:rsidR="000D120C" w:rsidRPr="00261126">
        <w:t>.</w:t>
      </w:r>
    </w:p>
    <w:p w14:paraId="62A6388B" w14:textId="77777777" w:rsidR="00E20FAC" w:rsidRDefault="00E20FAC" w:rsidP="002666E5">
      <w:pPr>
        <w:autoSpaceDE w:val="0"/>
        <w:autoSpaceDN w:val="0"/>
        <w:adjustRightInd w:val="0"/>
        <w:spacing w:after="0"/>
      </w:pPr>
    </w:p>
    <w:p w14:paraId="7BB32C6A" w14:textId="77777777" w:rsidR="00F07D9C" w:rsidRPr="00E20FAC" w:rsidRDefault="00F07D9C" w:rsidP="002666E5">
      <w:pPr>
        <w:autoSpaceDE w:val="0"/>
        <w:autoSpaceDN w:val="0"/>
        <w:adjustRightInd w:val="0"/>
        <w:spacing w:after="0"/>
      </w:pPr>
      <w:r w:rsidRPr="00E20FAC">
        <w:t xml:space="preserve">Le partenariat entre le CPAS et l'organisation partenaire agréée </w:t>
      </w:r>
      <w:r w:rsidR="008130F4" w:rsidRPr="00E20FAC">
        <w:t>continue de jouer</w:t>
      </w:r>
      <w:r w:rsidRPr="00E20FAC">
        <w:t xml:space="preserve"> un rôle essentiel à cet égard. Chaque organisation partenaire agréée </w:t>
      </w:r>
      <w:r w:rsidR="000D0373" w:rsidRPr="00E20FAC">
        <w:t>est</w:t>
      </w:r>
      <w:r w:rsidRPr="00E20FAC">
        <w:t xml:space="preserve"> </w:t>
      </w:r>
      <w:r w:rsidR="00407488" w:rsidRPr="00E20FAC">
        <w:t>tenue</w:t>
      </w:r>
      <w:r w:rsidRPr="00E20FAC">
        <w:t xml:space="preserve"> de souscrire une convention de partenariat avec le CPAS de la commune ou des communes dans laquelle/lesquelles elle opère.</w:t>
      </w:r>
    </w:p>
    <w:p w14:paraId="23BBDC8A" w14:textId="77777777" w:rsidR="008130F4" w:rsidRPr="00E20FAC" w:rsidRDefault="008130F4" w:rsidP="002666E5">
      <w:pPr>
        <w:autoSpaceDE w:val="0"/>
        <w:autoSpaceDN w:val="0"/>
        <w:adjustRightInd w:val="0"/>
        <w:spacing w:after="0"/>
      </w:pPr>
    </w:p>
    <w:p w14:paraId="790861B0" w14:textId="0E0F7A8C" w:rsidR="00381100" w:rsidRPr="00E20FAC" w:rsidRDefault="00F07D9C" w:rsidP="002666E5">
      <w:pPr>
        <w:autoSpaceDE w:val="0"/>
        <w:autoSpaceDN w:val="0"/>
        <w:adjustRightInd w:val="0"/>
        <w:spacing w:after="0"/>
      </w:pPr>
      <w:r w:rsidRPr="00E20FAC">
        <w:t xml:space="preserve">Le mécanisme d'identification des plus démunis doit être défini dans cet accord de partenariat. </w:t>
      </w:r>
      <w:r w:rsidR="00C95C84" w:rsidRPr="00E20FAC">
        <w:t>Les</w:t>
      </w:r>
      <w:r w:rsidR="002A3D1E" w:rsidRPr="00E20FAC">
        <w:t xml:space="preserve"> trois types de mécanismes</w:t>
      </w:r>
      <w:r w:rsidR="00C95C84" w:rsidRPr="00E20FAC">
        <w:t xml:space="preserve"> sont les mêmes que ceux décrits dans nos précédents rapports (convention de type I – attestation individuelle, II – liste de bénéficiaire ou III – capacité à vérifier si la personne satisfait aux critères)</w:t>
      </w:r>
    </w:p>
    <w:p w14:paraId="35C3B9BB" w14:textId="77777777" w:rsidR="004A6747" w:rsidRPr="00E20FAC" w:rsidRDefault="004A6747" w:rsidP="002666E5">
      <w:pPr>
        <w:spacing w:after="0"/>
      </w:pPr>
    </w:p>
    <w:p w14:paraId="45BB147C" w14:textId="6C074170" w:rsidR="00135F56" w:rsidRDefault="004A6747" w:rsidP="002666E5">
      <w:pPr>
        <w:spacing w:after="0"/>
      </w:pPr>
      <w:r w:rsidRPr="00E20FAC">
        <w:t>Des informations complémentaires sur les conditions d'agrément des CPAS et des organisations par</w:t>
      </w:r>
      <w:r w:rsidR="002A3D1E" w:rsidRPr="00E20FAC">
        <w:t>tenaires figurent au point 2.1.5</w:t>
      </w:r>
      <w:r w:rsidRPr="00E20FAC">
        <w:t>. Sélection des organisations partenaires.</w:t>
      </w:r>
      <w:r w:rsidRPr="00C95C84">
        <w:t xml:space="preserve"> </w:t>
      </w:r>
    </w:p>
    <w:p w14:paraId="6D665734" w14:textId="77777777" w:rsidR="00685602" w:rsidRPr="00C95C84" w:rsidRDefault="00685602" w:rsidP="002666E5">
      <w:pPr>
        <w:spacing w:after="0"/>
      </w:pPr>
    </w:p>
    <w:p w14:paraId="350DA64D" w14:textId="77777777" w:rsidR="00135F56" w:rsidRDefault="00135F56" w:rsidP="002666E5">
      <w:pPr>
        <w:pStyle w:val="Kop4"/>
        <w:numPr>
          <w:ilvl w:val="3"/>
          <w:numId w:val="1"/>
        </w:numPr>
        <w:spacing w:after="240" w:line="276" w:lineRule="auto"/>
      </w:pPr>
      <w:r w:rsidRPr="00407488">
        <w:t>Mesures d'accompagnement</w:t>
      </w:r>
    </w:p>
    <w:p w14:paraId="3D9E33EA" w14:textId="378E2715" w:rsidR="00264BCA" w:rsidRDefault="00264BCA" w:rsidP="00E51527">
      <w:pPr>
        <w:autoSpaceDE w:val="0"/>
        <w:autoSpaceDN w:val="0"/>
        <w:adjustRightInd w:val="0"/>
        <w:spacing w:after="0"/>
      </w:pPr>
      <w:r w:rsidRPr="00264BCA">
        <w:t xml:space="preserve">L’assistance donnée dans le cadre du FEAD </w:t>
      </w:r>
      <w:r>
        <w:t>doit obligatoirement s’accompagner de mesures d’accompagnement</w:t>
      </w:r>
      <w:r w:rsidR="00534252">
        <w:t xml:space="preserve"> / d’</w:t>
      </w:r>
      <w:r>
        <w:t>intégration sociale – notamment des services de conseil et d’assistance visant à aider les personnes à sortir de la pauvreté. L’idée sous-jacente étant que le Fonds puisse aider les plus démunis dans leurs premiers pas pour sortir de la pauvreté et de l’exclusion sociale.</w:t>
      </w:r>
    </w:p>
    <w:p w14:paraId="2610FEA4" w14:textId="77777777" w:rsidR="00264BCA" w:rsidRDefault="00264BCA" w:rsidP="00E51527">
      <w:pPr>
        <w:autoSpaceDE w:val="0"/>
        <w:autoSpaceDN w:val="0"/>
        <w:adjustRightInd w:val="0"/>
        <w:spacing w:after="0"/>
      </w:pPr>
    </w:p>
    <w:p w14:paraId="7505AC25" w14:textId="6A260B21" w:rsidR="00264BCA" w:rsidRDefault="00264BCA" w:rsidP="00E51527">
      <w:pPr>
        <w:autoSpaceDE w:val="0"/>
        <w:autoSpaceDN w:val="0"/>
        <w:adjustRightInd w:val="0"/>
        <w:spacing w:after="0"/>
      </w:pPr>
      <w:r>
        <w:t>L’AG est très attentive à ces mesures d’accompagnement.</w:t>
      </w:r>
      <w:r w:rsidR="00EA44BA">
        <w:t xml:space="preserve"> Elles sont contrôlées sur place systématiquement à chaque contrôle. Les mesures d’accompagnement peuvent varier en </w:t>
      </w:r>
      <w:r w:rsidR="00EA44BA">
        <w:lastRenderedPageBreak/>
        <w:t>fonction des formes de distribution, des lieux de distribution, etc. Elles se déclinent en plusieurs formes allant de la simple redirection vers les services sociaux compétents (minimum requis) à des formes plus complexes d’accompagnement telles que stratégies anti gaspillage, médiation de dettes, mesures éducatives visant à promouvoir une alimentation saine, etc.</w:t>
      </w:r>
    </w:p>
    <w:p w14:paraId="5085E2CE" w14:textId="77777777" w:rsidR="00EA44BA" w:rsidRPr="00B51FE0" w:rsidRDefault="00EA44BA" w:rsidP="00E51527">
      <w:pPr>
        <w:autoSpaceDE w:val="0"/>
        <w:autoSpaceDN w:val="0"/>
        <w:adjustRightInd w:val="0"/>
        <w:spacing w:after="0"/>
      </w:pPr>
    </w:p>
    <w:p w14:paraId="3B5ACF4E" w14:textId="3A329798" w:rsidR="00EA44BA" w:rsidRPr="00B51FE0" w:rsidRDefault="00EA44BA" w:rsidP="00E51527">
      <w:pPr>
        <w:autoSpaceDE w:val="0"/>
        <w:autoSpaceDN w:val="0"/>
        <w:adjustRightInd w:val="0"/>
        <w:spacing w:after="0"/>
      </w:pPr>
      <w:r w:rsidRPr="00B51FE0">
        <w:t>L’enquête structurée de 2017 avait permis à l’AG de faire une bonne analyse des mesures d’accompagnement proposées en Belgique. Cette année</w:t>
      </w:r>
      <w:r w:rsidR="004E0C8D" w:rsidRPr="00B51FE0">
        <w:t xml:space="preserve"> (2019)</w:t>
      </w:r>
      <w:r w:rsidRPr="00B51FE0">
        <w:t>, l’AG a décidé de re</w:t>
      </w:r>
      <w:r w:rsidR="00921BE6" w:rsidRPr="00B51FE0">
        <w:t>-</w:t>
      </w:r>
      <w:r w:rsidRPr="00B51FE0">
        <w:t xml:space="preserve">sonder le terrain </w:t>
      </w:r>
      <w:r w:rsidR="00921BE6" w:rsidRPr="00B51FE0">
        <w:t xml:space="preserve">à propos des mesures d’accompagnement </w:t>
      </w:r>
      <w:r w:rsidRPr="00B51FE0">
        <w:t>en réalisant une enquête</w:t>
      </w:r>
      <w:r w:rsidR="00921BE6" w:rsidRPr="00B51FE0">
        <w:t xml:space="preserve"> spécifique</w:t>
      </w:r>
      <w:r w:rsidRPr="00B51FE0">
        <w:t>.</w:t>
      </w:r>
      <w:r w:rsidR="00272CE3" w:rsidRPr="00B51FE0">
        <w:t xml:space="preserve"> Cela nous </w:t>
      </w:r>
      <w:r w:rsidR="005F7863" w:rsidRPr="00B51FE0">
        <w:t>a permis</w:t>
      </w:r>
      <w:r w:rsidR="00272CE3" w:rsidRPr="00B51FE0">
        <w:t xml:space="preserve"> d’avoir une vue complète des mesures offertes par nos organisations sur le terrain</w:t>
      </w:r>
      <w:r w:rsidR="004F11D8" w:rsidRPr="00B51FE0">
        <w:t xml:space="preserve"> (</w:t>
      </w:r>
      <w:r w:rsidR="00921BE6" w:rsidRPr="00B51FE0">
        <w:t>organisations partenaires et CPAS</w:t>
      </w:r>
      <w:r w:rsidR="004F11D8" w:rsidRPr="00B51FE0">
        <w:t>)</w:t>
      </w:r>
      <w:r w:rsidR="00921BE6" w:rsidRPr="00B51FE0">
        <w:t>.</w:t>
      </w:r>
      <w:r w:rsidR="005F7863" w:rsidRPr="00B51FE0">
        <w:t xml:space="preserve"> Il ressort de l’analyse des réponses que </w:t>
      </w:r>
      <w:r w:rsidR="00E40485" w:rsidRPr="00B51FE0">
        <w:t xml:space="preserve">la plus grande majorité des organisations </w:t>
      </w:r>
      <w:r w:rsidR="00606F22" w:rsidRPr="00B51FE0">
        <w:t>(79,22%) offre une réorientation des bénéficiaires vers les services sociaux compétents (</w:t>
      </w:r>
      <w:r w:rsidR="0094282B" w:rsidRPr="00B51FE0">
        <w:t>c’est le minimum requis par le règlement</w:t>
      </w:r>
      <w:r w:rsidR="00606F22" w:rsidRPr="00B51FE0">
        <w:t xml:space="preserve">). Une grande part des organisations </w:t>
      </w:r>
      <w:r w:rsidR="00E40485" w:rsidRPr="00B51FE0">
        <w:t xml:space="preserve">offrent un accueil chaleureux, une écoute et un point de rencontre à leurs bénéficiaires (73,78 </w:t>
      </w:r>
      <w:r w:rsidR="00606F22" w:rsidRPr="00B51FE0">
        <w:t xml:space="preserve">% </w:t>
      </w:r>
      <w:r w:rsidR="00E40485" w:rsidRPr="00B51FE0">
        <w:t>de nos organisations et CPAS</w:t>
      </w:r>
      <w:r w:rsidR="004F11D8" w:rsidRPr="00B51FE0">
        <w:t xml:space="preserve"> sont concernés</w:t>
      </w:r>
      <w:r w:rsidR="00E40485" w:rsidRPr="00B51FE0">
        <w:t xml:space="preserve">). Plus </w:t>
      </w:r>
      <w:r w:rsidR="00606F22" w:rsidRPr="00B51FE0">
        <w:t>de 50 % de nos organisations offr</w:t>
      </w:r>
      <w:r w:rsidR="00E40485" w:rsidRPr="00B51FE0">
        <w:t>ent une aide administrative (66</w:t>
      </w:r>
      <w:r w:rsidR="004A31F3" w:rsidRPr="00B51FE0">
        <w:t>,</w:t>
      </w:r>
      <w:r w:rsidR="00E40485" w:rsidRPr="00B51FE0">
        <w:t>53%), un accompagnement individuel (64,85%) et une aide dans la gestion du budget (50,77%). Une partie non négligeable des organisations offrent un service de médiation de dette (45</w:t>
      </w:r>
      <w:r w:rsidR="004A31F3" w:rsidRPr="00B51FE0">
        <w:t>,</w:t>
      </w:r>
      <w:r w:rsidR="00E40485" w:rsidRPr="00B51FE0">
        <w:t>89%</w:t>
      </w:r>
      <w:r w:rsidR="004F11D8" w:rsidRPr="00B51FE0">
        <w:t>)</w:t>
      </w:r>
      <w:r w:rsidR="00E40485" w:rsidRPr="00B51FE0">
        <w:t xml:space="preserve"> et de préparation, stockage et non gaspillage des denrées alimentaires. Une plus petite </w:t>
      </w:r>
      <w:r w:rsidR="00606F22" w:rsidRPr="00B51FE0">
        <w:t>proportion</w:t>
      </w:r>
      <w:r w:rsidR="00E40485" w:rsidRPr="00B51FE0">
        <w:t xml:space="preserve"> offre des activités culinaires/activités éducatives destinées à promouvoir une alimentation saine (26,92%), un suivi psychologique (19,25%) ou d’autres mesures non mentionnées plus haut (12,83%). Dans cette dernière catégorie, l’on retrouve : mise à disposition d’un vestiaire social, service de coiffure, école de devoirs, </w:t>
      </w:r>
      <w:r w:rsidR="00316634" w:rsidRPr="00B51FE0">
        <w:t>magasin de seconde main, aide juridique, etc.</w:t>
      </w:r>
    </w:p>
    <w:p w14:paraId="452CCADD" w14:textId="41EE801B" w:rsidR="00606F22" w:rsidRPr="00B51FE0" w:rsidRDefault="00606F22" w:rsidP="00E51527">
      <w:pPr>
        <w:autoSpaceDE w:val="0"/>
        <w:autoSpaceDN w:val="0"/>
        <w:adjustRightInd w:val="0"/>
        <w:spacing w:after="0"/>
      </w:pPr>
      <w:r w:rsidRPr="00B51FE0">
        <w:t>Les catégories ne sont pas mutuellement exclusives. Les détails de l’enquête peuvent être trouvés dans l’</w:t>
      </w:r>
      <w:r w:rsidR="0094282B" w:rsidRPr="00B51FE0">
        <w:t>annexe 1.</w:t>
      </w:r>
    </w:p>
    <w:p w14:paraId="2D360A4C" w14:textId="77777777" w:rsidR="00264BCA" w:rsidRDefault="00264BCA" w:rsidP="00E51527">
      <w:pPr>
        <w:autoSpaceDE w:val="0"/>
        <w:autoSpaceDN w:val="0"/>
        <w:adjustRightInd w:val="0"/>
        <w:spacing w:after="0"/>
        <w:rPr>
          <w:highlight w:val="yellow"/>
        </w:rPr>
      </w:pPr>
    </w:p>
    <w:p w14:paraId="6F08D092" w14:textId="6E4311CC" w:rsidR="00E31F46" w:rsidRDefault="0042594B" w:rsidP="003A1E67">
      <w:pPr>
        <w:tabs>
          <w:tab w:val="left" w:pos="7594"/>
        </w:tabs>
      </w:pPr>
      <w:r>
        <w:t>Comme chaque année</w:t>
      </w:r>
      <w:r w:rsidR="00E31F46">
        <w:t>, nous souhaitons met</w:t>
      </w:r>
      <w:r w:rsidR="00261126">
        <w:t>tre quelques exemples en valeur</w:t>
      </w:r>
      <w:r w:rsidR="00D563FF">
        <w:t xml:space="preserve"> </w:t>
      </w:r>
      <w:r w:rsidR="00E31F46">
        <w:t>:</w:t>
      </w:r>
    </w:p>
    <w:p w14:paraId="39F7BA44" w14:textId="18760A05" w:rsidR="00EA44BA" w:rsidRPr="003A1E67" w:rsidRDefault="00EA44BA" w:rsidP="003A1E67">
      <w:pPr>
        <w:pStyle w:val="Lijstalinea"/>
        <w:numPr>
          <w:ilvl w:val="0"/>
          <w:numId w:val="8"/>
        </w:numPr>
        <w:autoSpaceDE w:val="0"/>
        <w:autoSpaceDN w:val="0"/>
        <w:adjustRightInd w:val="0"/>
        <w:spacing w:before="100" w:beforeAutospacing="1" w:after="100" w:afterAutospacing="1"/>
      </w:pPr>
      <w:r w:rsidRPr="003A1E67">
        <w:rPr>
          <w:b/>
        </w:rPr>
        <w:t>Promotion services ASBL</w:t>
      </w:r>
      <w:r w:rsidRPr="003A1E67">
        <w:t xml:space="preserve">: </w:t>
      </w:r>
      <w:r w:rsidR="00CE6C3D" w:rsidRPr="003A1E67">
        <w:t xml:space="preserve">Cette </w:t>
      </w:r>
      <w:proofErr w:type="spellStart"/>
      <w:r w:rsidR="00CE6C3D" w:rsidRPr="003A1E67">
        <w:t>asbl</w:t>
      </w:r>
      <w:proofErr w:type="spellEnd"/>
      <w:r w:rsidR="00CE6C3D" w:rsidRPr="003A1E67">
        <w:t xml:space="preserve"> créée dans les années 70, propose des</w:t>
      </w:r>
      <w:r w:rsidRPr="003A1E67">
        <w:t xml:space="preserve"> services permettent de répondre aux demandes d’accompagnement, d’écoute et de réinsertion de n</w:t>
      </w:r>
      <w:r w:rsidR="00CE6C3D" w:rsidRPr="003A1E67">
        <w:t>ombreuses personnes précarisées. Les activités se développent au sein de cette association</w:t>
      </w:r>
      <w:r w:rsidRPr="003A1E67">
        <w:t>: alphabétisation, maîtrise de la langue française, projets collectifs avec les enfants de l’école de devoirs, etc. Promotion Services privilégie la formation, l’éducation, l’écoute et l’aide, que ce soit de manière individuelle ou collective. Tout en répondant aux besoins physiques, moraux et sociaux des personnes, pour leur permettre de façonner de nouveaux projets familiaux, sociaux et professionnels.</w:t>
      </w:r>
      <w:r w:rsidR="00CE6C3D" w:rsidRPr="003A1E67">
        <w:t xml:space="preserve"> Le travail </w:t>
      </w:r>
      <w:r w:rsidRPr="003A1E67">
        <w:t xml:space="preserve">socioéducatif </w:t>
      </w:r>
      <w:r w:rsidR="00CE6C3D" w:rsidRPr="003A1E67">
        <w:t xml:space="preserve">de </w:t>
      </w:r>
      <w:proofErr w:type="spellStart"/>
      <w:r w:rsidR="00CE6C3D" w:rsidRPr="003A1E67">
        <w:t>l’asbl</w:t>
      </w:r>
      <w:proofErr w:type="spellEnd"/>
      <w:r w:rsidR="00CE6C3D" w:rsidRPr="003A1E67">
        <w:t xml:space="preserve"> est</w:t>
      </w:r>
      <w:r w:rsidRPr="003A1E67">
        <w:t xml:space="preserve"> centré sur des personnes ayant des fragilités diverses (financières, éducatives, mentales, relationnelles…).</w:t>
      </w:r>
      <w:r w:rsidRPr="003A1E67">
        <w:rPr>
          <w:rFonts w:ascii="Times New Roman" w:eastAsia="Times New Roman" w:hAnsi="Times New Roman" w:cs="Times New Roman"/>
          <w:szCs w:val="24"/>
          <w:highlight w:val="green"/>
          <w:lang w:eastAsia="nl-BE" w:bidi="ar-SA"/>
        </w:rPr>
        <w:t xml:space="preserve"> </w:t>
      </w:r>
    </w:p>
    <w:p w14:paraId="5B3A81D1" w14:textId="77777777" w:rsidR="00CE6C3D" w:rsidRPr="003A1E67" w:rsidRDefault="00CE6C3D" w:rsidP="003A1E67">
      <w:pPr>
        <w:pStyle w:val="Lijstalinea"/>
        <w:autoSpaceDE w:val="0"/>
        <w:autoSpaceDN w:val="0"/>
        <w:adjustRightInd w:val="0"/>
        <w:spacing w:before="100" w:beforeAutospacing="1" w:after="100" w:afterAutospacing="1"/>
      </w:pPr>
    </w:p>
    <w:p w14:paraId="0EB0B092" w14:textId="69A8BE86" w:rsidR="00611E67" w:rsidRPr="003A1E67" w:rsidRDefault="00611E67" w:rsidP="003A1E67">
      <w:pPr>
        <w:pStyle w:val="Lijstalinea"/>
        <w:numPr>
          <w:ilvl w:val="0"/>
          <w:numId w:val="8"/>
        </w:numPr>
        <w:autoSpaceDE w:val="0"/>
        <w:autoSpaceDN w:val="0"/>
        <w:adjustRightInd w:val="0"/>
        <w:spacing w:before="100" w:beforeAutospacing="1" w:after="100" w:afterAutospacing="1"/>
      </w:pPr>
      <w:r w:rsidRPr="003A1E67">
        <w:rPr>
          <w:b/>
        </w:rPr>
        <w:t xml:space="preserve">Organisation </w:t>
      </w:r>
      <w:r w:rsidRPr="003A1E67">
        <w:rPr>
          <w:b/>
          <w:bCs/>
        </w:rPr>
        <w:t xml:space="preserve">De </w:t>
      </w:r>
      <w:proofErr w:type="spellStart"/>
      <w:r w:rsidRPr="003A1E67">
        <w:rPr>
          <w:b/>
          <w:bCs/>
        </w:rPr>
        <w:t>Klapstoel</w:t>
      </w:r>
      <w:proofErr w:type="spellEnd"/>
      <w:r w:rsidRPr="003A1E67">
        <w:rPr>
          <w:b/>
          <w:bCs/>
        </w:rPr>
        <w:t xml:space="preserve"> (q</w:t>
      </w:r>
      <w:r w:rsidR="003A1E67">
        <w:rPr>
          <w:b/>
          <w:bCs/>
        </w:rPr>
        <w:t xml:space="preserve">ui dépend du CPAS de </w:t>
      </w:r>
      <w:proofErr w:type="spellStart"/>
      <w:r w:rsidR="003A1E67">
        <w:rPr>
          <w:b/>
          <w:bCs/>
        </w:rPr>
        <w:t>Diksmuide</w:t>
      </w:r>
      <w:proofErr w:type="spellEnd"/>
      <w:r w:rsidR="003A1E67">
        <w:rPr>
          <w:b/>
          <w:bCs/>
        </w:rPr>
        <w:t>)</w:t>
      </w:r>
      <w:r w:rsidRPr="003A1E67">
        <w:rPr>
          <w:b/>
          <w:bCs/>
        </w:rPr>
        <w:t xml:space="preserve">: </w:t>
      </w:r>
      <w:r w:rsidRPr="003A1E67">
        <w:t xml:space="preserve">Le </w:t>
      </w:r>
      <w:proofErr w:type="spellStart"/>
      <w:r w:rsidRPr="003A1E67">
        <w:t>Klapstoel</w:t>
      </w:r>
      <w:proofErr w:type="spellEnd"/>
      <w:r w:rsidRPr="003A1E67">
        <w:t xml:space="preserve"> prévoit plusieurs activités pour les démunis comme des formations, des cours, accès </w:t>
      </w:r>
      <w:r w:rsidR="003A3963" w:rsidRPr="003A1E67">
        <w:t>à</w:t>
      </w:r>
      <w:r w:rsidRPr="003A1E67">
        <w:t xml:space="preserve"> la distribution de vêtements, accès à une banque d</w:t>
      </w:r>
      <w:r w:rsidR="003A3963" w:rsidRPr="003A1E67">
        <w:t xml:space="preserve">e langes, rencontres sociales, etc. </w:t>
      </w:r>
      <w:r w:rsidRPr="003A1E67">
        <w:t xml:space="preserve">Lors du premier contact le bénéficiaire est soumis </w:t>
      </w:r>
      <w:r w:rsidR="003A3963" w:rsidRPr="003A1E67">
        <w:t>à</w:t>
      </w:r>
      <w:r w:rsidRPr="003A1E67">
        <w:t xml:space="preserve"> un screening </w:t>
      </w:r>
      <w:r w:rsidR="003A3963" w:rsidRPr="003A1E67">
        <w:t xml:space="preserve">complet </w:t>
      </w:r>
      <w:r w:rsidRPr="003A1E67">
        <w:t>concernant son état</w:t>
      </w:r>
      <w:r w:rsidR="003A3963" w:rsidRPr="003A1E67">
        <w:t>: consommation d’</w:t>
      </w:r>
      <w:r w:rsidRPr="003A1E67">
        <w:t xml:space="preserve">énergie, factures impayées, mutualité, droits auxquels il ne </w:t>
      </w:r>
      <w:r w:rsidRPr="003A1E67">
        <w:lastRenderedPageBreak/>
        <w:t>fait pas encore appel, besoin d’assistance en matière d’éducation, aide psychologique, etc.</w:t>
      </w:r>
      <w:r w:rsidR="003A3963" w:rsidRPr="003A1E67">
        <w:t xml:space="preserve"> </w:t>
      </w:r>
      <w:r w:rsidRPr="003A1E67">
        <w:t xml:space="preserve">Si nécessaire, les </w:t>
      </w:r>
      <w:r w:rsidR="003A3963" w:rsidRPr="003A1E67">
        <w:t>bénéficiaires</w:t>
      </w:r>
      <w:r w:rsidRPr="003A1E67">
        <w:t xml:space="preserve"> sont </w:t>
      </w:r>
      <w:r w:rsidR="003A3963" w:rsidRPr="003A1E67">
        <w:t>redirigés</w:t>
      </w:r>
      <w:r w:rsidRPr="003A1E67">
        <w:t xml:space="preserve"> et accompagnés vers d’autres autorités compétentes. </w:t>
      </w:r>
    </w:p>
    <w:p w14:paraId="69ED1943" w14:textId="5AAA5EC5" w:rsidR="00611E67" w:rsidRPr="003A1E67" w:rsidRDefault="00611E67" w:rsidP="003A1E67">
      <w:pPr>
        <w:pStyle w:val="Lijstalinea"/>
        <w:autoSpaceDE w:val="0"/>
        <w:autoSpaceDN w:val="0"/>
        <w:adjustRightInd w:val="0"/>
        <w:spacing w:before="100" w:beforeAutospacing="1" w:after="100" w:afterAutospacing="1"/>
      </w:pPr>
    </w:p>
    <w:p w14:paraId="4BEAB271" w14:textId="0F53F059" w:rsidR="003A3963" w:rsidRPr="003A1E67" w:rsidRDefault="003A3963" w:rsidP="003A1E67">
      <w:pPr>
        <w:pStyle w:val="Lijstalinea"/>
        <w:numPr>
          <w:ilvl w:val="0"/>
          <w:numId w:val="8"/>
        </w:numPr>
        <w:spacing w:after="0"/>
        <w:contextualSpacing w:val="0"/>
        <w:rPr>
          <w:rFonts w:ascii="Calibri" w:hAnsi="Calibri"/>
          <w:sz w:val="22"/>
        </w:rPr>
      </w:pPr>
      <w:r w:rsidRPr="003A1E67">
        <w:rPr>
          <w:b/>
        </w:rPr>
        <w:t xml:space="preserve">De </w:t>
      </w:r>
      <w:proofErr w:type="spellStart"/>
      <w:r w:rsidRPr="003A1E67">
        <w:rPr>
          <w:b/>
        </w:rPr>
        <w:t>Toevlucht</w:t>
      </w:r>
      <w:proofErr w:type="spellEnd"/>
      <w:r w:rsidRPr="003A1E67">
        <w:rPr>
          <w:b/>
        </w:rPr>
        <w:t xml:space="preserve"> te Aalter</w:t>
      </w:r>
      <w:r w:rsidRPr="003A1E67">
        <w:t xml:space="preserve">: </w:t>
      </w:r>
      <w:r w:rsidR="00ED0290" w:rsidRPr="003A1E67">
        <w:t xml:space="preserve">cette organisation met en place des projets tels que le projet </w:t>
      </w:r>
      <w:r w:rsidRPr="003A1E67">
        <w:t>‘</w:t>
      </w:r>
      <w:proofErr w:type="spellStart"/>
      <w:r w:rsidRPr="003A1E67">
        <w:t>Samen</w:t>
      </w:r>
      <w:proofErr w:type="spellEnd"/>
      <w:r w:rsidRPr="003A1E67">
        <w:t xml:space="preserve"> </w:t>
      </w:r>
      <w:proofErr w:type="spellStart"/>
      <w:r w:rsidRPr="003A1E67">
        <w:t>tuinen</w:t>
      </w:r>
      <w:proofErr w:type="spellEnd"/>
      <w:r w:rsidRPr="003A1E67">
        <w:t>’ – jardiner ensemble</w:t>
      </w:r>
      <w:r w:rsidR="00ED0290" w:rsidRPr="003A1E67">
        <w:t> : l</w:t>
      </w:r>
      <w:r w:rsidRPr="003A1E67">
        <w:t>’organisation</w:t>
      </w:r>
      <w:r w:rsidR="00ED0290" w:rsidRPr="003A1E67">
        <w:t xml:space="preserve"> met à disposition </w:t>
      </w:r>
      <w:r w:rsidRPr="003A1E67">
        <w:t>un petit terrain o</w:t>
      </w:r>
      <w:r w:rsidR="00ED0290" w:rsidRPr="003A1E67">
        <w:t>ù les bénéficiaires peuvent jardiner</w:t>
      </w:r>
      <w:r w:rsidRPr="003A1E67">
        <w:t xml:space="preserve">. Le sol est cultivé par les bénéficiaires pour pouvoir y planter et y faire pousser des légumes. </w:t>
      </w:r>
      <w:r w:rsidR="00ED0290" w:rsidRPr="003A1E67">
        <w:t xml:space="preserve">Cela </w:t>
      </w:r>
      <w:r w:rsidR="006F1A18" w:rsidRPr="003A1E67">
        <w:t>créé</w:t>
      </w:r>
      <w:r w:rsidR="00ED0290" w:rsidRPr="003A1E67">
        <w:t xml:space="preserve"> du lien social et les légumes sont ensuite utilisés par les bénéficiaires. </w:t>
      </w:r>
      <w:r w:rsidRPr="003A1E67">
        <w:t>L’organisation a aussi un projet pour aider des bénéficiaires à arrêter de fumer. Chaque année, les bénéficiaires peuvent s’inscrire pour l</w:t>
      </w:r>
      <w:r w:rsidR="00ED0290" w:rsidRPr="003A1E67">
        <w:t>e</w:t>
      </w:r>
      <w:r w:rsidRPr="003A1E67">
        <w:t xml:space="preserve"> programme et ils reçoivent un accompagnement individuel pour arrêter de fumer.</w:t>
      </w:r>
    </w:p>
    <w:p w14:paraId="33F88FFC" w14:textId="77777777" w:rsidR="002D5FCD" w:rsidRPr="00B51FE0" w:rsidRDefault="002D5FCD" w:rsidP="003A1E67">
      <w:pPr>
        <w:spacing w:after="0" w:line="240" w:lineRule="auto"/>
        <w:rPr>
          <w:rFonts w:ascii="Calibri" w:hAnsi="Calibri"/>
          <w:sz w:val="22"/>
        </w:rPr>
      </w:pPr>
    </w:p>
    <w:p w14:paraId="2A8AFCD1" w14:textId="77777777" w:rsidR="000C7B32" w:rsidRPr="00B51FE0" w:rsidRDefault="000C7B32" w:rsidP="002666E5">
      <w:pPr>
        <w:pStyle w:val="Kop4"/>
        <w:numPr>
          <w:ilvl w:val="3"/>
          <w:numId w:val="1"/>
        </w:numPr>
        <w:spacing w:after="240" w:line="276" w:lineRule="auto"/>
      </w:pPr>
      <w:r w:rsidRPr="00B51FE0">
        <w:t>Connexion avec les indicateurs de résultat</w:t>
      </w:r>
    </w:p>
    <w:p w14:paraId="206D7766" w14:textId="327616F3" w:rsidR="0091184E" w:rsidRPr="00B51FE0" w:rsidRDefault="00A779F6" w:rsidP="002666E5">
      <w:pPr>
        <w:autoSpaceDE w:val="0"/>
        <w:autoSpaceDN w:val="0"/>
        <w:adjustRightInd w:val="0"/>
        <w:spacing w:after="0"/>
      </w:pPr>
      <w:r w:rsidRPr="00B51FE0">
        <w:t>À qui les produits FEAD ont-ils été distribués</w:t>
      </w:r>
      <w:r w:rsidR="00361E72" w:rsidRPr="00B51FE0">
        <w:t xml:space="preserve"> en 201</w:t>
      </w:r>
      <w:r w:rsidR="0042594B" w:rsidRPr="00B51FE0">
        <w:t>8</w:t>
      </w:r>
      <w:r w:rsidR="00D563FF" w:rsidRPr="00B51FE0">
        <w:t xml:space="preserve"> </w:t>
      </w:r>
      <w:r w:rsidRPr="00B51FE0">
        <w:t xml:space="preserve">? </w:t>
      </w:r>
    </w:p>
    <w:p w14:paraId="22FD1FFB" w14:textId="77777777" w:rsidR="00361E72" w:rsidRPr="00B51FE0" w:rsidRDefault="00361E72" w:rsidP="002666E5">
      <w:pPr>
        <w:autoSpaceDE w:val="0"/>
        <w:autoSpaceDN w:val="0"/>
        <w:adjustRightInd w:val="0"/>
        <w:spacing w:after="0"/>
      </w:pPr>
    </w:p>
    <w:p w14:paraId="3111BA04" w14:textId="0F1897C2" w:rsidR="00A779F6" w:rsidRPr="00B51FE0" w:rsidRDefault="00A779F6" w:rsidP="002666E5">
      <w:pPr>
        <w:autoSpaceDE w:val="0"/>
        <w:autoSpaceDN w:val="0"/>
        <w:adjustRightInd w:val="0"/>
        <w:spacing w:after="0"/>
      </w:pPr>
      <w:r w:rsidRPr="00B51FE0">
        <w:t>Pour pouvoir répondre à cette question et fournir les chiffres des i</w:t>
      </w:r>
      <w:r w:rsidR="00FF79E8" w:rsidRPr="00B51FE0">
        <w:t xml:space="preserve">ndicateurs de résultat demandés </w:t>
      </w:r>
      <w:r w:rsidRPr="00B51FE0">
        <w:t>les organisations ont été invitées à donner une estimation du nombre de personnes ayant bénéficié de l'aide en 201</w:t>
      </w:r>
      <w:r w:rsidR="0042594B" w:rsidRPr="00B51FE0">
        <w:t>8</w:t>
      </w:r>
      <w:r w:rsidRPr="00B51FE0">
        <w:t xml:space="preserve"> et à fournir des indications sur le profil des bénéficiaires. </w:t>
      </w:r>
    </w:p>
    <w:p w14:paraId="1D492AEF" w14:textId="77777777" w:rsidR="00FF79E8" w:rsidRPr="00B51FE0" w:rsidRDefault="00FF79E8" w:rsidP="002666E5">
      <w:pPr>
        <w:autoSpaceDE w:val="0"/>
        <w:autoSpaceDN w:val="0"/>
        <w:adjustRightInd w:val="0"/>
        <w:spacing w:after="0"/>
      </w:pPr>
    </w:p>
    <w:p w14:paraId="2E9B520F" w14:textId="38C005C8" w:rsidR="008C1BA6" w:rsidRPr="00B51FE0" w:rsidRDefault="00FF79E8" w:rsidP="002666E5">
      <w:pPr>
        <w:autoSpaceDE w:val="0"/>
        <w:autoSpaceDN w:val="0"/>
        <w:adjustRightInd w:val="0"/>
        <w:spacing w:after="0"/>
      </w:pPr>
      <w:r w:rsidRPr="00B51FE0">
        <w:t>Chaque année, ces chiffres sont demandés aux organisations en même temps que l’introduction de leur commande pour la campagne suivante. En effet, l’AG considère que le taux de réponse est le plus élevé en procédant comme cela</w:t>
      </w:r>
      <w:r w:rsidR="00947301" w:rsidRPr="00B51FE0">
        <w:t xml:space="preserve"> (voir rapports annuels précédents)</w:t>
      </w:r>
      <w:r w:rsidRPr="00B51FE0">
        <w:t>.</w:t>
      </w:r>
    </w:p>
    <w:p w14:paraId="39AA8C31" w14:textId="61234172" w:rsidR="008C1BA6" w:rsidRPr="00B51FE0" w:rsidRDefault="008C1BA6" w:rsidP="002666E5">
      <w:pPr>
        <w:autoSpaceDE w:val="0"/>
        <w:autoSpaceDN w:val="0"/>
        <w:adjustRightInd w:val="0"/>
        <w:spacing w:after="0"/>
      </w:pPr>
    </w:p>
    <w:p w14:paraId="3BEC311C" w14:textId="44DF9FCF" w:rsidR="00E351B9" w:rsidRPr="00B51FE0" w:rsidRDefault="008F341A" w:rsidP="007620CA">
      <w:pPr>
        <w:autoSpaceDE w:val="0"/>
        <w:autoSpaceDN w:val="0"/>
        <w:adjustRightInd w:val="0"/>
        <w:spacing w:after="0"/>
      </w:pPr>
      <w:r w:rsidRPr="00B51FE0">
        <w:t>Les années précédentes</w:t>
      </w:r>
      <w:r w:rsidR="005B0B5E" w:rsidRPr="00B51FE0">
        <w:t xml:space="preserve">, l’AG </w:t>
      </w:r>
      <w:r w:rsidRPr="00B51FE0">
        <w:t xml:space="preserve">avait </w:t>
      </w:r>
      <w:r w:rsidR="001A0A1B" w:rsidRPr="00B51FE0">
        <w:t>dû</w:t>
      </w:r>
      <w:r w:rsidR="008C1BA6" w:rsidRPr="00B51FE0">
        <w:t xml:space="preserve"> contact</w:t>
      </w:r>
      <w:r w:rsidR="005B0B5E" w:rsidRPr="00B51FE0">
        <w:t>er</w:t>
      </w:r>
      <w:r w:rsidR="008C1BA6" w:rsidRPr="00B51FE0">
        <w:t xml:space="preserve"> </w:t>
      </w:r>
      <w:r w:rsidR="00117985" w:rsidRPr="00B51FE0">
        <w:t>de nombreuses</w:t>
      </w:r>
      <w:r w:rsidR="008C1BA6" w:rsidRPr="00B51FE0">
        <w:t xml:space="preserve"> organisations individuellement </w:t>
      </w:r>
      <w:r w:rsidR="005B0B5E" w:rsidRPr="00B51FE0">
        <w:t>car elles avaient</w:t>
      </w:r>
      <w:r w:rsidR="008C1BA6" w:rsidRPr="00B51FE0">
        <w:t xml:space="preserve"> introduit des chiffres </w:t>
      </w:r>
      <w:r w:rsidR="005B0B5E" w:rsidRPr="00B51FE0">
        <w:t>qui paraissaient</w:t>
      </w:r>
      <w:r w:rsidR="008C1BA6" w:rsidRPr="00B51FE0">
        <w:t xml:space="preserve"> disproportionnés (comparaison </w:t>
      </w:r>
      <w:r w:rsidR="00117985" w:rsidRPr="00B51FE0">
        <w:t>entre le</w:t>
      </w:r>
      <w:r w:rsidR="008C1BA6" w:rsidRPr="00B51FE0">
        <w:t xml:space="preserve"> chiffre soumis par l’organisation et l’agrément </w:t>
      </w:r>
      <w:r w:rsidR="005B0B5E" w:rsidRPr="00B51FE0">
        <w:t xml:space="preserve">réel </w:t>
      </w:r>
      <w:r w:rsidR="008C1BA6" w:rsidRPr="00B51FE0">
        <w:t>de l’organisation)</w:t>
      </w:r>
      <w:r w:rsidR="005B0B5E" w:rsidRPr="00B51FE0">
        <w:t xml:space="preserve">. </w:t>
      </w:r>
      <w:r w:rsidR="007A5836" w:rsidRPr="00B51FE0">
        <w:t xml:space="preserve"> </w:t>
      </w:r>
      <w:r w:rsidR="005B0B5E" w:rsidRPr="00B51FE0">
        <w:t>L</w:t>
      </w:r>
      <w:r w:rsidR="007A5836" w:rsidRPr="00B51FE0">
        <w:t xml:space="preserve">’AG a </w:t>
      </w:r>
      <w:r w:rsidR="005B0B5E" w:rsidRPr="00B51FE0">
        <w:t xml:space="preserve">donc </w:t>
      </w:r>
      <w:r w:rsidR="007A5836" w:rsidRPr="00B51FE0">
        <w:t>décidé cette année d’adapter le formulaire électronique</w:t>
      </w:r>
      <w:r w:rsidR="005B0B5E" w:rsidRPr="00B51FE0">
        <w:t xml:space="preserve"> : </w:t>
      </w:r>
      <w:r w:rsidR="007A5836" w:rsidRPr="00B51FE0">
        <w:t xml:space="preserve">un nouveau champ permettant </w:t>
      </w:r>
      <w:r w:rsidR="005B0B5E" w:rsidRPr="00B51FE0">
        <w:t xml:space="preserve">à </w:t>
      </w:r>
      <w:r w:rsidR="007A5836" w:rsidRPr="00B51FE0">
        <w:t xml:space="preserve">l’organisation d’inclure </w:t>
      </w:r>
      <w:r w:rsidR="00117985" w:rsidRPr="00B51FE0">
        <w:t xml:space="preserve">elle-même </w:t>
      </w:r>
      <w:r w:rsidR="007A5836" w:rsidRPr="00B51FE0">
        <w:t>une explication concernant la différence entre le nombre de bénéficiaires réellement aidés et le nombre</w:t>
      </w:r>
      <w:r w:rsidR="005B0B5E" w:rsidRPr="00B51FE0">
        <w:t xml:space="preserve"> de</w:t>
      </w:r>
      <w:r w:rsidR="007A5836" w:rsidRPr="00B51FE0">
        <w:t xml:space="preserve"> personnes dans l’agrément de l’organisation</w:t>
      </w:r>
      <w:r w:rsidR="005B0B5E" w:rsidRPr="00B51FE0">
        <w:t xml:space="preserve"> a été ajouté</w:t>
      </w:r>
      <w:r w:rsidR="007A5836" w:rsidRPr="00B51FE0">
        <w:t xml:space="preserve">. </w:t>
      </w:r>
      <w:r w:rsidRPr="00B51FE0">
        <w:t xml:space="preserve"> </w:t>
      </w:r>
      <w:r w:rsidR="00523E38" w:rsidRPr="00B51FE0">
        <w:rPr>
          <w:rStyle w:val="hps"/>
          <w:rFonts w:cs="Arial"/>
        </w:rPr>
        <w:t xml:space="preserve">Comme l’année passée, </w:t>
      </w:r>
      <w:r w:rsidR="00F42F09" w:rsidRPr="00B51FE0">
        <w:rPr>
          <w:rStyle w:val="hps"/>
          <w:rFonts w:cs="Arial"/>
        </w:rPr>
        <w:t xml:space="preserve">nous </w:t>
      </w:r>
      <w:r w:rsidR="00EE5632" w:rsidRPr="00B51FE0">
        <w:rPr>
          <w:rStyle w:val="hps"/>
          <w:rFonts w:cs="Arial"/>
        </w:rPr>
        <w:t>avons</w:t>
      </w:r>
      <w:r w:rsidR="00F42F09" w:rsidRPr="00B51FE0">
        <w:rPr>
          <w:rStyle w:val="hps"/>
          <w:rFonts w:cs="Arial"/>
        </w:rPr>
        <w:t xml:space="preserve"> </w:t>
      </w:r>
      <w:r w:rsidR="0042594B" w:rsidRPr="00B51FE0">
        <w:rPr>
          <w:rStyle w:val="hps"/>
          <w:rFonts w:cs="Arial"/>
        </w:rPr>
        <w:t>laissé</w:t>
      </w:r>
      <w:r w:rsidR="00F42F09" w:rsidRPr="00B51FE0">
        <w:rPr>
          <w:rStyle w:val="hps"/>
          <w:rFonts w:cs="Arial"/>
        </w:rPr>
        <w:t xml:space="preserve"> </w:t>
      </w:r>
      <w:r w:rsidR="006C3E17" w:rsidRPr="00B51FE0">
        <w:rPr>
          <w:rStyle w:val="hps"/>
          <w:rFonts w:cs="Arial"/>
        </w:rPr>
        <w:t>la</w:t>
      </w:r>
      <w:r w:rsidR="007620CA" w:rsidRPr="00B51FE0">
        <w:rPr>
          <w:rStyle w:val="hps"/>
          <w:rFonts w:cs="Arial"/>
        </w:rPr>
        <w:t xml:space="preserve"> question</w:t>
      </w:r>
      <w:r w:rsidR="00B72E42" w:rsidRPr="00B51FE0">
        <w:rPr>
          <w:rStyle w:val="hps"/>
          <w:rFonts w:cs="Arial"/>
        </w:rPr>
        <w:t xml:space="preserve"> suivante </w:t>
      </w:r>
      <w:r w:rsidR="0042594B" w:rsidRPr="00B51FE0">
        <w:rPr>
          <w:rStyle w:val="hps"/>
          <w:rFonts w:cs="Arial"/>
        </w:rPr>
        <w:t>dans le formulaire</w:t>
      </w:r>
      <w:r w:rsidR="00F42F09" w:rsidRPr="00B51FE0">
        <w:rPr>
          <w:rStyle w:val="hps"/>
          <w:rFonts w:cs="Arial"/>
        </w:rPr>
        <w:t xml:space="preserve">: </w:t>
      </w:r>
      <w:r w:rsidR="006C3E17" w:rsidRPr="00B51FE0">
        <w:rPr>
          <w:rStyle w:val="hps"/>
          <w:rFonts w:cs="Arial"/>
        </w:rPr>
        <w:t>«</w:t>
      </w:r>
      <w:r w:rsidR="00523E38" w:rsidRPr="00B51FE0">
        <w:rPr>
          <w:rStyle w:val="hps"/>
          <w:rFonts w:cs="Arial"/>
        </w:rPr>
        <w:t> </w:t>
      </w:r>
      <w:r w:rsidR="00523E38" w:rsidRPr="00B51FE0">
        <w:rPr>
          <w:rStyle w:val="hps"/>
          <w:rFonts w:cs="Arial"/>
          <w:i/>
        </w:rPr>
        <w:t>n</w:t>
      </w:r>
      <w:r w:rsidR="00FF79E8" w:rsidRPr="00B51FE0">
        <w:rPr>
          <w:i/>
        </w:rPr>
        <w:t>ombre de personnes selon agrément</w:t>
      </w:r>
      <w:r w:rsidR="00D563FF" w:rsidRPr="00B51FE0">
        <w:rPr>
          <w:i/>
        </w:rPr>
        <w:t xml:space="preserve"> </w:t>
      </w:r>
      <w:r w:rsidR="00523E38" w:rsidRPr="00B51FE0">
        <w:t>»</w:t>
      </w:r>
      <w:r w:rsidR="00B72E42" w:rsidRPr="00B51FE0">
        <w:t xml:space="preserve"> </w:t>
      </w:r>
      <w:r w:rsidR="00F42F09" w:rsidRPr="00B51FE0">
        <w:t xml:space="preserve">de manière à ce que l’organisation </w:t>
      </w:r>
      <w:r w:rsidR="00D563FF" w:rsidRPr="00B51FE0">
        <w:t xml:space="preserve">se rende compte </w:t>
      </w:r>
      <w:r w:rsidR="00F42F09" w:rsidRPr="00B51FE0">
        <w:t xml:space="preserve">qu’il ne devrait normalement pas y avoir une </w:t>
      </w:r>
      <w:r w:rsidR="00D563FF" w:rsidRPr="00B51FE0">
        <w:t>grande</w:t>
      </w:r>
      <w:r w:rsidR="00F42F09" w:rsidRPr="00B51FE0">
        <w:t xml:space="preserve"> différence entre la réponse à cette question et la réponse à la question «nombre de personnes aidées en 201</w:t>
      </w:r>
      <w:r w:rsidR="00AE3425" w:rsidRPr="00B51FE0">
        <w:t>8</w:t>
      </w:r>
      <w:r w:rsidR="00F42F09" w:rsidRPr="00B51FE0">
        <w:t>»</w:t>
      </w:r>
      <w:r w:rsidR="00D563FF" w:rsidRPr="00B51FE0">
        <w:t xml:space="preserve">. </w:t>
      </w:r>
      <w:r w:rsidR="00523E38" w:rsidRPr="00B51FE0">
        <w:t xml:space="preserve"> </w:t>
      </w:r>
      <w:r w:rsidR="00D563FF" w:rsidRPr="00B51FE0">
        <w:t xml:space="preserve">Cependant, </w:t>
      </w:r>
      <w:r w:rsidR="00523E38" w:rsidRPr="00B51FE0">
        <w:t xml:space="preserve">nous y avons ajouté cette année un champ explicatif: </w:t>
      </w:r>
      <w:r w:rsidR="00D563FF" w:rsidRPr="00B51FE0">
        <w:t>«</w:t>
      </w:r>
      <w:r w:rsidR="00523E38" w:rsidRPr="00B51FE0">
        <w:rPr>
          <w:i/>
        </w:rPr>
        <w:t>si il</w:t>
      </w:r>
      <w:r w:rsidR="007620CA" w:rsidRPr="00B51FE0">
        <w:rPr>
          <w:i/>
        </w:rPr>
        <w:t xml:space="preserve"> </w:t>
      </w:r>
      <w:r w:rsidR="00523E38" w:rsidRPr="00B51FE0">
        <w:rPr>
          <w:i/>
        </w:rPr>
        <w:t xml:space="preserve">y a un grand écart entre votre agrément et le nombre </w:t>
      </w:r>
      <w:r w:rsidR="005B0B5E" w:rsidRPr="00B51FE0">
        <w:rPr>
          <w:i/>
        </w:rPr>
        <w:t>d</w:t>
      </w:r>
      <w:r w:rsidR="00523E38" w:rsidRPr="00B51FE0">
        <w:rPr>
          <w:i/>
        </w:rPr>
        <w:t>e bénéficiaires réellement ai</w:t>
      </w:r>
      <w:r w:rsidR="007620CA" w:rsidRPr="00B51FE0">
        <w:rPr>
          <w:i/>
        </w:rPr>
        <w:t>d</w:t>
      </w:r>
      <w:r w:rsidR="00523E38" w:rsidRPr="00B51FE0">
        <w:rPr>
          <w:i/>
        </w:rPr>
        <w:t xml:space="preserve">és, pourriez-vous </w:t>
      </w:r>
      <w:r w:rsidR="005B0B5E" w:rsidRPr="00B51FE0">
        <w:rPr>
          <w:i/>
        </w:rPr>
        <w:t xml:space="preserve">en </w:t>
      </w:r>
      <w:r w:rsidR="00523E38" w:rsidRPr="00B51FE0">
        <w:rPr>
          <w:i/>
        </w:rPr>
        <w:t>expliquer les raisons ci-dessous</w:t>
      </w:r>
      <w:r w:rsidR="00D563FF" w:rsidRPr="00B51FE0">
        <w:rPr>
          <w:i/>
        </w:rPr>
        <w:t>»</w:t>
      </w:r>
      <w:r w:rsidR="00523E38" w:rsidRPr="00B51FE0">
        <w:t xml:space="preserve">. </w:t>
      </w:r>
    </w:p>
    <w:p w14:paraId="150BE99F" w14:textId="77777777" w:rsidR="005B0B5E" w:rsidRPr="00B51FE0" w:rsidRDefault="005B0B5E" w:rsidP="007620CA">
      <w:pPr>
        <w:autoSpaceDE w:val="0"/>
        <w:autoSpaceDN w:val="0"/>
        <w:adjustRightInd w:val="0"/>
        <w:spacing w:after="0"/>
      </w:pPr>
    </w:p>
    <w:p w14:paraId="5D949CD2" w14:textId="04BE7D97" w:rsidR="007A5836" w:rsidRPr="00B51FE0" w:rsidRDefault="003A34DC" w:rsidP="007620CA">
      <w:pPr>
        <w:autoSpaceDE w:val="0"/>
        <w:autoSpaceDN w:val="0"/>
        <w:adjustRightInd w:val="0"/>
        <w:spacing w:after="0"/>
      </w:pPr>
      <w:r w:rsidRPr="00B51FE0">
        <w:t xml:space="preserve">Cette approche a permis à l’AG d’avoir un aperçu rapide des raisons </w:t>
      </w:r>
      <w:r w:rsidR="005B0B5E" w:rsidRPr="00B51FE0">
        <w:t>expliquant</w:t>
      </w:r>
      <w:r w:rsidRPr="00B51FE0">
        <w:t xml:space="preserve"> la différence constatée entre le nombre de personnes aidées estimées par les organisations</w:t>
      </w:r>
      <w:r w:rsidR="005B0B5E" w:rsidRPr="00B51FE0">
        <w:t xml:space="preserve"> et le nombre de personnes agréée</w:t>
      </w:r>
      <w:r w:rsidRPr="00B51FE0">
        <w:t xml:space="preserve">s. </w:t>
      </w:r>
      <w:r w:rsidR="00117985" w:rsidRPr="00B51FE0">
        <w:t>Comme nous le verrons ci-dessous, cela a permis de réduire sensiblement le nombre d’organisations à contacter individuellement car les explications de la différence se trouvaient directement dans le formulaire.</w:t>
      </w:r>
    </w:p>
    <w:p w14:paraId="7553C178" w14:textId="29321CB2" w:rsidR="003A34DC" w:rsidRPr="00B51FE0" w:rsidRDefault="003A34DC" w:rsidP="007620CA">
      <w:pPr>
        <w:autoSpaceDE w:val="0"/>
        <w:autoSpaceDN w:val="0"/>
        <w:adjustRightInd w:val="0"/>
        <w:spacing w:after="0"/>
      </w:pPr>
    </w:p>
    <w:p w14:paraId="02839523" w14:textId="424EA0A2" w:rsidR="003A34DC" w:rsidRPr="00B51FE0" w:rsidRDefault="004946EA" w:rsidP="007620CA">
      <w:pPr>
        <w:autoSpaceDE w:val="0"/>
        <w:autoSpaceDN w:val="0"/>
        <w:adjustRightInd w:val="0"/>
        <w:spacing w:after="0"/>
      </w:pPr>
      <w:r w:rsidRPr="00B51FE0">
        <w:t>Alors</w:t>
      </w:r>
      <w:r w:rsidR="003A34DC" w:rsidRPr="00B51FE0">
        <w:t xml:space="preserve"> que pour les chiffres de 2017</w:t>
      </w:r>
      <w:r w:rsidRPr="00B51FE0">
        <w:t>,</w:t>
      </w:r>
      <w:r w:rsidR="003A34DC" w:rsidRPr="00B51FE0">
        <w:t xml:space="preserve"> l’AG a dû contacter individuellement pas moins </w:t>
      </w:r>
      <w:r w:rsidRPr="00B51FE0">
        <w:t>de</w:t>
      </w:r>
      <w:r w:rsidR="003A34DC" w:rsidRPr="00B51FE0">
        <w:t xml:space="preserve"> 280 organisations afin de demander des clarifications par rapport aux statistiques fournies, cette année, </w:t>
      </w:r>
      <w:r w:rsidR="00BC412F" w:rsidRPr="00B51FE0">
        <w:t>grâce</w:t>
      </w:r>
      <w:r w:rsidRPr="00B51FE0">
        <w:t xml:space="preserve"> à la question dans le formulaire,</w:t>
      </w:r>
      <w:r w:rsidR="003A34DC" w:rsidRPr="00B51FE0">
        <w:t xml:space="preserve"> seulement 137 organisations ont </w:t>
      </w:r>
      <w:r w:rsidR="00117985" w:rsidRPr="00B51FE0">
        <w:t>dû</w:t>
      </w:r>
      <w:r w:rsidR="00FA51CB" w:rsidRPr="00B51FE0">
        <w:t xml:space="preserve"> être</w:t>
      </w:r>
      <w:r w:rsidR="003A34DC" w:rsidRPr="00B51FE0">
        <w:t xml:space="preserve"> contactées.</w:t>
      </w:r>
    </w:p>
    <w:p w14:paraId="18D74918" w14:textId="485AA57C" w:rsidR="00FF79E8" w:rsidRPr="00B51FE0" w:rsidRDefault="00FF79E8" w:rsidP="00523E38">
      <w:pPr>
        <w:pStyle w:val="Geenafstand"/>
      </w:pPr>
    </w:p>
    <w:p w14:paraId="2847F649" w14:textId="7B82458A" w:rsidR="008441A3" w:rsidRPr="00B51FE0" w:rsidRDefault="00FA51CB" w:rsidP="003224B5">
      <w:pPr>
        <w:autoSpaceDE w:val="0"/>
        <w:autoSpaceDN w:val="0"/>
        <w:adjustRightInd w:val="0"/>
        <w:spacing w:after="0"/>
      </w:pPr>
      <w:r w:rsidRPr="00B51FE0">
        <w:t>L</w:t>
      </w:r>
      <w:r w:rsidR="007620CA" w:rsidRPr="00B51FE0">
        <w:t>’AG a</w:t>
      </w:r>
      <w:r w:rsidRPr="00B51FE0">
        <w:t xml:space="preserve"> également</w:t>
      </w:r>
      <w:r w:rsidR="008441A3" w:rsidRPr="00B51FE0">
        <w:t xml:space="preserve"> invité les organisations</w:t>
      </w:r>
      <w:r w:rsidR="008F341A" w:rsidRPr="00B51FE0">
        <w:t xml:space="preserve"> – à plusieurs reprises durant la campagne –  </w:t>
      </w:r>
      <w:r w:rsidR="008441A3" w:rsidRPr="00B51FE0">
        <w:t xml:space="preserve">à revoir leur agrément pour que </w:t>
      </w:r>
      <w:r w:rsidR="007620CA" w:rsidRPr="00B51FE0">
        <w:t>le chiffre d’agrément des organisations</w:t>
      </w:r>
      <w:r w:rsidR="008441A3" w:rsidRPr="00B51FE0">
        <w:t xml:space="preserve"> corresponde </w:t>
      </w:r>
      <w:r w:rsidR="006C3E17" w:rsidRPr="00B51FE0">
        <w:t xml:space="preserve">davantage </w:t>
      </w:r>
      <w:r w:rsidR="008441A3" w:rsidRPr="00B51FE0">
        <w:t>avec la réalité. Néanmoins, et comme l’année passée, l</w:t>
      </w:r>
      <w:r w:rsidR="00117985" w:rsidRPr="00B51FE0">
        <w:t>e travail de l</w:t>
      </w:r>
      <w:r w:rsidR="008441A3" w:rsidRPr="00B51FE0">
        <w:t>a majeure partie d</w:t>
      </w:r>
      <w:r w:rsidR="008F341A" w:rsidRPr="00B51FE0">
        <w:t>e</w:t>
      </w:r>
      <w:r w:rsidR="008441A3" w:rsidRPr="00B51FE0">
        <w:t>s organisations repose uniquement sur de</w:t>
      </w:r>
      <w:r w:rsidR="00117985" w:rsidRPr="00B51FE0">
        <w:t>s</w:t>
      </w:r>
      <w:r w:rsidR="008441A3" w:rsidRPr="00B51FE0">
        <w:t xml:space="preserve"> bénévoles – parmi lesquels le </w:t>
      </w:r>
      <w:proofErr w:type="spellStart"/>
      <w:r w:rsidR="008441A3" w:rsidRPr="00B51FE0">
        <w:t>turn</w:t>
      </w:r>
      <w:proofErr w:type="spellEnd"/>
      <w:r w:rsidR="008441A3" w:rsidRPr="00B51FE0">
        <w:t xml:space="preserve"> over est important – </w:t>
      </w:r>
      <w:r w:rsidR="00D563FF" w:rsidRPr="00B51FE0">
        <w:t>ce qui peut encore</w:t>
      </w:r>
      <w:r w:rsidR="008441A3" w:rsidRPr="00B51FE0">
        <w:t xml:space="preserve"> occasionner</w:t>
      </w:r>
      <w:r w:rsidR="009B2473" w:rsidRPr="00B51FE0">
        <w:t xml:space="preserve"> certaines erreurs</w:t>
      </w:r>
      <w:r w:rsidR="00117985" w:rsidRPr="00B51FE0">
        <w:t>/incohérences</w:t>
      </w:r>
      <w:r w:rsidR="009B2473" w:rsidRPr="00B51FE0">
        <w:t>.</w:t>
      </w:r>
    </w:p>
    <w:p w14:paraId="1B00DE31" w14:textId="0B58BF5E" w:rsidR="00E351B9" w:rsidRPr="00B51FE0" w:rsidRDefault="00E351B9" w:rsidP="003224B5">
      <w:pPr>
        <w:autoSpaceDE w:val="0"/>
        <w:autoSpaceDN w:val="0"/>
        <w:adjustRightInd w:val="0"/>
        <w:spacing w:after="0"/>
      </w:pPr>
    </w:p>
    <w:p w14:paraId="551E3130" w14:textId="288A6EB7" w:rsidR="008441A3" w:rsidRPr="00B51FE0" w:rsidRDefault="00FA51CB" w:rsidP="00570378">
      <w:pPr>
        <w:pStyle w:val="Geenafstand"/>
        <w:spacing w:line="276" w:lineRule="auto"/>
        <w:rPr>
          <w:rStyle w:val="hps"/>
          <w:rFonts w:cs="Arial"/>
        </w:rPr>
      </w:pPr>
      <w:r w:rsidRPr="00B51FE0">
        <w:rPr>
          <w:rStyle w:val="hps"/>
          <w:rFonts w:cs="Arial"/>
        </w:rPr>
        <w:t>L</w:t>
      </w:r>
      <w:r w:rsidR="00E351B9" w:rsidRPr="00B51FE0">
        <w:rPr>
          <w:rStyle w:val="hps"/>
          <w:rFonts w:cs="Arial"/>
        </w:rPr>
        <w:t>’AG constate</w:t>
      </w:r>
      <w:r w:rsidRPr="00B51FE0">
        <w:rPr>
          <w:rStyle w:val="hps"/>
          <w:rFonts w:cs="Arial"/>
        </w:rPr>
        <w:t xml:space="preserve"> cette année qu’</w:t>
      </w:r>
      <w:r w:rsidR="00E351B9" w:rsidRPr="00B51FE0">
        <w:rPr>
          <w:rStyle w:val="hps"/>
          <w:rFonts w:cs="Arial"/>
        </w:rPr>
        <w:t xml:space="preserve">après </w:t>
      </w:r>
      <w:r w:rsidRPr="00B51FE0">
        <w:rPr>
          <w:rStyle w:val="hps"/>
          <w:rFonts w:cs="Arial"/>
        </w:rPr>
        <w:t>avoir pris les mesures</w:t>
      </w:r>
      <w:r w:rsidR="00E351B9" w:rsidRPr="00B51FE0">
        <w:rPr>
          <w:rStyle w:val="hps"/>
          <w:rFonts w:cs="Arial"/>
        </w:rPr>
        <w:t xml:space="preserve"> mentionné</w:t>
      </w:r>
      <w:r w:rsidRPr="00B51FE0">
        <w:rPr>
          <w:rStyle w:val="hps"/>
          <w:rFonts w:cs="Arial"/>
        </w:rPr>
        <w:t>es</w:t>
      </w:r>
      <w:r w:rsidR="00E351B9" w:rsidRPr="00B51FE0">
        <w:rPr>
          <w:rStyle w:val="hps"/>
          <w:rFonts w:cs="Arial"/>
        </w:rPr>
        <w:t xml:space="preserve"> ci-dessus, </w:t>
      </w:r>
      <w:r w:rsidRPr="00B51FE0">
        <w:rPr>
          <w:rStyle w:val="hps"/>
          <w:rFonts w:cs="Arial"/>
        </w:rPr>
        <w:t>les chiffres transmis par les organisations</w:t>
      </w:r>
      <w:r w:rsidR="00E351B9" w:rsidRPr="00B51FE0">
        <w:rPr>
          <w:rStyle w:val="hps"/>
          <w:rFonts w:cs="Arial"/>
        </w:rPr>
        <w:t xml:space="preserve"> se rapprochent plus que jamais</w:t>
      </w:r>
      <w:r w:rsidRPr="00B51FE0">
        <w:rPr>
          <w:rStyle w:val="hps"/>
          <w:rFonts w:cs="Arial"/>
        </w:rPr>
        <w:t xml:space="preserve"> aux données des agréments</w:t>
      </w:r>
      <w:r w:rsidR="00E351B9" w:rsidRPr="00B51FE0">
        <w:rPr>
          <w:rStyle w:val="hps"/>
          <w:rFonts w:cs="Arial"/>
        </w:rPr>
        <w:t xml:space="preserve">. </w:t>
      </w:r>
    </w:p>
    <w:p w14:paraId="37BEAB2A" w14:textId="1611E75A" w:rsidR="001849A2" w:rsidRPr="00B51FE0" w:rsidRDefault="00E351B9" w:rsidP="001849A2">
      <w:pPr>
        <w:rPr>
          <w:rStyle w:val="hps"/>
          <w:rFonts w:ascii="Calibri" w:hAnsi="Calibri"/>
          <w:sz w:val="22"/>
          <w:lang w:val="fr-BE"/>
        </w:rPr>
      </w:pPr>
      <w:r w:rsidRPr="00B51FE0">
        <w:rPr>
          <w:rStyle w:val="hps"/>
          <w:rFonts w:cs="Arial"/>
        </w:rPr>
        <w:t xml:space="preserve">Les organisations déclarent d’avoir aidé 393.944 personnes </w:t>
      </w:r>
      <w:r w:rsidR="00FA51CB" w:rsidRPr="00B51FE0">
        <w:rPr>
          <w:rStyle w:val="hps"/>
          <w:rFonts w:cs="Arial"/>
        </w:rPr>
        <w:t>alors</w:t>
      </w:r>
      <w:r w:rsidRPr="00B51FE0">
        <w:rPr>
          <w:rStyle w:val="hps"/>
          <w:rFonts w:cs="Arial"/>
        </w:rPr>
        <w:t xml:space="preserve"> que la somme de tous les agréments est </w:t>
      </w:r>
      <w:r w:rsidR="00FA51CB" w:rsidRPr="00B51FE0">
        <w:rPr>
          <w:rStyle w:val="hps"/>
          <w:rFonts w:cs="Arial"/>
        </w:rPr>
        <w:t>de</w:t>
      </w:r>
      <w:r w:rsidRPr="00B51FE0">
        <w:rPr>
          <w:rStyle w:val="hps"/>
          <w:rFonts w:cs="Arial"/>
        </w:rPr>
        <w:t xml:space="preserve"> 353.356 personnes</w:t>
      </w:r>
      <w:r w:rsidR="00570378" w:rsidRPr="00B51FE0">
        <w:rPr>
          <w:rStyle w:val="hps"/>
          <w:rFonts w:cs="Arial"/>
        </w:rPr>
        <w:t xml:space="preserve"> (différence de 40.588 personnes)</w:t>
      </w:r>
      <w:r w:rsidRPr="00B51FE0">
        <w:rPr>
          <w:rStyle w:val="hps"/>
          <w:rFonts w:cs="Arial"/>
        </w:rPr>
        <w:t>.</w:t>
      </w:r>
      <w:r w:rsidR="001849A2" w:rsidRPr="00B51FE0">
        <w:rPr>
          <w:rStyle w:val="hps"/>
          <w:rFonts w:cs="Arial"/>
        </w:rPr>
        <w:t xml:space="preserve"> </w:t>
      </w:r>
      <w:r w:rsidR="001849A2" w:rsidRPr="00B51FE0">
        <w:rPr>
          <w:rStyle w:val="hps"/>
          <w:lang w:val="fr-BE"/>
        </w:rPr>
        <w:t>Pour rappel, l’année passée, la différence entre les chiffres était de 119.023 personnes.</w:t>
      </w:r>
    </w:p>
    <w:p w14:paraId="672B8109" w14:textId="0D091E80" w:rsidR="00570378" w:rsidRPr="00B51FE0" w:rsidRDefault="00570378" w:rsidP="00570378">
      <w:pPr>
        <w:pStyle w:val="Geenafstand"/>
        <w:spacing w:line="276" w:lineRule="auto"/>
        <w:rPr>
          <w:rStyle w:val="hps"/>
          <w:rFonts w:cs="Arial"/>
        </w:rPr>
      </w:pPr>
      <w:r w:rsidRPr="00B51FE0">
        <w:rPr>
          <w:rStyle w:val="hps"/>
          <w:rFonts w:cs="Arial"/>
        </w:rPr>
        <w:t>Pour la première fois, l’</w:t>
      </w:r>
      <w:r w:rsidR="00FA51CB" w:rsidRPr="00B51FE0">
        <w:rPr>
          <w:rStyle w:val="hps"/>
          <w:rFonts w:cs="Arial"/>
        </w:rPr>
        <w:t xml:space="preserve">AG a </w:t>
      </w:r>
      <w:r w:rsidR="00E701C8" w:rsidRPr="00B51FE0">
        <w:rPr>
          <w:rStyle w:val="hps"/>
          <w:rFonts w:cs="Arial"/>
        </w:rPr>
        <w:t xml:space="preserve">donc </w:t>
      </w:r>
      <w:r w:rsidR="00FA51CB" w:rsidRPr="00B51FE0">
        <w:rPr>
          <w:rStyle w:val="hps"/>
          <w:rFonts w:cs="Arial"/>
        </w:rPr>
        <w:t xml:space="preserve">décidé de ne pas adapter </w:t>
      </w:r>
      <w:r w:rsidRPr="00B51FE0">
        <w:rPr>
          <w:rStyle w:val="hps"/>
          <w:rFonts w:cs="Arial"/>
        </w:rPr>
        <w:t>les chiffres transmis par les organisations en fonction des agréments</w:t>
      </w:r>
      <w:r w:rsidR="00FA51CB" w:rsidRPr="00B51FE0">
        <w:rPr>
          <w:rStyle w:val="hps"/>
          <w:rFonts w:cs="Arial"/>
        </w:rPr>
        <w:t xml:space="preserve"> – comme nous le faisions dans le passé</w:t>
      </w:r>
      <w:r w:rsidRPr="00B51FE0">
        <w:rPr>
          <w:rStyle w:val="hps"/>
          <w:rFonts w:cs="Arial"/>
        </w:rPr>
        <w:t>.</w:t>
      </w:r>
      <w:r w:rsidRPr="00B51FE0">
        <w:rPr>
          <w:rStyle w:val="hps"/>
          <w:rFonts w:cs="Arial"/>
        </w:rPr>
        <w:tab/>
      </w:r>
    </w:p>
    <w:p w14:paraId="7332EB68" w14:textId="2BF3181F" w:rsidR="00570378" w:rsidRPr="00B51FE0" w:rsidRDefault="00570378" w:rsidP="00570378">
      <w:pPr>
        <w:pStyle w:val="Geenafstand"/>
        <w:spacing w:line="276" w:lineRule="auto"/>
        <w:rPr>
          <w:rStyle w:val="hps"/>
          <w:rFonts w:cs="Arial"/>
        </w:rPr>
      </w:pPr>
      <w:r w:rsidRPr="00B51FE0">
        <w:rPr>
          <w:rStyle w:val="hps"/>
          <w:rFonts w:cs="Arial"/>
        </w:rPr>
        <w:t xml:space="preserve">Sur base de nos expériences des années </w:t>
      </w:r>
      <w:r w:rsidR="00FA51CB" w:rsidRPr="00B51FE0">
        <w:rPr>
          <w:rStyle w:val="hps"/>
          <w:rFonts w:cs="Arial"/>
        </w:rPr>
        <w:t>précédentes</w:t>
      </w:r>
      <w:r w:rsidRPr="00B51FE0">
        <w:rPr>
          <w:rStyle w:val="hps"/>
          <w:rFonts w:cs="Arial"/>
        </w:rPr>
        <w:t xml:space="preserve"> et </w:t>
      </w:r>
      <w:r w:rsidR="00E701C8" w:rsidRPr="00B51FE0">
        <w:rPr>
          <w:rStyle w:val="hps"/>
          <w:rFonts w:cs="Arial"/>
        </w:rPr>
        <w:t>tenant compte de</w:t>
      </w:r>
      <w:r w:rsidRPr="00B51FE0">
        <w:rPr>
          <w:rStyle w:val="hps"/>
          <w:rFonts w:cs="Arial"/>
        </w:rPr>
        <w:t xml:space="preserve"> tou</w:t>
      </w:r>
      <w:r w:rsidR="00663869" w:rsidRPr="00B51FE0">
        <w:rPr>
          <w:rStyle w:val="hps"/>
          <w:rFonts w:cs="Arial"/>
        </w:rPr>
        <w:t>te</w:t>
      </w:r>
      <w:r w:rsidRPr="00B51FE0">
        <w:rPr>
          <w:rStyle w:val="hps"/>
          <w:rFonts w:cs="Arial"/>
        </w:rPr>
        <w:t>s les explications fournies par les organisations, l’AG constate que dans la réalité une</w:t>
      </w:r>
      <w:r w:rsidR="00E701C8" w:rsidRPr="00B51FE0">
        <w:rPr>
          <w:rStyle w:val="hps"/>
          <w:rFonts w:cs="Arial"/>
        </w:rPr>
        <w:t xml:space="preserve"> grande</w:t>
      </w:r>
      <w:r w:rsidRPr="00B51FE0">
        <w:rPr>
          <w:rStyle w:val="hps"/>
          <w:rFonts w:cs="Arial"/>
        </w:rPr>
        <w:t xml:space="preserve"> partie des organisations aident effectivement beaucoup plus de personnes que ce que mentionnent les agréments, notamment en raison d’un grand turn-over au niveau des bénéficiaires. Beaucoup </w:t>
      </w:r>
      <w:r w:rsidR="00FA51CB" w:rsidRPr="00B51FE0">
        <w:rPr>
          <w:rStyle w:val="hps"/>
          <w:rFonts w:cs="Arial"/>
        </w:rPr>
        <w:t>d’</w:t>
      </w:r>
      <w:r w:rsidRPr="00B51FE0">
        <w:rPr>
          <w:rStyle w:val="hps"/>
          <w:rFonts w:cs="Arial"/>
        </w:rPr>
        <w:t>organisations déclarent</w:t>
      </w:r>
      <w:r w:rsidR="00FA51CB" w:rsidRPr="00B51FE0">
        <w:rPr>
          <w:rStyle w:val="hps"/>
          <w:rFonts w:cs="Arial"/>
        </w:rPr>
        <w:t xml:space="preserve"> en effet que certains</w:t>
      </w:r>
      <w:r w:rsidRPr="00B51FE0">
        <w:rPr>
          <w:rStyle w:val="hps"/>
          <w:rFonts w:cs="Arial"/>
        </w:rPr>
        <w:t xml:space="preserve"> bénéficiaires </w:t>
      </w:r>
      <w:r w:rsidR="00FA51CB" w:rsidRPr="00B51FE0">
        <w:rPr>
          <w:rStyle w:val="hps"/>
          <w:rFonts w:cs="Arial"/>
        </w:rPr>
        <w:t>ne viennent</w:t>
      </w:r>
      <w:r w:rsidRPr="00B51FE0">
        <w:rPr>
          <w:rStyle w:val="hps"/>
          <w:rFonts w:cs="Arial"/>
        </w:rPr>
        <w:t xml:space="preserve"> qu’une fois dans l’année.</w:t>
      </w:r>
    </w:p>
    <w:p w14:paraId="6AA59B33" w14:textId="77777777" w:rsidR="00FA51CB" w:rsidRPr="00B51FE0" w:rsidRDefault="00FA51CB" w:rsidP="00570378">
      <w:pPr>
        <w:pStyle w:val="Geenafstand"/>
        <w:spacing w:line="276" w:lineRule="auto"/>
        <w:rPr>
          <w:rStyle w:val="hps"/>
          <w:rFonts w:cs="Arial"/>
        </w:rPr>
      </w:pPr>
    </w:p>
    <w:p w14:paraId="4FD3572C" w14:textId="13CE212C" w:rsidR="00B47E2F" w:rsidRPr="00B51FE0" w:rsidRDefault="00B47E2F" w:rsidP="00570378">
      <w:pPr>
        <w:pStyle w:val="Geenafstand"/>
        <w:spacing w:line="276" w:lineRule="auto"/>
        <w:rPr>
          <w:rStyle w:val="hps"/>
          <w:rFonts w:cs="Arial"/>
        </w:rPr>
      </w:pPr>
      <w:r w:rsidRPr="00B51FE0">
        <w:rPr>
          <w:rStyle w:val="hps"/>
          <w:rFonts w:cs="Arial"/>
        </w:rPr>
        <w:t xml:space="preserve">Il y a également des organisations qui </w:t>
      </w:r>
      <w:r w:rsidR="00FA51CB" w:rsidRPr="00B51FE0">
        <w:rPr>
          <w:rStyle w:val="hps"/>
          <w:rFonts w:cs="Arial"/>
        </w:rPr>
        <w:t>sont conscient</w:t>
      </w:r>
      <w:r w:rsidR="008F341A" w:rsidRPr="00B51FE0">
        <w:rPr>
          <w:rStyle w:val="hps"/>
          <w:rFonts w:cs="Arial"/>
        </w:rPr>
        <w:t>e</w:t>
      </w:r>
      <w:r w:rsidR="00FA51CB" w:rsidRPr="00B51FE0">
        <w:rPr>
          <w:rStyle w:val="hps"/>
          <w:rFonts w:cs="Arial"/>
        </w:rPr>
        <w:t xml:space="preserve">s de la différence entre personnes aidées et personnes agréées mais qui </w:t>
      </w:r>
      <w:r w:rsidRPr="00B51FE0">
        <w:rPr>
          <w:rStyle w:val="hps"/>
          <w:rFonts w:cs="Arial"/>
        </w:rPr>
        <w:t xml:space="preserve">ne souhaitent pas adapter leur agrément </w:t>
      </w:r>
      <w:r w:rsidR="00FA51CB" w:rsidRPr="00B51FE0">
        <w:rPr>
          <w:rStyle w:val="hps"/>
          <w:rFonts w:cs="Arial"/>
        </w:rPr>
        <w:t xml:space="preserve">car </w:t>
      </w:r>
      <w:r w:rsidR="008B2849" w:rsidRPr="00B51FE0">
        <w:rPr>
          <w:rStyle w:val="hps"/>
          <w:rFonts w:cs="Arial"/>
        </w:rPr>
        <w:t xml:space="preserve">ils ont un manque de place et ont peur de recevoir </w:t>
      </w:r>
      <w:r w:rsidR="00BC412F" w:rsidRPr="00B51FE0">
        <w:rPr>
          <w:rStyle w:val="hps"/>
          <w:rFonts w:cs="Arial"/>
        </w:rPr>
        <w:t>trop</w:t>
      </w:r>
      <w:r w:rsidR="008B2849" w:rsidRPr="00B51FE0">
        <w:rPr>
          <w:rStyle w:val="hps"/>
          <w:rFonts w:cs="Arial"/>
        </w:rPr>
        <w:t xml:space="preserve"> de produits.</w:t>
      </w:r>
    </w:p>
    <w:p w14:paraId="41D929BC" w14:textId="77777777" w:rsidR="00BC412F" w:rsidRPr="00B51FE0" w:rsidRDefault="00BC412F" w:rsidP="00570378">
      <w:pPr>
        <w:pStyle w:val="Geenafstand"/>
        <w:spacing w:line="276" w:lineRule="auto"/>
        <w:rPr>
          <w:rStyle w:val="hps"/>
          <w:rFonts w:cs="Arial"/>
        </w:rPr>
      </w:pPr>
    </w:p>
    <w:p w14:paraId="46DA5E70" w14:textId="6CE4ADFA" w:rsidR="00570378" w:rsidRPr="00B51FE0" w:rsidRDefault="00DE623A" w:rsidP="00DE623A">
      <w:pPr>
        <w:pStyle w:val="Geenafstand"/>
        <w:spacing w:line="276" w:lineRule="auto"/>
        <w:rPr>
          <w:rStyle w:val="hps"/>
          <w:rFonts w:cs="Arial"/>
        </w:rPr>
      </w:pPr>
      <w:r w:rsidRPr="00B51FE0">
        <w:rPr>
          <w:rStyle w:val="hps"/>
          <w:rFonts w:cs="Arial"/>
        </w:rPr>
        <w:t xml:space="preserve">L’AG a également constaté qu’il y a des organisations qui aident moins de personnes que le nombre de bénéficiaires repris dans </w:t>
      </w:r>
      <w:r w:rsidR="00BC412F" w:rsidRPr="00B51FE0">
        <w:rPr>
          <w:rStyle w:val="hps"/>
          <w:rFonts w:cs="Arial"/>
        </w:rPr>
        <w:t>l’</w:t>
      </w:r>
      <w:r w:rsidRPr="00B51FE0">
        <w:rPr>
          <w:rStyle w:val="hps"/>
          <w:rFonts w:cs="Arial"/>
        </w:rPr>
        <w:t xml:space="preserve">agrément. </w:t>
      </w:r>
      <w:r w:rsidR="00BC412F" w:rsidRPr="00B51FE0">
        <w:rPr>
          <w:rStyle w:val="hps"/>
          <w:rFonts w:cs="Arial"/>
        </w:rPr>
        <w:t>C’est surtout le cas de</w:t>
      </w:r>
      <w:r w:rsidRPr="00B51FE0">
        <w:rPr>
          <w:rStyle w:val="hps"/>
          <w:rFonts w:cs="Arial"/>
        </w:rPr>
        <w:t xml:space="preserve"> certains CPAS. </w:t>
      </w:r>
      <w:r w:rsidR="00BC412F" w:rsidRPr="00B51FE0">
        <w:rPr>
          <w:rStyle w:val="hps"/>
          <w:rFonts w:cs="Arial"/>
        </w:rPr>
        <w:t xml:space="preserve">Certains CPAS </w:t>
      </w:r>
      <w:r w:rsidRPr="00B51FE0">
        <w:rPr>
          <w:rStyle w:val="hps"/>
          <w:rFonts w:cs="Arial"/>
        </w:rPr>
        <w:t>sont agréés pour un</w:t>
      </w:r>
      <w:r w:rsidR="00BC412F" w:rsidRPr="00B51FE0">
        <w:rPr>
          <w:rStyle w:val="hps"/>
          <w:rFonts w:cs="Arial"/>
        </w:rPr>
        <w:t xml:space="preserve"> grand</w:t>
      </w:r>
      <w:r w:rsidRPr="00B51FE0">
        <w:rPr>
          <w:rStyle w:val="hps"/>
          <w:rFonts w:cs="Arial"/>
        </w:rPr>
        <w:t xml:space="preserve"> nombre de personnes mais qui </w:t>
      </w:r>
      <w:r w:rsidR="00BC412F" w:rsidRPr="00B51FE0">
        <w:rPr>
          <w:rStyle w:val="hps"/>
          <w:rFonts w:cs="Arial"/>
        </w:rPr>
        <w:t>n’</w:t>
      </w:r>
      <w:r w:rsidRPr="00B51FE0">
        <w:rPr>
          <w:rStyle w:val="hps"/>
          <w:rFonts w:cs="Arial"/>
        </w:rPr>
        <w:t xml:space="preserve">aident </w:t>
      </w:r>
      <w:r w:rsidR="00BC412F" w:rsidRPr="00B51FE0">
        <w:rPr>
          <w:rStyle w:val="hps"/>
          <w:rFonts w:cs="Arial"/>
        </w:rPr>
        <w:t xml:space="preserve">que </w:t>
      </w:r>
      <w:r w:rsidRPr="00B51FE0">
        <w:rPr>
          <w:rStyle w:val="hps"/>
          <w:rFonts w:cs="Arial"/>
        </w:rPr>
        <w:t>très peu de personnes dans la réalité vu qu’ils distribuent que des colis alimentaires dans des cas d’urgence et pas d’une manière structurelle.</w:t>
      </w:r>
    </w:p>
    <w:p w14:paraId="4C78B538" w14:textId="111A7D80" w:rsidR="00663869" w:rsidRPr="00B51FE0" w:rsidRDefault="00663869" w:rsidP="00DE623A">
      <w:pPr>
        <w:pStyle w:val="Geenafstand"/>
        <w:spacing w:line="276" w:lineRule="auto"/>
        <w:rPr>
          <w:rStyle w:val="hps"/>
          <w:rFonts w:cs="Arial"/>
        </w:rPr>
      </w:pPr>
    </w:p>
    <w:p w14:paraId="404D6294" w14:textId="60E18175" w:rsidR="00663869" w:rsidRPr="00B51FE0" w:rsidRDefault="00663869" w:rsidP="00DE623A">
      <w:pPr>
        <w:pStyle w:val="Geenafstand"/>
        <w:spacing w:line="276" w:lineRule="auto"/>
        <w:rPr>
          <w:rStyle w:val="hps"/>
          <w:rFonts w:cs="Arial"/>
        </w:rPr>
      </w:pPr>
      <w:r w:rsidRPr="00B51FE0">
        <w:rPr>
          <w:rStyle w:val="hps"/>
          <w:rFonts w:cs="Arial"/>
        </w:rPr>
        <w:t>Dans ce cadre et sur bas</w:t>
      </w:r>
      <w:r w:rsidR="00BC412F" w:rsidRPr="00B51FE0">
        <w:rPr>
          <w:rStyle w:val="hps"/>
          <w:rFonts w:cs="Arial"/>
        </w:rPr>
        <w:t>e des chiffres fourni</w:t>
      </w:r>
      <w:r w:rsidRPr="00B51FE0">
        <w:rPr>
          <w:rStyle w:val="hps"/>
          <w:rFonts w:cs="Arial"/>
        </w:rPr>
        <w:t xml:space="preserve">s par les organisations, l’AG conclue qu’en 2018 un total de 393.944 personnes </w:t>
      </w:r>
      <w:r w:rsidR="00204317" w:rsidRPr="00B51FE0">
        <w:rPr>
          <w:rStyle w:val="hps"/>
          <w:rFonts w:cs="Arial"/>
        </w:rPr>
        <w:t>ont</w:t>
      </w:r>
      <w:r w:rsidRPr="00B51FE0">
        <w:rPr>
          <w:rStyle w:val="hps"/>
          <w:rFonts w:cs="Arial"/>
        </w:rPr>
        <w:t xml:space="preserve"> été aidées dans le cadre du FEAD. </w:t>
      </w:r>
    </w:p>
    <w:p w14:paraId="75ABB382" w14:textId="5712735E" w:rsidR="000168BB" w:rsidRPr="00B51FE0" w:rsidRDefault="000168BB" w:rsidP="00DE623A">
      <w:pPr>
        <w:pStyle w:val="Geenafstand"/>
        <w:spacing w:line="276" w:lineRule="auto"/>
        <w:rPr>
          <w:rStyle w:val="hps"/>
          <w:rFonts w:cs="Arial"/>
        </w:rPr>
      </w:pPr>
    </w:p>
    <w:p w14:paraId="79E0C1C6" w14:textId="0440E886" w:rsidR="000168BB" w:rsidRPr="00B51FE0" w:rsidRDefault="00294EE0" w:rsidP="00DE623A">
      <w:pPr>
        <w:pStyle w:val="Geenafstand"/>
        <w:spacing w:line="276" w:lineRule="auto"/>
        <w:rPr>
          <w:rStyle w:val="hps"/>
          <w:rFonts w:cs="Arial"/>
        </w:rPr>
      </w:pPr>
      <w:r w:rsidRPr="00B51FE0">
        <w:rPr>
          <w:rStyle w:val="hps"/>
          <w:rFonts w:cs="Arial"/>
        </w:rPr>
        <w:t xml:space="preserve">En ce qui concerne le profil de ces 393.944 personnes, l’AG constate une grande augmentation du nombre d’enfants, </w:t>
      </w:r>
      <w:r w:rsidR="00E701C8" w:rsidRPr="00B51FE0">
        <w:rPr>
          <w:rStyle w:val="hps"/>
          <w:rFonts w:cs="Arial"/>
        </w:rPr>
        <w:t xml:space="preserve">de </w:t>
      </w:r>
      <w:r w:rsidRPr="00B51FE0">
        <w:rPr>
          <w:rStyle w:val="hps"/>
          <w:rFonts w:cs="Arial"/>
        </w:rPr>
        <w:t>personnes âgées</w:t>
      </w:r>
      <w:r w:rsidR="00E701C8" w:rsidRPr="00B51FE0">
        <w:rPr>
          <w:rStyle w:val="hps"/>
          <w:rFonts w:cs="Arial"/>
        </w:rPr>
        <w:t xml:space="preserve"> de</w:t>
      </w:r>
      <w:r w:rsidRPr="00B51FE0">
        <w:rPr>
          <w:rStyle w:val="hps"/>
          <w:rFonts w:cs="Arial"/>
        </w:rPr>
        <w:t xml:space="preserve"> plus de 65 ans et </w:t>
      </w:r>
      <w:r w:rsidR="00E701C8" w:rsidRPr="00B51FE0">
        <w:rPr>
          <w:rStyle w:val="hps"/>
          <w:rFonts w:cs="Arial"/>
        </w:rPr>
        <w:t xml:space="preserve">de </w:t>
      </w:r>
      <w:r w:rsidRPr="00B51FE0">
        <w:rPr>
          <w:rStyle w:val="hps"/>
          <w:rFonts w:cs="Arial"/>
        </w:rPr>
        <w:t xml:space="preserve">femmes par rapport à l’année 2017. </w:t>
      </w:r>
      <w:r w:rsidR="00BC412F" w:rsidRPr="00B51FE0">
        <w:rPr>
          <w:rStyle w:val="hps"/>
          <w:rFonts w:cs="Arial"/>
        </w:rPr>
        <w:t>Etant donné</w:t>
      </w:r>
      <w:r w:rsidR="001C13A1" w:rsidRPr="00B51FE0">
        <w:rPr>
          <w:rStyle w:val="hps"/>
          <w:rFonts w:cs="Arial"/>
        </w:rPr>
        <w:t xml:space="preserve"> que le nombre de bénéficiaires total a augmenté de 82.619 personnes, c’est logique</w:t>
      </w:r>
      <w:r w:rsidR="00BC412F" w:rsidRPr="00B51FE0">
        <w:rPr>
          <w:rStyle w:val="hps"/>
          <w:rFonts w:cs="Arial"/>
        </w:rPr>
        <w:t xml:space="preserve"> que ces catégories augmentent également</w:t>
      </w:r>
      <w:r w:rsidR="001C13A1" w:rsidRPr="00B51FE0">
        <w:rPr>
          <w:rStyle w:val="hps"/>
          <w:rFonts w:cs="Arial"/>
        </w:rPr>
        <w:t>.</w:t>
      </w:r>
    </w:p>
    <w:p w14:paraId="46305DFD" w14:textId="77777777" w:rsidR="00BC412F" w:rsidRPr="00B51FE0" w:rsidRDefault="00BC412F" w:rsidP="00DE623A">
      <w:pPr>
        <w:pStyle w:val="Geenafstand"/>
        <w:spacing w:line="276" w:lineRule="auto"/>
        <w:rPr>
          <w:rStyle w:val="hps"/>
          <w:rFonts w:cs="Arial"/>
        </w:rPr>
      </w:pPr>
    </w:p>
    <w:p w14:paraId="65A0D60F" w14:textId="77777777" w:rsidR="00C75A01" w:rsidRPr="00B51FE0" w:rsidRDefault="00C75A01" w:rsidP="002666E5">
      <w:pPr>
        <w:pStyle w:val="Kop3"/>
        <w:numPr>
          <w:ilvl w:val="2"/>
          <w:numId w:val="1"/>
        </w:numPr>
        <w:spacing w:after="240" w:line="276" w:lineRule="auto"/>
      </w:pPr>
      <w:bookmarkStart w:id="15" w:name="_Toc422390652"/>
      <w:bookmarkStart w:id="16" w:name="_Toc12629543"/>
      <w:r w:rsidRPr="00B51FE0">
        <w:t>Sélection des opérations</w:t>
      </w:r>
      <w:bookmarkEnd w:id="15"/>
      <w:bookmarkEnd w:id="16"/>
    </w:p>
    <w:p w14:paraId="3C8A4A82" w14:textId="3B9AF5F9" w:rsidR="009C7069" w:rsidRPr="00B51FE0" w:rsidRDefault="00841D38" w:rsidP="005D00D5">
      <w:pPr>
        <w:autoSpaceDE w:val="0"/>
        <w:autoSpaceDN w:val="0"/>
        <w:adjustRightInd w:val="0"/>
        <w:spacing w:after="0"/>
      </w:pPr>
      <w:r w:rsidRPr="00B51FE0">
        <w:t xml:space="preserve">Le PO distingue trois types d'actions. </w:t>
      </w:r>
      <w:r w:rsidR="00B46C36" w:rsidRPr="00B51FE0">
        <w:t>Nous présentons</w:t>
      </w:r>
      <w:r w:rsidRPr="00B51FE0">
        <w:t xml:space="preserve"> ci-</w:t>
      </w:r>
      <w:r w:rsidR="00B46C36" w:rsidRPr="00B51FE0">
        <w:t>dessous</w:t>
      </w:r>
      <w:r w:rsidRPr="00B51FE0">
        <w:t xml:space="preserve"> un aperçu </w:t>
      </w:r>
      <w:r w:rsidR="00BC489D" w:rsidRPr="00B51FE0">
        <w:t>des opérations réalisées en 201</w:t>
      </w:r>
      <w:r w:rsidR="003C153D" w:rsidRPr="00B51FE0">
        <w:t>8</w:t>
      </w:r>
      <w:r w:rsidRPr="00B51FE0">
        <w:t>.</w:t>
      </w:r>
    </w:p>
    <w:p w14:paraId="24C356AD" w14:textId="77777777" w:rsidR="005D00D5" w:rsidRPr="00B51FE0" w:rsidRDefault="005D00D5" w:rsidP="005D00D5">
      <w:pPr>
        <w:autoSpaceDE w:val="0"/>
        <w:autoSpaceDN w:val="0"/>
        <w:adjustRightInd w:val="0"/>
        <w:spacing w:after="0"/>
      </w:pPr>
    </w:p>
    <w:p w14:paraId="6095C34B" w14:textId="77777777" w:rsidR="006B6327" w:rsidRPr="00B51FE0" w:rsidRDefault="00BC0251" w:rsidP="002666E5">
      <w:pPr>
        <w:pStyle w:val="Kop4"/>
        <w:numPr>
          <w:ilvl w:val="3"/>
          <w:numId w:val="1"/>
        </w:numPr>
        <w:spacing w:after="240" w:line="276" w:lineRule="auto"/>
      </w:pPr>
      <w:r w:rsidRPr="00B51FE0">
        <w:t>Achat de denrées alimentaires et d'articles via marché public européen et leur mise à la disposition des organisations partenaires</w:t>
      </w:r>
    </w:p>
    <w:p w14:paraId="7279752C" w14:textId="06321FCC" w:rsidR="00165104" w:rsidRPr="00A960CA" w:rsidRDefault="00165104" w:rsidP="00165104">
      <w:r w:rsidRPr="00B51FE0">
        <w:t>En 201</w:t>
      </w:r>
      <w:r w:rsidR="003C153D" w:rsidRPr="00B51FE0">
        <w:t>8</w:t>
      </w:r>
      <w:r w:rsidRPr="00B51FE0">
        <w:t xml:space="preserve">, l’appel d’offre pour l’achat de denrées alimentaires a porté sur un budget de </w:t>
      </w:r>
      <w:r w:rsidRPr="00B51FE0">
        <w:fldChar w:fldCharType="begin"/>
      </w:r>
      <w:r w:rsidRPr="00B51FE0">
        <w:instrText xml:space="preserve"> =SUM(ABOVE) </w:instrText>
      </w:r>
      <w:r w:rsidRPr="00B51FE0">
        <w:fldChar w:fldCharType="separate"/>
      </w:r>
      <w:r w:rsidRPr="00B51FE0">
        <w:t>€ 12.</w:t>
      </w:r>
      <w:r w:rsidRPr="00B51FE0">
        <w:fldChar w:fldCharType="end"/>
      </w:r>
      <w:r w:rsidR="00854ADB" w:rsidRPr="00B51FE0">
        <w:t>208.896,23</w:t>
      </w:r>
      <w:r w:rsidRPr="00B51FE0">
        <w:t xml:space="preserve"> (hors TVA) réparti sur 2</w:t>
      </w:r>
      <w:r w:rsidR="00854ADB" w:rsidRPr="00B51FE0">
        <w:t>0</w:t>
      </w:r>
      <w:r w:rsidRPr="00B51FE0">
        <w:t xml:space="preserve"> produits</w:t>
      </w:r>
      <w:r w:rsidR="00D563FF" w:rsidRPr="00B51FE0">
        <w:t xml:space="preserve"> </w:t>
      </w:r>
      <w:r w:rsidRPr="00B51FE0">
        <w:t xml:space="preserve">: lait demi écrémé, maquereaux à l’huile </w:t>
      </w:r>
      <w:r w:rsidR="00854ADB" w:rsidRPr="00B51FE0">
        <w:t>de tournesol</w:t>
      </w:r>
      <w:r w:rsidRPr="00B51FE0">
        <w:t>, salade de riz au thon issu de la pêche durable, farine de blé, café moulu 100 % arabica issu du commerce équitable, pâtes: spaghetti biologiques, pâtes</w:t>
      </w:r>
      <w:r w:rsidR="00854ADB" w:rsidRPr="00B51FE0">
        <w:t>: proposition libre</w:t>
      </w:r>
      <w:r w:rsidRPr="00B51FE0">
        <w:t xml:space="preserve">, riz, tomates pelées concassées en cubes, haricots verts entiers </w:t>
      </w:r>
      <w:r w:rsidRPr="00A960CA">
        <w:t xml:space="preserve">très fins, macédoine de légumes, haricots </w:t>
      </w:r>
      <w:r w:rsidR="00854ADB">
        <w:t>rouges</w:t>
      </w:r>
      <w:r w:rsidRPr="00A960CA">
        <w:t xml:space="preserve">, mousseline de pomme, fromage fondu à tartiner, confiture </w:t>
      </w:r>
      <w:r w:rsidR="00854ADB">
        <w:t>de fraises allégée en sucre</w:t>
      </w:r>
      <w:r w:rsidRPr="00A960CA">
        <w:t xml:space="preserve">, huile d’olive, chocolat noir issu du commerce équitable, </w:t>
      </w:r>
      <w:r w:rsidR="00854ADB">
        <w:t>muesli aux</w:t>
      </w:r>
      <w:r w:rsidRPr="00A960CA">
        <w:t xml:space="preserve"> fruits secs</w:t>
      </w:r>
      <w:r w:rsidR="00854ADB">
        <w:t>, poulet aux olives et citron, Boulettes à la sauce tomate</w:t>
      </w:r>
      <w:r w:rsidRPr="00A960CA">
        <w:t>.</w:t>
      </w:r>
    </w:p>
    <w:p w14:paraId="3890FF90" w14:textId="77777777" w:rsidR="00165104" w:rsidRPr="00A960CA" w:rsidRDefault="00165104" w:rsidP="00165104">
      <w:r w:rsidRPr="00A960CA">
        <w:t xml:space="preserve">Plus précisément le budget par produit était le suivant: </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954"/>
        <w:gridCol w:w="1842"/>
      </w:tblGrid>
      <w:tr w:rsidR="00854ADB" w:rsidRPr="00854ADB" w14:paraId="2A54D988" w14:textId="77777777" w:rsidTr="006257EF">
        <w:tc>
          <w:tcPr>
            <w:tcW w:w="1134" w:type="dxa"/>
            <w:shd w:val="clear" w:color="auto" w:fill="auto"/>
          </w:tcPr>
          <w:p w14:paraId="7457D1C8" w14:textId="77777777" w:rsidR="00854ADB" w:rsidRPr="00854ADB" w:rsidRDefault="00854ADB" w:rsidP="00854ADB">
            <w:pPr>
              <w:spacing w:after="0" w:line="240" w:lineRule="auto"/>
              <w:rPr>
                <w:rFonts w:ascii="Arial" w:eastAsia="Times New Roman" w:hAnsi="Arial" w:cs="Arial"/>
                <w:sz w:val="20"/>
                <w:szCs w:val="20"/>
                <w:lang w:val="fr-BE" w:eastAsia="nl-NL" w:bidi="ar-SA"/>
              </w:rPr>
            </w:pPr>
            <w:r w:rsidRPr="00854ADB">
              <w:rPr>
                <w:rFonts w:ascii="Arial" w:eastAsia="Times New Roman" w:hAnsi="Arial" w:cs="Arial"/>
                <w:sz w:val="20"/>
                <w:szCs w:val="20"/>
                <w:lang w:val="fr-BE" w:eastAsia="nl-NL" w:bidi="ar-SA"/>
              </w:rPr>
              <w:t>Lot 1:</w:t>
            </w:r>
          </w:p>
        </w:tc>
        <w:tc>
          <w:tcPr>
            <w:tcW w:w="5954" w:type="dxa"/>
            <w:shd w:val="clear" w:color="auto" w:fill="auto"/>
          </w:tcPr>
          <w:p w14:paraId="6817D094" w14:textId="77777777" w:rsidR="00854ADB" w:rsidRPr="00854ADB" w:rsidRDefault="00854ADB" w:rsidP="00854ADB">
            <w:pPr>
              <w:spacing w:after="0" w:line="240" w:lineRule="auto"/>
              <w:rPr>
                <w:rFonts w:ascii="Arial" w:eastAsia="Times New Roman" w:hAnsi="Arial" w:cs="Arial"/>
                <w:sz w:val="20"/>
                <w:szCs w:val="20"/>
                <w:lang w:val="fr-BE" w:eastAsia="nl-NL" w:bidi="ar-SA"/>
              </w:rPr>
            </w:pPr>
            <w:r w:rsidRPr="00854ADB">
              <w:rPr>
                <w:rFonts w:ascii="Arial" w:eastAsia="Times New Roman" w:hAnsi="Arial" w:cs="Arial"/>
                <w:sz w:val="20"/>
                <w:szCs w:val="20"/>
                <w:lang w:val="fr-BE" w:eastAsia="nl-NL" w:bidi="ar-SA"/>
              </w:rPr>
              <w:t>Lait demi-écrémé UHT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74A99F65" w14:textId="77777777" w:rsidR="00854ADB" w:rsidRPr="00854ADB" w:rsidRDefault="00854ADB" w:rsidP="00854ADB">
            <w:pPr>
              <w:spacing w:after="0" w:line="240" w:lineRule="auto"/>
              <w:jc w:val="right"/>
              <w:rPr>
                <w:rFonts w:ascii="Arial" w:eastAsia="Times New Roman" w:hAnsi="Arial" w:cs="Arial"/>
                <w:b/>
                <w:bCs/>
                <w:sz w:val="22"/>
                <w:lang w:val="en-US" w:eastAsia="en-US" w:bidi="ar-SA"/>
              </w:rPr>
            </w:pPr>
            <w:r w:rsidRPr="00854ADB">
              <w:rPr>
                <w:rFonts w:ascii="Arial" w:eastAsia="Times New Roman" w:hAnsi="Arial" w:cs="Arial"/>
                <w:sz w:val="22"/>
                <w:lang w:val="fr-BE" w:eastAsia="nl-NL" w:bidi="ar-SA"/>
              </w:rPr>
              <w:t xml:space="preserve">€ 2.000.000,00 </w:t>
            </w:r>
          </w:p>
        </w:tc>
      </w:tr>
      <w:tr w:rsidR="00854ADB" w:rsidRPr="00854ADB" w14:paraId="4030F22D" w14:textId="77777777" w:rsidTr="006257EF">
        <w:trPr>
          <w:trHeight w:val="63"/>
        </w:trPr>
        <w:tc>
          <w:tcPr>
            <w:tcW w:w="1134" w:type="dxa"/>
            <w:shd w:val="clear" w:color="auto" w:fill="auto"/>
          </w:tcPr>
          <w:p w14:paraId="142A095B" w14:textId="77777777" w:rsidR="00854ADB" w:rsidRPr="00854ADB" w:rsidRDefault="00854ADB" w:rsidP="00854ADB">
            <w:pPr>
              <w:spacing w:after="0" w:line="240" w:lineRule="auto"/>
              <w:rPr>
                <w:rFonts w:ascii="Arial" w:eastAsia="Times New Roman" w:hAnsi="Arial" w:cs="Arial"/>
                <w:sz w:val="20"/>
                <w:szCs w:val="20"/>
                <w:lang w:val="fr-BE" w:eastAsia="nl-NL" w:bidi="ar-SA"/>
              </w:rPr>
            </w:pPr>
            <w:r w:rsidRPr="00854ADB">
              <w:rPr>
                <w:rFonts w:ascii="Arial" w:eastAsia="Times New Roman" w:hAnsi="Arial" w:cs="Arial"/>
                <w:sz w:val="20"/>
                <w:szCs w:val="20"/>
                <w:lang w:val="fr-BE" w:eastAsia="nl-NL" w:bidi="ar-SA"/>
              </w:rPr>
              <w:t>Lot 2:</w:t>
            </w:r>
          </w:p>
        </w:tc>
        <w:tc>
          <w:tcPr>
            <w:tcW w:w="5954" w:type="dxa"/>
            <w:shd w:val="clear" w:color="auto" w:fill="auto"/>
          </w:tcPr>
          <w:p w14:paraId="2BB59E75" w14:textId="77777777" w:rsidR="00854ADB" w:rsidRPr="00854ADB" w:rsidRDefault="00854ADB" w:rsidP="00854ADB">
            <w:pPr>
              <w:spacing w:after="0" w:line="240" w:lineRule="auto"/>
              <w:rPr>
                <w:rFonts w:ascii="Arial" w:eastAsia="Times New Roman" w:hAnsi="Arial" w:cs="Arial"/>
                <w:sz w:val="20"/>
                <w:szCs w:val="20"/>
                <w:lang w:val="fr-BE" w:eastAsia="nl-NL" w:bidi="ar-SA"/>
              </w:rPr>
            </w:pPr>
            <w:r w:rsidRPr="00854ADB">
              <w:rPr>
                <w:rFonts w:ascii="Arial" w:eastAsia="Times New Roman" w:hAnsi="Arial" w:cs="Arial"/>
                <w:sz w:val="20"/>
                <w:szCs w:val="20"/>
                <w:lang w:val="fr-BE" w:eastAsia="nl-NL" w:bidi="ar-SA"/>
              </w:rPr>
              <w:t>Maquereaux</w:t>
            </w:r>
            <w:r w:rsidRPr="00854ADB">
              <w:rPr>
                <w:rFonts w:ascii="Arial" w:eastAsia="Times New Roman" w:hAnsi="Arial" w:cs="Arial"/>
                <w:b/>
                <w:sz w:val="22"/>
                <w:lang w:val="fr-BE" w:eastAsia="nl-NL" w:bidi="ar-SA"/>
              </w:rPr>
              <w:t xml:space="preserve"> </w:t>
            </w:r>
            <w:r w:rsidRPr="00854ADB">
              <w:rPr>
                <w:rFonts w:ascii="Arial" w:eastAsia="Times New Roman" w:hAnsi="Arial" w:cs="Arial"/>
                <w:sz w:val="20"/>
                <w:szCs w:val="20"/>
                <w:lang w:val="fr-BE" w:eastAsia="nl-NL" w:bidi="ar-SA"/>
              </w:rPr>
              <w:t>à l’huile de tournesol</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718CC365" w14:textId="77777777" w:rsidR="00854ADB" w:rsidRPr="00854ADB" w:rsidRDefault="00854ADB" w:rsidP="00854ADB">
            <w:pPr>
              <w:spacing w:after="0" w:line="240" w:lineRule="auto"/>
              <w:jc w:val="right"/>
              <w:rPr>
                <w:rFonts w:ascii="Arial" w:eastAsia="Times New Roman" w:hAnsi="Arial" w:cs="Arial"/>
                <w:b/>
                <w:bCs/>
                <w:sz w:val="22"/>
                <w:lang w:val="fr-BE" w:eastAsia="nl-NL" w:bidi="ar-SA"/>
              </w:rPr>
            </w:pPr>
            <w:r w:rsidRPr="00854ADB">
              <w:rPr>
                <w:rFonts w:ascii="Arial" w:eastAsia="Times New Roman" w:hAnsi="Arial" w:cs="Arial"/>
                <w:sz w:val="22"/>
                <w:lang w:val="fr-BE" w:eastAsia="nl-NL" w:bidi="ar-SA"/>
              </w:rPr>
              <w:t>€ 1.000.000,00</w:t>
            </w:r>
          </w:p>
        </w:tc>
      </w:tr>
      <w:tr w:rsidR="00854ADB" w:rsidRPr="00854ADB" w14:paraId="3944CEB9" w14:textId="77777777" w:rsidTr="006257EF">
        <w:trPr>
          <w:trHeight w:val="63"/>
        </w:trPr>
        <w:tc>
          <w:tcPr>
            <w:tcW w:w="1134" w:type="dxa"/>
            <w:shd w:val="clear" w:color="auto" w:fill="auto"/>
          </w:tcPr>
          <w:p w14:paraId="30C7852F" w14:textId="77777777" w:rsidR="00854ADB" w:rsidRPr="00854ADB" w:rsidRDefault="00854ADB" w:rsidP="00854ADB">
            <w:pPr>
              <w:spacing w:after="0" w:line="240" w:lineRule="auto"/>
              <w:rPr>
                <w:rFonts w:ascii="Arial" w:eastAsia="Times New Roman" w:hAnsi="Arial" w:cs="Arial"/>
                <w:sz w:val="20"/>
                <w:szCs w:val="20"/>
                <w:lang w:val="fr-BE" w:eastAsia="nl-NL" w:bidi="ar-SA"/>
              </w:rPr>
            </w:pPr>
            <w:r w:rsidRPr="00854ADB">
              <w:rPr>
                <w:rFonts w:ascii="Arial" w:eastAsia="Times New Roman" w:hAnsi="Arial" w:cs="Arial"/>
                <w:sz w:val="20"/>
                <w:szCs w:val="20"/>
                <w:lang w:val="fr-BE" w:eastAsia="nl-NL" w:bidi="ar-SA"/>
              </w:rPr>
              <w:t>Lot 3:</w:t>
            </w:r>
          </w:p>
        </w:tc>
        <w:tc>
          <w:tcPr>
            <w:tcW w:w="5954" w:type="dxa"/>
            <w:shd w:val="clear" w:color="auto" w:fill="auto"/>
          </w:tcPr>
          <w:p w14:paraId="714D37EF" w14:textId="77777777" w:rsidR="00854ADB" w:rsidRPr="00854ADB" w:rsidRDefault="00854ADB" w:rsidP="00854ADB">
            <w:pPr>
              <w:spacing w:after="0" w:line="240" w:lineRule="auto"/>
              <w:rPr>
                <w:rFonts w:ascii="Arial" w:eastAsia="Times New Roman" w:hAnsi="Arial" w:cs="Arial"/>
                <w:sz w:val="20"/>
                <w:szCs w:val="20"/>
                <w:lang w:val="fr-BE" w:eastAsia="nl-NL" w:bidi="ar-SA"/>
              </w:rPr>
            </w:pPr>
            <w:r w:rsidRPr="00854ADB">
              <w:rPr>
                <w:rFonts w:ascii="Arial" w:eastAsia="Times New Roman" w:hAnsi="Arial" w:cs="Arial"/>
                <w:sz w:val="20"/>
                <w:szCs w:val="20"/>
                <w:lang w:val="fr-BE" w:eastAsia="nl-NL" w:bidi="ar-SA"/>
              </w:rPr>
              <w:t>Salade de riz au thon issu de la pêche durable</w:t>
            </w:r>
          </w:p>
        </w:tc>
        <w:tc>
          <w:tcPr>
            <w:tcW w:w="1842" w:type="dxa"/>
            <w:tcBorders>
              <w:top w:val="nil"/>
              <w:left w:val="single" w:sz="4" w:space="0" w:color="auto"/>
              <w:bottom w:val="single" w:sz="4" w:space="0" w:color="auto"/>
              <w:right w:val="single" w:sz="4" w:space="0" w:color="auto"/>
            </w:tcBorders>
            <w:shd w:val="clear" w:color="auto" w:fill="auto"/>
            <w:vAlign w:val="bottom"/>
          </w:tcPr>
          <w:p w14:paraId="3A67C030" w14:textId="77777777" w:rsidR="00854ADB" w:rsidRPr="00854ADB" w:rsidRDefault="00854ADB" w:rsidP="00854ADB">
            <w:pPr>
              <w:spacing w:after="0" w:line="240" w:lineRule="auto"/>
              <w:jc w:val="right"/>
              <w:rPr>
                <w:rFonts w:ascii="Arial" w:eastAsia="Times New Roman" w:hAnsi="Arial" w:cs="Arial"/>
                <w:b/>
                <w:bCs/>
                <w:sz w:val="22"/>
                <w:lang w:val="fr-BE" w:eastAsia="nl-NL" w:bidi="ar-SA"/>
              </w:rPr>
            </w:pPr>
            <w:r w:rsidRPr="00854ADB">
              <w:rPr>
                <w:rFonts w:ascii="Arial" w:eastAsia="Times New Roman" w:hAnsi="Arial" w:cs="Arial"/>
                <w:sz w:val="22"/>
                <w:lang w:val="fr-BE" w:eastAsia="nl-NL" w:bidi="ar-SA"/>
              </w:rPr>
              <w:t>€ 845.283,02</w:t>
            </w:r>
          </w:p>
        </w:tc>
      </w:tr>
      <w:tr w:rsidR="00854ADB" w:rsidRPr="00854ADB" w14:paraId="748E87C9" w14:textId="77777777" w:rsidTr="006257EF">
        <w:trPr>
          <w:trHeight w:val="63"/>
        </w:trPr>
        <w:tc>
          <w:tcPr>
            <w:tcW w:w="1134" w:type="dxa"/>
            <w:shd w:val="clear" w:color="auto" w:fill="auto"/>
          </w:tcPr>
          <w:p w14:paraId="1FBB6E85" w14:textId="77777777" w:rsidR="00854ADB" w:rsidRPr="00854ADB" w:rsidRDefault="00854ADB" w:rsidP="00854ADB">
            <w:pPr>
              <w:spacing w:after="0" w:line="240" w:lineRule="auto"/>
              <w:rPr>
                <w:rFonts w:ascii="Arial" w:eastAsia="Times New Roman" w:hAnsi="Arial" w:cs="Arial"/>
                <w:sz w:val="20"/>
                <w:szCs w:val="20"/>
                <w:lang w:val="fr-BE" w:eastAsia="nl-NL" w:bidi="ar-SA"/>
              </w:rPr>
            </w:pPr>
            <w:r w:rsidRPr="00854ADB">
              <w:rPr>
                <w:rFonts w:ascii="Arial" w:eastAsia="Times New Roman" w:hAnsi="Arial" w:cs="Arial"/>
                <w:sz w:val="20"/>
                <w:szCs w:val="20"/>
                <w:lang w:val="fr-BE" w:eastAsia="nl-NL" w:bidi="ar-SA"/>
              </w:rPr>
              <w:t>Lot 4:</w:t>
            </w:r>
          </w:p>
        </w:tc>
        <w:tc>
          <w:tcPr>
            <w:tcW w:w="5954" w:type="dxa"/>
            <w:shd w:val="clear" w:color="auto" w:fill="auto"/>
          </w:tcPr>
          <w:p w14:paraId="748B9996" w14:textId="77777777" w:rsidR="00854ADB" w:rsidRPr="00854ADB" w:rsidRDefault="00854ADB" w:rsidP="00854ADB">
            <w:pPr>
              <w:spacing w:after="0" w:line="240" w:lineRule="auto"/>
              <w:rPr>
                <w:rFonts w:ascii="Arial" w:eastAsia="Times New Roman" w:hAnsi="Arial" w:cs="Arial"/>
                <w:sz w:val="20"/>
                <w:szCs w:val="20"/>
                <w:lang w:val="fr-BE" w:eastAsia="nl-NL" w:bidi="ar-SA"/>
              </w:rPr>
            </w:pPr>
            <w:r w:rsidRPr="00854ADB">
              <w:rPr>
                <w:rFonts w:ascii="Arial" w:eastAsia="Times New Roman" w:hAnsi="Arial" w:cs="Arial"/>
                <w:sz w:val="20"/>
                <w:szCs w:val="20"/>
                <w:lang w:val="fr-BE" w:eastAsia="nl-NL" w:bidi="ar-SA"/>
              </w:rPr>
              <w:t>Farine de blé</w:t>
            </w:r>
          </w:p>
        </w:tc>
        <w:tc>
          <w:tcPr>
            <w:tcW w:w="1842" w:type="dxa"/>
            <w:tcBorders>
              <w:top w:val="nil"/>
              <w:left w:val="single" w:sz="4" w:space="0" w:color="auto"/>
              <w:bottom w:val="single" w:sz="4" w:space="0" w:color="auto"/>
              <w:right w:val="single" w:sz="4" w:space="0" w:color="auto"/>
            </w:tcBorders>
            <w:shd w:val="clear" w:color="auto" w:fill="auto"/>
            <w:vAlign w:val="bottom"/>
          </w:tcPr>
          <w:p w14:paraId="2A901551" w14:textId="77777777" w:rsidR="00854ADB" w:rsidRPr="00854ADB" w:rsidRDefault="00854ADB" w:rsidP="00854ADB">
            <w:pPr>
              <w:spacing w:after="0" w:line="240" w:lineRule="auto"/>
              <w:jc w:val="right"/>
              <w:rPr>
                <w:rFonts w:ascii="Arial" w:eastAsia="Times New Roman" w:hAnsi="Arial" w:cs="Arial"/>
                <w:b/>
                <w:bCs/>
                <w:sz w:val="22"/>
                <w:lang w:val="fr-BE" w:eastAsia="nl-NL" w:bidi="ar-SA"/>
              </w:rPr>
            </w:pPr>
            <w:r w:rsidRPr="00854ADB">
              <w:rPr>
                <w:rFonts w:ascii="Arial" w:eastAsia="Times New Roman" w:hAnsi="Arial" w:cs="Arial"/>
                <w:sz w:val="22"/>
                <w:lang w:val="fr-BE" w:eastAsia="nl-NL" w:bidi="ar-SA"/>
              </w:rPr>
              <w:t>€ 350.000,00</w:t>
            </w:r>
          </w:p>
        </w:tc>
      </w:tr>
      <w:tr w:rsidR="00854ADB" w:rsidRPr="00854ADB" w14:paraId="0D01514D" w14:textId="77777777" w:rsidTr="006257EF">
        <w:trPr>
          <w:trHeight w:val="63"/>
        </w:trPr>
        <w:tc>
          <w:tcPr>
            <w:tcW w:w="1134" w:type="dxa"/>
            <w:shd w:val="clear" w:color="auto" w:fill="auto"/>
          </w:tcPr>
          <w:p w14:paraId="1AFC0F2D" w14:textId="77777777" w:rsidR="00854ADB" w:rsidRPr="00854ADB" w:rsidRDefault="00854ADB" w:rsidP="00854ADB">
            <w:pPr>
              <w:spacing w:after="0" w:line="240" w:lineRule="auto"/>
              <w:rPr>
                <w:rFonts w:ascii="Arial" w:eastAsia="Times New Roman" w:hAnsi="Arial" w:cs="Arial"/>
                <w:sz w:val="20"/>
                <w:szCs w:val="20"/>
                <w:lang w:val="fr-BE" w:eastAsia="nl-NL" w:bidi="ar-SA"/>
              </w:rPr>
            </w:pPr>
            <w:r w:rsidRPr="00854ADB">
              <w:rPr>
                <w:rFonts w:ascii="Arial" w:eastAsia="Times New Roman" w:hAnsi="Arial" w:cs="Arial"/>
                <w:sz w:val="20"/>
                <w:szCs w:val="20"/>
                <w:lang w:val="fr-BE" w:eastAsia="nl-NL" w:bidi="ar-SA"/>
              </w:rPr>
              <w:t>Lot 5:</w:t>
            </w:r>
          </w:p>
        </w:tc>
        <w:tc>
          <w:tcPr>
            <w:tcW w:w="5954" w:type="dxa"/>
            <w:shd w:val="clear" w:color="auto" w:fill="auto"/>
          </w:tcPr>
          <w:p w14:paraId="52DEED37" w14:textId="77777777" w:rsidR="00854ADB" w:rsidRPr="00854ADB" w:rsidRDefault="00854ADB" w:rsidP="00854ADB">
            <w:pPr>
              <w:spacing w:after="0" w:line="240" w:lineRule="auto"/>
              <w:rPr>
                <w:rFonts w:ascii="Arial" w:eastAsia="Times New Roman" w:hAnsi="Arial" w:cs="Arial"/>
                <w:sz w:val="20"/>
                <w:szCs w:val="20"/>
                <w:lang w:val="fr-BE" w:eastAsia="nl-NL" w:bidi="ar-SA"/>
              </w:rPr>
            </w:pPr>
            <w:r w:rsidRPr="00854ADB">
              <w:rPr>
                <w:rFonts w:ascii="Arial" w:eastAsia="Times New Roman" w:hAnsi="Arial" w:cs="Arial"/>
                <w:sz w:val="20"/>
                <w:szCs w:val="20"/>
                <w:lang w:val="fr-BE" w:eastAsia="nl-NL" w:bidi="ar-SA"/>
              </w:rPr>
              <w:t>Café moulu 100% arabica issu du commerce équitable</w:t>
            </w:r>
          </w:p>
        </w:tc>
        <w:tc>
          <w:tcPr>
            <w:tcW w:w="1842" w:type="dxa"/>
            <w:tcBorders>
              <w:top w:val="nil"/>
              <w:left w:val="single" w:sz="4" w:space="0" w:color="auto"/>
              <w:bottom w:val="single" w:sz="4" w:space="0" w:color="auto"/>
              <w:right w:val="single" w:sz="4" w:space="0" w:color="auto"/>
            </w:tcBorders>
            <w:shd w:val="clear" w:color="auto" w:fill="auto"/>
            <w:vAlign w:val="bottom"/>
          </w:tcPr>
          <w:p w14:paraId="4D3F35D7" w14:textId="77777777" w:rsidR="00854ADB" w:rsidRPr="00854ADB" w:rsidRDefault="00854ADB" w:rsidP="00854ADB">
            <w:pPr>
              <w:spacing w:after="0" w:line="240" w:lineRule="auto"/>
              <w:jc w:val="right"/>
              <w:rPr>
                <w:rFonts w:ascii="Arial" w:eastAsia="Times New Roman" w:hAnsi="Arial" w:cs="Arial"/>
                <w:b/>
                <w:bCs/>
                <w:color w:val="000000"/>
                <w:sz w:val="22"/>
                <w:lang w:val="fr-BE" w:eastAsia="nl-NL" w:bidi="ar-SA"/>
              </w:rPr>
            </w:pPr>
            <w:r w:rsidRPr="00854ADB">
              <w:rPr>
                <w:rFonts w:ascii="Arial" w:eastAsia="Times New Roman" w:hAnsi="Arial" w:cs="Arial"/>
                <w:color w:val="000000"/>
                <w:sz w:val="22"/>
                <w:lang w:val="fr-BE" w:eastAsia="nl-NL" w:bidi="ar-SA"/>
              </w:rPr>
              <w:t>€ 800.000,00</w:t>
            </w:r>
          </w:p>
        </w:tc>
      </w:tr>
      <w:tr w:rsidR="00854ADB" w:rsidRPr="00854ADB" w14:paraId="3C35E227" w14:textId="77777777" w:rsidTr="006257EF">
        <w:trPr>
          <w:trHeight w:val="63"/>
        </w:trPr>
        <w:tc>
          <w:tcPr>
            <w:tcW w:w="1134" w:type="dxa"/>
            <w:shd w:val="clear" w:color="auto" w:fill="auto"/>
          </w:tcPr>
          <w:p w14:paraId="0698A26F" w14:textId="77777777" w:rsidR="00854ADB" w:rsidRPr="00854ADB" w:rsidRDefault="00854ADB" w:rsidP="00854ADB">
            <w:pPr>
              <w:spacing w:after="0" w:line="240" w:lineRule="auto"/>
              <w:rPr>
                <w:rFonts w:ascii="Arial" w:eastAsia="Times New Roman" w:hAnsi="Arial" w:cs="Arial"/>
                <w:sz w:val="20"/>
                <w:szCs w:val="20"/>
                <w:lang w:val="fr-BE" w:eastAsia="nl-NL" w:bidi="ar-SA"/>
              </w:rPr>
            </w:pPr>
            <w:r w:rsidRPr="00854ADB">
              <w:rPr>
                <w:rFonts w:ascii="Arial" w:eastAsia="Times New Roman" w:hAnsi="Arial" w:cs="Arial"/>
                <w:sz w:val="20"/>
                <w:szCs w:val="20"/>
                <w:lang w:val="fr-BE" w:eastAsia="nl-NL" w:bidi="ar-SA"/>
              </w:rPr>
              <w:t>Lot 6:</w:t>
            </w:r>
          </w:p>
        </w:tc>
        <w:tc>
          <w:tcPr>
            <w:tcW w:w="5954" w:type="dxa"/>
            <w:shd w:val="clear" w:color="auto" w:fill="auto"/>
          </w:tcPr>
          <w:p w14:paraId="289C3D4A" w14:textId="77777777" w:rsidR="00854ADB" w:rsidRPr="00854ADB" w:rsidRDefault="00854ADB" w:rsidP="00854ADB">
            <w:pPr>
              <w:spacing w:after="0" w:line="240" w:lineRule="auto"/>
              <w:rPr>
                <w:rFonts w:ascii="Arial" w:eastAsia="Times New Roman" w:hAnsi="Arial" w:cs="Arial"/>
                <w:sz w:val="20"/>
                <w:szCs w:val="20"/>
                <w:lang w:val="fr-BE" w:eastAsia="nl-NL" w:bidi="ar-SA"/>
              </w:rPr>
            </w:pPr>
            <w:r w:rsidRPr="00854ADB">
              <w:rPr>
                <w:rFonts w:ascii="Arial" w:eastAsia="Times New Roman" w:hAnsi="Arial" w:cs="Arial"/>
                <w:sz w:val="20"/>
                <w:szCs w:val="20"/>
                <w:lang w:val="fr-BE" w:eastAsia="nl-NL" w:bidi="ar-SA"/>
              </w:rPr>
              <w:t>Pâtes: spaghetti biologiques</w:t>
            </w:r>
          </w:p>
        </w:tc>
        <w:tc>
          <w:tcPr>
            <w:tcW w:w="1842" w:type="dxa"/>
            <w:tcBorders>
              <w:top w:val="nil"/>
              <w:left w:val="single" w:sz="4" w:space="0" w:color="auto"/>
              <w:bottom w:val="single" w:sz="4" w:space="0" w:color="auto"/>
              <w:right w:val="single" w:sz="4" w:space="0" w:color="auto"/>
            </w:tcBorders>
            <w:shd w:val="clear" w:color="auto" w:fill="auto"/>
            <w:vAlign w:val="bottom"/>
          </w:tcPr>
          <w:p w14:paraId="0CE805DF" w14:textId="77777777" w:rsidR="00854ADB" w:rsidRPr="00854ADB" w:rsidRDefault="00854ADB" w:rsidP="00854ADB">
            <w:pPr>
              <w:spacing w:after="0" w:line="240" w:lineRule="auto"/>
              <w:jc w:val="right"/>
              <w:rPr>
                <w:rFonts w:ascii="Arial" w:eastAsia="Times New Roman" w:hAnsi="Arial" w:cs="Arial"/>
                <w:b/>
                <w:bCs/>
                <w:color w:val="000000"/>
                <w:sz w:val="22"/>
                <w:lang w:val="fr-BE" w:eastAsia="nl-NL" w:bidi="ar-SA"/>
              </w:rPr>
            </w:pPr>
            <w:r w:rsidRPr="00854ADB">
              <w:rPr>
                <w:rFonts w:ascii="Arial" w:eastAsia="Times New Roman" w:hAnsi="Arial" w:cs="Arial"/>
                <w:color w:val="000000"/>
                <w:sz w:val="22"/>
                <w:lang w:val="fr-BE" w:eastAsia="nl-NL" w:bidi="ar-SA"/>
              </w:rPr>
              <w:t>€ 550.000,00</w:t>
            </w:r>
          </w:p>
        </w:tc>
      </w:tr>
      <w:tr w:rsidR="00854ADB" w:rsidRPr="00854ADB" w14:paraId="46053EF0" w14:textId="77777777" w:rsidTr="006257EF">
        <w:trPr>
          <w:trHeight w:val="63"/>
        </w:trPr>
        <w:tc>
          <w:tcPr>
            <w:tcW w:w="1134" w:type="dxa"/>
            <w:shd w:val="clear" w:color="auto" w:fill="auto"/>
          </w:tcPr>
          <w:p w14:paraId="7A31B719" w14:textId="77777777" w:rsidR="00854ADB" w:rsidRPr="00854ADB" w:rsidRDefault="00854ADB" w:rsidP="00854ADB">
            <w:pPr>
              <w:spacing w:after="0" w:line="240" w:lineRule="auto"/>
              <w:rPr>
                <w:rFonts w:ascii="Arial" w:eastAsia="Times New Roman" w:hAnsi="Arial" w:cs="Arial"/>
                <w:sz w:val="20"/>
                <w:szCs w:val="20"/>
                <w:lang w:val="fr-BE" w:eastAsia="nl-NL" w:bidi="ar-SA"/>
              </w:rPr>
            </w:pPr>
            <w:r w:rsidRPr="00854ADB">
              <w:rPr>
                <w:rFonts w:ascii="Arial" w:eastAsia="Times New Roman" w:hAnsi="Arial" w:cs="Arial"/>
                <w:sz w:val="20"/>
                <w:szCs w:val="20"/>
                <w:lang w:val="fr-BE" w:eastAsia="nl-NL" w:bidi="ar-SA"/>
              </w:rPr>
              <w:t>Lot 7:</w:t>
            </w:r>
          </w:p>
        </w:tc>
        <w:tc>
          <w:tcPr>
            <w:tcW w:w="5954" w:type="dxa"/>
            <w:shd w:val="clear" w:color="auto" w:fill="auto"/>
          </w:tcPr>
          <w:p w14:paraId="604A3E7B" w14:textId="77777777" w:rsidR="00854ADB" w:rsidRPr="00854ADB" w:rsidRDefault="00854ADB" w:rsidP="00854ADB">
            <w:pPr>
              <w:spacing w:after="0" w:line="240" w:lineRule="auto"/>
              <w:rPr>
                <w:rFonts w:ascii="Arial" w:eastAsia="Times New Roman" w:hAnsi="Arial" w:cs="Arial"/>
                <w:sz w:val="20"/>
                <w:szCs w:val="20"/>
                <w:lang w:val="fr-BE" w:eastAsia="nl-NL" w:bidi="ar-SA"/>
              </w:rPr>
            </w:pPr>
            <w:r w:rsidRPr="00854ADB">
              <w:rPr>
                <w:rFonts w:ascii="Arial" w:eastAsia="Times New Roman" w:hAnsi="Arial" w:cs="Arial"/>
                <w:sz w:val="20"/>
                <w:szCs w:val="20"/>
                <w:lang w:val="fr-BE" w:eastAsia="nl-NL" w:bidi="ar-SA"/>
              </w:rPr>
              <w:t>Pâtes: proposition libre</w:t>
            </w:r>
          </w:p>
        </w:tc>
        <w:tc>
          <w:tcPr>
            <w:tcW w:w="1842" w:type="dxa"/>
            <w:tcBorders>
              <w:top w:val="nil"/>
              <w:left w:val="single" w:sz="4" w:space="0" w:color="auto"/>
              <w:bottom w:val="single" w:sz="4" w:space="0" w:color="auto"/>
              <w:right w:val="single" w:sz="4" w:space="0" w:color="auto"/>
            </w:tcBorders>
            <w:shd w:val="clear" w:color="auto" w:fill="auto"/>
            <w:vAlign w:val="bottom"/>
          </w:tcPr>
          <w:p w14:paraId="1B4BCD07" w14:textId="77777777" w:rsidR="00854ADB" w:rsidRPr="00854ADB" w:rsidRDefault="00854ADB" w:rsidP="00854ADB">
            <w:pPr>
              <w:spacing w:after="0" w:line="240" w:lineRule="auto"/>
              <w:jc w:val="right"/>
              <w:rPr>
                <w:rFonts w:ascii="Arial" w:eastAsia="Times New Roman" w:hAnsi="Arial" w:cs="Arial"/>
                <w:b/>
                <w:bCs/>
                <w:color w:val="000000"/>
                <w:sz w:val="22"/>
                <w:lang w:val="fr-BE" w:eastAsia="nl-NL" w:bidi="ar-SA"/>
              </w:rPr>
            </w:pPr>
            <w:r w:rsidRPr="00854ADB">
              <w:rPr>
                <w:rFonts w:ascii="Arial" w:eastAsia="Times New Roman" w:hAnsi="Arial" w:cs="Arial"/>
                <w:color w:val="000000"/>
                <w:sz w:val="22"/>
                <w:lang w:val="fr-BE" w:eastAsia="nl-NL" w:bidi="ar-SA"/>
              </w:rPr>
              <w:t>€ 500.000,00</w:t>
            </w:r>
          </w:p>
        </w:tc>
      </w:tr>
      <w:tr w:rsidR="00854ADB" w:rsidRPr="00854ADB" w14:paraId="0B4B54EF" w14:textId="77777777" w:rsidTr="006257EF">
        <w:trPr>
          <w:trHeight w:val="63"/>
        </w:trPr>
        <w:tc>
          <w:tcPr>
            <w:tcW w:w="1134" w:type="dxa"/>
            <w:shd w:val="clear" w:color="auto" w:fill="auto"/>
          </w:tcPr>
          <w:p w14:paraId="524C5C45" w14:textId="77777777" w:rsidR="00854ADB" w:rsidRPr="00854ADB" w:rsidRDefault="00854ADB" w:rsidP="00854ADB">
            <w:pPr>
              <w:spacing w:after="0" w:line="240" w:lineRule="auto"/>
              <w:rPr>
                <w:rFonts w:ascii="Arial" w:eastAsia="Times New Roman" w:hAnsi="Arial" w:cs="Arial"/>
                <w:sz w:val="20"/>
                <w:szCs w:val="20"/>
                <w:lang w:val="fr-BE" w:eastAsia="nl-NL" w:bidi="ar-SA"/>
              </w:rPr>
            </w:pPr>
            <w:r w:rsidRPr="00854ADB">
              <w:rPr>
                <w:rFonts w:ascii="Arial" w:eastAsia="Times New Roman" w:hAnsi="Arial" w:cs="Arial"/>
                <w:sz w:val="20"/>
                <w:szCs w:val="20"/>
                <w:lang w:val="fr-BE" w:eastAsia="nl-NL" w:bidi="ar-SA"/>
              </w:rPr>
              <w:t>Lot 8 :</w:t>
            </w:r>
          </w:p>
        </w:tc>
        <w:tc>
          <w:tcPr>
            <w:tcW w:w="5954" w:type="dxa"/>
            <w:shd w:val="clear" w:color="auto" w:fill="auto"/>
          </w:tcPr>
          <w:p w14:paraId="567CB029" w14:textId="77777777" w:rsidR="00854ADB" w:rsidRPr="00854ADB" w:rsidRDefault="00854ADB" w:rsidP="00854ADB">
            <w:pPr>
              <w:spacing w:after="0" w:line="240" w:lineRule="auto"/>
              <w:rPr>
                <w:rFonts w:ascii="Arial" w:eastAsia="Times New Roman" w:hAnsi="Arial" w:cs="Arial"/>
                <w:sz w:val="20"/>
                <w:szCs w:val="20"/>
                <w:lang w:val="fr-BE" w:eastAsia="nl-NL" w:bidi="ar-SA"/>
              </w:rPr>
            </w:pPr>
            <w:r w:rsidRPr="00854ADB">
              <w:rPr>
                <w:rFonts w:ascii="Arial" w:eastAsia="Times New Roman" w:hAnsi="Arial" w:cs="Arial"/>
                <w:sz w:val="20"/>
                <w:szCs w:val="20"/>
                <w:lang w:val="fr-BE" w:eastAsia="nl-NL" w:bidi="ar-SA"/>
              </w:rPr>
              <w:t>Riz</w:t>
            </w:r>
          </w:p>
        </w:tc>
        <w:tc>
          <w:tcPr>
            <w:tcW w:w="1842" w:type="dxa"/>
            <w:tcBorders>
              <w:top w:val="nil"/>
              <w:left w:val="single" w:sz="4" w:space="0" w:color="auto"/>
              <w:bottom w:val="single" w:sz="4" w:space="0" w:color="auto"/>
              <w:right w:val="single" w:sz="4" w:space="0" w:color="auto"/>
            </w:tcBorders>
            <w:shd w:val="clear" w:color="auto" w:fill="auto"/>
            <w:vAlign w:val="bottom"/>
          </w:tcPr>
          <w:p w14:paraId="087F00B8" w14:textId="77777777" w:rsidR="00854ADB" w:rsidRPr="00854ADB" w:rsidRDefault="00854ADB" w:rsidP="00854ADB">
            <w:pPr>
              <w:spacing w:after="0" w:line="240" w:lineRule="auto"/>
              <w:jc w:val="right"/>
              <w:rPr>
                <w:rFonts w:ascii="Arial" w:eastAsia="Times New Roman" w:hAnsi="Arial" w:cs="Arial"/>
                <w:b/>
                <w:bCs/>
                <w:color w:val="000000"/>
                <w:sz w:val="22"/>
                <w:lang w:val="fr-BE" w:eastAsia="nl-NL" w:bidi="ar-SA"/>
              </w:rPr>
            </w:pPr>
            <w:r w:rsidRPr="00854ADB">
              <w:rPr>
                <w:rFonts w:ascii="Arial" w:eastAsia="Times New Roman" w:hAnsi="Arial" w:cs="Arial"/>
                <w:color w:val="000000"/>
                <w:sz w:val="22"/>
                <w:lang w:val="fr-BE" w:eastAsia="nl-NL" w:bidi="ar-SA"/>
              </w:rPr>
              <w:t>€ 600.000,00</w:t>
            </w:r>
          </w:p>
        </w:tc>
      </w:tr>
      <w:tr w:rsidR="00854ADB" w:rsidRPr="00854ADB" w14:paraId="51D7C299" w14:textId="77777777" w:rsidTr="006257EF">
        <w:trPr>
          <w:trHeight w:val="63"/>
        </w:trPr>
        <w:tc>
          <w:tcPr>
            <w:tcW w:w="1134" w:type="dxa"/>
            <w:shd w:val="clear" w:color="auto" w:fill="auto"/>
          </w:tcPr>
          <w:p w14:paraId="6406103E" w14:textId="77777777" w:rsidR="00854ADB" w:rsidRPr="00854ADB" w:rsidRDefault="00854ADB" w:rsidP="00854ADB">
            <w:pPr>
              <w:spacing w:after="0" w:line="240" w:lineRule="auto"/>
              <w:rPr>
                <w:rFonts w:ascii="Arial" w:eastAsia="Times New Roman" w:hAnsi="Arial" w:cs="Arial"/>
                <w:sz w:val="20"/>
                <w:szCs w:val="20"/>
                <w:lang w:val="fr-BE" w:eastAsia="nl-NL" w:bidi="ar-SA"/>
              </w:rPr>
            </w:pPr>
            <w:r w:rsidRPr="00854ADB">
              <w:rPr>
                <w:rFonts w:ascii="Arial" w:eastAsia="Times New Roman" w:hAnsi="Arial" w:cs="Arial"/>
                <w:sz w:val="20"/>
                <w:szCs w:val="20"/>
                <w:lang w:val="fr-BE" w:eastAsia="nl-NL" w:bidi="ar-SA"/>
              </w:rPr>
              <w:t>Lot 9 :</w:t>
            </w:r>
          </w:p>
        </w:tc>
        <w:tc>
          <w:tcPr>
            <w:tcW w:w="5954" w:type="dxa"/>
            <w:shd w:val="clear" w:color="auto" w:fill="auto"/>
          </w:tcPr>
          <w:p w14:paraId="57A9F5EF" w14:textId="77777777" w:rsidR="00854ADB" w:rsidRPr="00854ADB" w:rsidRDefault="00854ADB" w:rsidP="00854ADB">
            <w:pPr>
              <w:spacing w:after="0" w:line="240" w:lineRule="auto"/>
              <w:rPr>
                <w:rFonts w:ascii="Arial" w:eastAsia="Times New Roman" w:hAnsi="Arial" w:cs="Arial"/>
                <w:sz w:val="20"/>
                <w:szCs w:val="20"/>
                <w:lang w:val="fr-BE" w:eastAsia="nl-NL" w:bidi="ar-SA"/>
              </w:rPr>
            </w:pPr>
            <w:r w:rsidRPr="00854ADB">
              <w:rPr>
                <w:rFonts w:ascii="Arial" w:eastAsia="Times New Roman" w:hAnsi="Arial" w:cs="Arial"/>
                <w:sz w:val="20"/>
                <w:szCs w:val="20"/>
                <w:lang w:val="fr-BE" w:eastAsia="nl-NL" w:bidi="ar-SA"/>
              </w:rPr>
              <w:t>Tomates pelées concassées en cubes</w:t>
            </w:r>
          </w:p>
        </w:tc>
        <w:tc>
          <w:tcPr>
            <w:tcW w:w="1842" w:type="dxa"/>
            <w:tcBorders>
              <w:top w:val="nil"/>
              <w:left w:val="single" w:sz="4" w:space="0" w:color="auto"/>
              <w:bottom w:val="single" w:sz="4" w:space="0" w:color="auto"/>
              <w:right w:val="single" w:sz="4" w:space="0" w:color="auto"/>
            </w:tcBorders>
            <w:shd w:val="clear" w:color="auto" w:fill="auto"/>
            <w:vAlign w:val="bottom"/>
          </w:tcPr>
          <w:p w14:paraId="2E4CC2BE" w14:textId="77777777" w:rsidR="00854ADB" w:rsidRPr="00854ADB" w:rsidRDefault="00854ADB" w:rsidP="00854ADB">
            <w:pPr>
              <w:spacing w:after="0" w:line="240" w:lineRule="auto"/>
              <w:jc w:val="right"/>
              <w:rPr>
                <w:rFonts w:ascii="Arial" w:eastAsia="Times New Roman" w:hAnsi="Arial" w:cs="Arial"/>
                <w:b/>
                <w:bCs/>
                <w:color w:val="000000"/>
                <w:sz w:val="22"/>
                <w:lang w:val="fr-BE" w:eastAsia="nl-NL" w:bidi="ar-SA"/>
              </w:rPr>
            </w:pPr>
            <w:r w:rsidRPr="00854ADB">
              <w:rPr>
                <w:rFonts w:ascii="Arial" w:eastAsia="Times New Roman" w:hAnsi="Arial" w:cs="Arial"/>
                <w:color w:val="000000"/>
                <w:sz w:val="22"/>
                <w:lang w:val="fr-BE" w:eastAsia="nl-NL" w:bidi="ar-SA"/>
              </w:rPr>
              <w:t>€ 450.000,00</w:t>
            </w:r>
          </w:p>
        </w:tc>
      </w:tr>
      <w:tr w:rsidR="00854ADB" w:rsidRPr="00854ADB" w14:paraId="7AFC3891" w14:textId="77777777" w:rsidTr="006257EF">
        <w:trPr>
          <w:trHeight w:val="63"/>
        </w:trPr>
        <w:tc>
          <w:tcPr>
            <w:tcW w:w="1134" w:type="dxa"/>
            <w:shd w:val="clear" w:color="auto" w:fill="auto"/>
          </w:tcPr>
          <w:p w14:paraId="5D513DAC" w14:textId="77777777" w:rsidR="00854ADB" w:rsidRPr="00854ADB" w:rsidRDefault="00854ADB" w:rsidP="00854ADB">
            <w:pPr>
              <w:spacing w:after="0" w:line="240" w:lineRule="auto"/>
              <w:rPr>
                <w:rFonts w:ascii="Arial" w:eastAsia="Times New Roman" w:hAnsi="Arial" w:cs="Arial"/>
                <w:sz w:val="20"/>
                <w:szCs w:val="20"/>
                <w:lang w:val="fr-BE" w:eastAsia="nl-NL" w:bidi="ar-SA"/>
              </w:rPr>
            </w:pPr>
            <w:r w:rsidRPr="00854ADB">
              <w:rPr>
                <w:rFonts w:ascii="Arial" w:eastAsia="Times New Roman" w:hAnsi="Arial" w:cs="Arial"/>
                <w:sz w:val="20"/>
                <w:szCs w:val="20"/>
                <w:lang w:val="fr-BE" w:eastAsia="nl-NL" w:bidi="ar-SA"/>
              </w:rPr>
              <w:t>Lot 10:</w:t>
            </w:r>
          </w:p>
        </w:tc>
        <w:tc>
          <w:tcPr>
            <w:tcW w:w="5954" w:type="dxa"/>
            <w:shd w:val="clear" w:color="auto" w:fill="auto"/>
          </w:tcPr>
          <w:p w14:paraId="10B7E460" w14:textId="77777777" w:rsidR="00854ADB" w:rsidRPr="00854ADB" w:rsidRDefault="00854ADB" w:rsidP="00854ADB">
            <w:pPr>
              <w:spacing w:after="0" w:line="240" w:lineRule="auto"/>
              <w:rPr>
                <w:rFonts w:ascii="Arial" w:eastAsia="Times New Roman" w:hAnsi="Arial" w:cs="Arial"/>
                <w:sz w:val="20"/>
                <w:szCs w:val="20"/>
                <w:lang w:val="fr-BE" w:eastAsia="nl-NL" w:bidi="ar-SA"/>
              </w:rPr>
            </w:pPr>
            <w:r w:rsidRPr="00854ADB">
              <w:rPr>
                <w:rFonts w:ascii="Arial" w:eastAsia="Times New Roman" w:hAnsi="Arial" w:cs="Arial"/>
                <w:sz w:val="20"/>
                <w:szCs w:val="20"/>
                <w:lang w:val="fr-BE" w:eastAsia="nl-NL" w:bidi="ar-SA"/>
              </w:rPr>
              <w:t>Haricots verts entiers très fins</w:t>
            </w:r>
          </w:p>
        </w:tc>
        <w:tc>
          <w:tcPr>
            <w:tcW w:w="1842" w:type="dxa"/>
            <w:tcBorders>
              <w:top w:val="nil"/>
              <w:left w:val="single" w:sz="4" w:space="0" w:color="auto"/>
              <w:bottom w:val="single" w:sz="4" w:space="0" w:color="auto"/>
              <w:right w:val="single" w:sz="4" w:space="0" w:color="auto"/>
            </w:tcBorders>
            <w:shd w:val="clear" w:color="auto" w:fill="auto"/>
            <w:vAlign w:val="bottom"/>
          </w:tcPr>
          <w:p w14:paraId="79C0F822" w14:textId="77777777" w:rsidR="00854ADB" w:rsidRPr="00854ADB" w:rsidRDefault="00854ADB" w:rsidP="00854ADB">
            <w:pPr>
              <w:spacing w:after="0" w:line="240" w:lineRule="auto"/>
              <w:jc w:val="right"/>
              <w:rPr>
                <w:rFonts w:ascii="Arial" w:eastAsia="Times New Roman" w:hAnsi="Arial" w:cs="Arial"/>
                <w:b/>
                <w:bCs/>
                <w:color w:val="000000"/>
                <w:sz w:val="22"/>
                <w:lang w:val="fr-BE" w:eastAsia="nl-NL" w:bidi="ar-SA"/>
              </w:rPr>
            </w:pPr>
            <w:r w:rsidRPr="00854ADB">
              <w:rPr>
                <w:rFonts w:ascii="Arial" w:eastAsia="Times New Roman" w:hAnsi="Arial" w:cs="Arial"/>
                <w:color w:val="000000"/>
                <w:sz w:val="22"/>
                <w:lang w:val="fr-BE" w:eastAsia="nl-NL" w:bidi="ar-SA"/>
              </w:rPr>
              <w:t>€ 500.000,00</w:t>
            </w:r>
          </w:p>
        </w:tc>
      </w:tr>
      <w:tr w:rsidR="00854ADB" w:rsidRPr="00854ADB" w14:paraId="629A2368" w14:textId="77777777" w:rsidTr="006257EF">
        <w:trPr>
          <w:trHeight w:val="63"/>
        </w:trPr>
        <w:tc>
          <w:tcPr>
            <w:tcW w:w="1134" w:type="dxa"/>
            <w:shd w:val="clear" w:color="auto" w:fill="auto"/>
          </w:tcPr>
          <w:p w14:paraId="39131B92" w14:textId="77777777" w:rsidR="00854ADB" w:rsidRPr="00854ADB" w:rsidRDefault="00854ADB" w:rsidP="00854ADB">
            <w:pPr>
              <w:spacing w:after="0" w:line="240" w:lineRule="auto"/>
              <w:rPr>
                <w:rFonts w:ascii="Arial" w:eastAsia="Times New Roman" w:hAnsi="Arial" w:cs="Arial"/>
                <w:sz w:val="20"/>
                <w:szCs w:val="20"/>
                <w:lang w:val="fr-BE" w:eastAsia="nl-NL" w:bidi="ar-SA"/>
              </w:rPr>
            </w:pPr>
            <w:r w:rsidRPr="00854ADB">
              <w:rPr>
                <w:rFonts w:ascii="Arial" w:eastAsia="Times New Roman" w:hAnsi="Arial" w:cs="Arial"/>
                <w:sz w:val="20"/>
                <w:szCs w:val="20"/>
                <w:lang w:val="fr-BE" w:eastAsia="nl-NL" w:bidi="ar-SA"/>
              </w:rPr>
              <w:t>Lot 11:</w:t>
            </w:r>
          </w:p>
        </w:tc>
        <w:tc>
          <w:tcPr>
            <w:tcW w:w="5954" w:type="dxa"/>
            <w:shd w:val="clear" w:color="auto" w:fill="auto"/>
          </w:tcPr>
          <w:p w14:paraId="2D15847C" w14:textId="77777777" w:rsidR="00854ADB" w:rsidRPr="00854ADB" w:rsidRDefault="00854ADB" w:rsidP="00854ADB">
            <w:pPr>
              <w:spacing w:after="0" w:line="240" w:lineRule="auto"/>
              <w:rPr>
                <w:rFonts w:ascii="Arial" w:eastAsia="Times New Roman" w:hAnsi="Arial" w:cs="Arial"/>
                <w:sz w:val="20"/>
                <w:szCs w:val="20"/>
                <w:lang w:val="fr-BE" w:eastAsia="nl-NL" w:bidi="ar-SA"/>
              </w:rPr>
            </w:pPr>
            <w:r w:rsidRPr="00854ADB">
              <w:rPr>
                <w:rFonts w:ascii="Arial" w:eastAsia="Times New Roman" w:hAnsi="Arial" w:cs="Arial"/>
                <w:sz w:val="20"/>
                <w:szCs w:val="20"/>
                <w:lang w:val="fr-BE" w:eastAsia="nl-NL" w:bidi="ar-SA"/>
              </w:rPr>
              <w:t>Macédoine de légumes</w:t>
            </w:r>
          </w:p>
        </w:tc>
        <w:tc>
          <w:tcPr>
            <w:tcW w:w="1842" w:type="dxa"/>
            <w:tcBorders>
              <w:top w:val="nil"/>
              <w:left w:val="single" w:sz="4" w:space="0" w:color="auto"/>
              <w:bottom w:val="single" w:sz="4" w:space="0" w:color="auto"/>
              <w:right w:val="single" w:sz="4" w:space="0" w:color="auto"/>
            </w:tcBorders>
            <w:shd w:val="clear" w:color="auto" w:fill="auto"/>
            <w:vAlign w:val="bottom"/>
          </w:tcPr>
          <w:p w14:paraId="2D8857B9" w14:textId="77777777" w:rsidR="00854ADB" w:rsidRPr="00854ADB" w:rsidRDefault="00854ADB" w:rsidP="00854ADB">
            <w:pPr>
              <w:spacing w:after="0" w:line="240" w:lineRule="auto"/>
              <w:jc w:val="right"/>
              <w:rPr>
                <w:rFonts w:ascii="Arial" w:eastAsia="Times New Roman" w:hAnsi="Arial" w:cs="Arial"/>
                <w:b/>
                <w:bCs/>
                <w:color w:val="000000"/>
                <w:sz w:val="22"/>
                <w:lang w:val="fr-BE" w:eastAsia="nl-NL" w:bidi="ar-SA"/>
              </w:rPr>
            </w:pPr>
            <w:r w:rsidRPr="00854ADB">
              <w:rPr>
                <w:rFonts w:ascii="Arial" w:eastAsia="Times New Roman" w:hAnsi="Arial" w:cs="Arial"/>
                <w:color w:val="000000"/>
                <w:sz w:val="22"/>
                <w:lang w:val="fr-BE" w:eastAsia="nl-NL" w:bidi="ar-SA"/>
              </w:rPr>
              <w:t>€ 258.679,25</w:t>
            </w:r>
          </w:p>
        </w:tc>
      </w:tr>
      <w:tr w:rsidR="00854ADB" w:rsidRPr="00854ADB" w14:paraId="63034419" w14:textId="77777777" w:rsidTr="006257EF">
        <w:trPr>
          <w:trHeight w:val="63"/>
        </w:trPr>
        <w:tc>
          <w:tcPr>
            <w:tcW w:w="1134" w:type="dxa"/>
            <w:shd w:val="clear" w:color="auto" w:fill="auto"/>
          </w:tcPr>
          <w:p w14:paraId="4E4D2665" w14:textId="77777777" w:rsidR="00854ADB" w:rsidRPr="00854ADB" w:rsidRDefault="00854ADB" w:rsidP="00854ADB">
            <w:pPr>
              <w:spacing w:after="0" w:line="240" w:lineRule="auto"/>
              <w:rPr>
                <w:rFonts w:ascii="Arial" w:eastAsia="Times New Roman" w:hAnsi="Arial" w:cs="Arial"/>
                <w:sz w:val="20"/>
                <w:szCs w:val="20"/>
                <w:lang w:val="fr-BE" w:eastAsia="nl-NL" w:bidi="ar-SA"/>
              </w:rPr>
            </w:pPr>
            <w:r w:rsidRPr="00854ADB">
              <w:rPr>
                <w:rFonts w:ascii="Arial" w:eastAsia="Times New Roman" w:hAnsi="Arial" w:cs="Arial"/>
                <w:sz w:val="20"/>
                <w:szCs w:val="20"/>
                <w:lang w:val="fr-BE" w:eastAsia="nl-NL" w:bidi="ar-SA"/>
              </w:rPr>
              <w:t>Lot 12:</w:t>
            </w:r>
          </w:p>
        </w:tc>
        <w:tc>
          <w:tcPr>
            <w:tcW w:w="5954" w:type="dxa"/>
            <w:shd w:val="clear" w:color="auto" w:fill="auto"/>
          </w:tcPr>
          <w:p w14:paraId="00C6D3D3" w14:textId="77777777" w:rsidR="00854ADB" w:rsidRPr="00854ADB" w:rsidRDefault="00854ADB" w:rsidP="00854ADB">
            <w:pPr>
              <w:spacing w:after="0" w:line="240" w:lineRule="auto"/>
              <w:rPr>
                <w:rFonts w:ascii="Arial" w:eastAsia="Times New Roman" w:hAnsi="Arial" w:cs="Arial"/>
                <w:sz w:val="20"/>
                <w:szCs w:val="20"/>
                <w:lang w:val="fr-BE" w:eastAsia="nl-NL" w:bidi="ar-SA"/>
              </w:rPr>
            </w:pPr>
            <w:r w:rsidRPr="00854ADB">
              <w:rPr>
                <w:rFonts w:ascii="Arial" w:eastAsia="Times New Roman" w:hAnsi="Arial" w:cs="Arial"/>
                <w:sz w:val="20"/>
                <w:szCs w:val="20"/>
                <w:lang w:val="fr-BE" w:eastAsia="nl-NL" w:bidi="ar-SA"/>
              </w:rPr>
              <w:t>Haricots rouges</w:t>
            </w:r>
          </w:p>
        </w:tc>
        <w:tc>
          <w:tcPr>
            <w:tcW w:w="1842" w:type="dxa"/>
            <w:tcBorders>
              <w:top w:val="nil"/>
              <w:left w:val="single" w:sz="4" w:space="0" w:color="auto"/>
              <w:bottom w:val="single" w:sz="4" w:space="0" w:color="auto"/>
              <w:right w:val="single" w:sz="4" w:space="0" w:color="auto"/>
            </w:tcBorders>
            <w:shd w:val="clear" w:color="auto" w:fill="auto"/>
            <w:vAlign w:val="bottom"/>
          </w:tcPr>
          <w:p w14:paraId="66B9050A" w14:textId="77777777" w:rsidR="00854ADB" w:rsidRPr="00854ADB" w:rsidRDefault="00854ADB" w:rsidP="00854ADB">
            <w:pPr>
              <w:spacing w:after="0" w:line="240" w:lineRule="auto"/>
              <w:jc w:val="right"/>
              <w:rPr>
                <w:rFonts w:ascii="Arial" w:eastAsia="Times New Roman" w:hAnsi="Arial" w:cs="Arial"/>
                <w:b/>
                <w:bCs/>
                <w:color w:val="000000"/>
                <w:sz w:val="22"/>
                <w:lang w:val="fr-BE" w:eastAsia="nl-NL" w:bidi="ar-SA"/>
              </w:rPr>
            </w:pPr>
            <w:r w:rsidRPr="00854ADB">
              <w:rPr>
                <w:rFonts w:ascii="Arial" w:eastAsia="Times New Roman" w:hAnsi="Arial" w:cs="Arial"/>
                <w:color w:val="000000"/>
                <w:sz w:val="22"/>
                <w:lang w:val="fr-BE" w:eastAsia="nl-NL" w:bidi="ar-SA"/>
              </w:rPr>
              <w:t>€ 250.000,00</w:t>
            </w:r>
          </w:p>
        </w:tc>
      </w:tr>
      <w:tr w:rsidR="00854ADB" w:rsidRPr="00854ADB" w14:paraId="731C51B3" w14:textId="77777777" w:rsidTr="006257EF">
        <w:trPr>
          <w:trHeight w:val="63"/>
        </w:trPr>
        <w:tc>
          <w:tcPr>
            <w:tcW w:w="1134" w:type="dxa"/>
            <w:shd w:val="clear" w:color="auto" w:fill="auto"/>
          </w:tcPr>
          <w:p w14:paraId="0F5854DE" w14:textId="77777777" w:rsidR="00854ADB" w:rsidRPr="00854ADB" w:rsidRDefault="00854ADB" w:rsidP="00854ADB">
            <w:pPr>
              <w:spacing w:after="0" w:line="240" w:lineRule="auto"/>
              <w:rPr>
                <w:rFonts w:ascii="Arial" w:eastAsia="Times New Roman" w:hAnsi="Arial" w:cs="Arial"/>
                <w:sz w:val="20"/>
                <w:szCs w:val="20"/>
                <w:lang w:val="fr-BE" w:eastAsia="nl-NL" w:bidi="ar-SA"/>
              </w:rPr>
            </w:pPr>
            <w:r w:rsidRPr="00854ADB">
              <w:rPr>
                <w:rFonts w:ascii="Arial" w:eastAsia="Times New Roman" w:hAnsi="Arial" w:cs="Arial"/>
                <w:sz w:val="20"/>
                <w:szCs w:val="20"/>
                <w:lang w:val="fr-BE" w:eastAsia="nl-NL" w:bidi="ar-SA"/>
              </w:rPr>
              <w:t>Lot 13:</w:t>
            </w:r>
          </w:p>
        </w:tc>
        <w:tc>
          <w:tcPr>
            <w:tcW w:w="5954" w:type="dxa"/>
            <w:shd w:val="clear" w:color="auto" w:fill="auto"/>
          </w:tcPr>
          <w:p w14:paraId="4ABC7DB3" w14:textId="77777777" w:rsidR="00854ADB" w:rsidRPr="00854ADB" w:rsidRDefault="00854ADB" w:rsidP="00854ADB">
            <w:pPr>
              <w:spacing w:after="0" w:line="240" w:lineRule="auto"/>
              <w:rPr>
                <w:rFonts w:ascii="Arial" w:eastAsia="Times New Roman" w:hAnsi="Arial" w:cs="Arial"/>
                <w:sz w:val="20"/>
                <w:szCs w:val="20"/>
                <w:lang w:val="fr-BE" w:eastAsia="nl-NL" w:bidi="ar-SA"/>
              </w:rPr>
            </w:pPr>
            <w:r w:rsidRPr="00854ADB">
              <w:rPr>
                <w:rFonts w:ascii="Arial" w:eastAsia="Times New Roman" w:hAnsi="Arial" w:cs="Arial"/>
                <w:sz w:val="20"/>
                <w:szCs w:val="20"/>
                <w:lang w:val="fr-BE" w:eastAsia="nl-NL" w:bidi="ar-SA"/>
              </w:rPr>
              <w:t>Mousseline de pommes</w:t>
            </w:r>
          </w:p>
        </w:tc>
        <w:tc>
          <w:tcPr>
            <w:tcW w:w="1842" w:type="dxa"/>
            <w:tcBorders>
              <w:top w:val="nil"/>
              <w:left w:val="single" w:sz="4" w:space="0" w:color="auto"/>
              <w:bottom w:val="single" w:sz="4" w:space="0" w:color="auto"/>
              <w:right w:val="single" w:sz="4" w:space="0" w:color="auto"/>
            </w:tcBorders>
            <w:shd w:val="clear" w:color="auto" w:fill="auto"/>
            <w:vAlign w:val="bottom"/>
          </w:tcPr>
          <w:p w14:paraId="3C2F0695" w14:textId="77777777" w:rsidR="00854ADB" w:rsidRPr="00854ADB" w:rsidRDefault="00854ADB" w:rsidP="00854ADB">
            <w:pPr>
              <w:spacing w:after="0" w:line="240" w:lineRule="auto"/>
              <w:jc w:val="right"/>
              <w:rPr>
                <w:rFonts w:ascii="Arial" w:eastAsia="Times New Roman" w:hAnsi="Arial" w:cs="Arial"/>
                <w:b/>
                <w:bCs/>
                <w:color w:val="000000"/>
                <w:sz w:val="22"/>
                <w:lang w:val="fr-BE" w:eastAsia="nl-NL" w:bidi="ar-SA"/>
              </w:rPr>
            </w:pPr>
            <w:r w:rsidRPr="00854ADB">
              <w:rPr>
                <w:rFonts w:ascii="Arial" w:eastAsia="Times New Roman" w:hAnsi="Arial" w:cs="Arial"/>
                <w:color w:val="000000"/>
                <w:sz w:val="22"/>
                <w:lang w:val="fr-BE" w:eastAsia="nl-NL" w:bidi="ar-SA"/>
              </w:rPr>
              <w:t>€ 200.000,00</w:t>
            </w:r>
          </w:p>
        </w:tc>
      </w:tr>
      <w:tr w:rsidR="00854ADB" w:rsidRPr="00854ADB" w14:paraId="20AF5482" w14:textId="77777777" w:rsidTr="006257EF">
        <w:trPr>
          <w:trHeight w:val="63"/>
        </w:trPr>
        <w:tc>
          <w:tcPr>
            <w:tcW w:w="1134" w:type="dxa"/>
            <w:shd w:val="clear" w:color="auto" w:fill="auto"/>
          </w:tcPr>
          <w:p w14:paraId="20773C7C" w14:textId="77777777" w:rsidR="00854ADB" w:rsidRPr="00854ADB" w:rsidRDefault="00854ADB" w:rsidP="00854ADB">
            <w:pPr>
              <w:spacing w:after="0" w:line="240" w:lineRule="auto"/>
              <w:rPr>
                <w:rFonts w:ascii="Arial" w:eastAsia="Times New Roman" w:hAnsi="Arial" w:cs="Arial"/>
                <w:sz w:val="20"/>
                <w:szCs w:val="20"/>
                <w:lang w:val="fr-BE" w:eastAsia="nl-NL" w:bidi="ar-SA"/>
              </w:rPr>
            </w:pPr>
            <w:r w:rsidRPr="00854ADB">
              <w:rPr>
                <w:rFonts w:ascii="Arial" w:eastAsia="Times New Roman" w:hAnsi="Arial" w:cs="Arial"/>
                <w:sz w:val="20"/>
                <w:szCs w:val="20"/>
                <w:lang w:val="fr-BE" w:eastAsia="nl-NL" w:bidi="ar-SA"/>
              </w:rPr>
              <w:t>Lot 14:</w:t>
            </w:r>
          </w:p>
        </w:tc>
        <w:tc>
          <w:tcPr>
            <w:tcW w:w="5954" w:type="dxa"/>
            <w:shd w:val="clear" w:color="auto" w:fill="auto"/>
          </w:tcPr>
          <w:p w14:paraId="19582FA6" w14:textId="77777777" w:rsidR="00854ADB" w:rsidRPr="00854ADB" w:rsidRDefault="00854ADB" w:rsidP="00854ADB">
            <w:pPr>
              <w:spacing w:after="0" w:line="240" w:lineRule="auto"/>
              <w:rPr>
                <w:rFonts w:ascii="Arial" w:eastAsia="Times New Roman" w:hAnsi="Arial" w:cs="Arial"/>
                <w:sz w:val="20"/>
                <w:szCs w:val="20"/>
                <w:lang w:val="fr-BE" w:eastAsia="nl-NL" w:bidi="ar-SA"/>
              </w:rPr>
            </w:pPr>
            <w:r w:rsidRPr="00854ADB">
              <w:rPr>
                <w:rFonts w:ascii="Arial" w:eastAsia="Times New Roman" w:hAnsi="Arial" w:cs="Arial"/>
                <w:sz w:val="20"/>
                <w:szCs w:val="20"/>
                <w:lang w:val="fr-BE" w:eastAsia="nl-NL" w:bidi="ar-SA"/>
              </w:rPr>
              <w:t>Fromage fondu à tartiner</w:t>
            </w:r>
          </w:p>
        </w:tc>
        <w:tc>
          <w:tcPr>
            <w:tcW w:w="1842" w:type="dxa"/>
            <w:tcBorders>
              <w:top w:val="nil"/>
              <w:left w:val="single" w:sz="4" w:space="0" w:color="auto"/>
              <w:bottom w:val="single" w:sz="4" w:space="0" w:color="auto"/>
              <w:right w:val="single" w:sz="4" w:space="0" w:color="auto"/>
            </w:tcBorders>
            <w:shd w:val="clear" w:color="auto" w:fill="auto"/>
            <w:vAlign w:val="bottom"/>
          </w:tcPr>
          <w:p w14:paraId="6728BB89" w14:textId="77777777" w:rsidR="00854ADB" w:rsidRPr="00854ADB" w:rsidRDefault="00854ADB" w:rsidP="00854ADB">
            <w:pPr>
              <w:spacing w:after="0" w:line="240" w:lineRule="auto"/>
              <w:jc w:val="right"/>
              <w:rPr>
                <w:rFonts w:ascii="Arial" w:eastAsia="Times New Roman" w:hAnsi="Arial" w:cs="Arial"/>
                <w:b/>
                <w:bCs/>
                <w:color w:val="000000"/>
                <w:sz w:val="22"/>
                <w:lang w:val="fr-BE" w:eastAsia="nl-NL" w:bidi="ar-SA"/>
              </w:rPr>
            </w:pPr>
            <w:r w:rsidRPr="00854ADB">
              <w:rPr>
                <w:rFonts w:ascii="Arial" w:eastAsia="Times New Roman" w:hAnsi="Arial" w:cs="Arial"/>
                <w:color w:val="000000"/>
                <w:sz w:val="22"/>
                <w:lang w:val="fr-BE" w:eastAsia="nl-NL" w:bidi="ar-SA"/>
              </w:rPr>
              <w:t>€ 330.000,00</w:t>
            </w:r>
          </w:p>
        </w:tc>
      </w:tr>
      <w:tr w:rsidR="00854ADB" w:rsidRPr="00854ADB" w14:paraId="330FACBE" w14:textId="77777777" w:rsidTr="006257EF">
        <w:trPr>
          <w:trHeight w:val="63"/>
        </w:trPr>
        <w:tc>
          <w:tcPr>
            <w:tcW w:w="1134" w:type="dxa"/>
            <w:shd w:val="clear" w:color="auto" w:fill="auto"/>
          </w:tcPr>
          <w:p w14:paraId="0149BB9F" w14:textId="77777777" w:rsidR="00854ADB" w:rsidRPr="00854ADB" w:rsidRDefault="00854ADB" w:rsidP="00854ADB">
            <w:pPr>
              <w:spacing w:after="0" w:line="240" w:lineRule="auto"/>
              <w:rPr>
                <w:rFonts w:ascii="Arial" w:eastAsia="Times New Roman" w:hAnsi="Arial" w:cs="Arial"/>
                <w:sz w:val="20"/>
                <w:szCs w:val="20"/>
                <w:lang w:val="fr-BE" w:eastAsia="nl-NL" w:bidi="ar-SA"/>
              </w:rPr>
            </w:pPr>
            <w:r w:rsidRPr="00854ADB">
              <w:rPr>
                <w:rFonts w:ascii="Arial" w:eastAsia="Times New Roman" w:hAnsi="Arial" w:cs="Arial"/>
                <w:sz w:val="20"/>
                <w:szCs w:val="20"/>
                <w:lang w:val="fr-BE" w:eastAsia="nl-NL" w:bidi="ar-SA"/>
              </w:rPr>
              <w:t>Lot 15:</w:t>
            </w:r>
          </w:p>
        </w:tc>
        <w:tc>
          <w:tcPr>
            <w:tcW w:w="5954" w:type="dxa"/>
            <w:shd w:val="clear" w:color="auto" w:fill="auto"/>
          </w:tcPr>
          <w:p w14:paraId="04AF85AD" w14:textId="77777777" w:rsidR="00854ADB" w:rsidRPr="00854ADB" w:rsidRDefault="00854ADB" w:rsidP="00854ADB">
            <w:pPr>
              <w:spacing w:after="0" w:line="240" w:lineRule="auto"/>
              <w:rPr>
                <w:rFonts w:ascii="Arial" w:eastAsia="Times New Roman" w:hAnsi="Arial" w:cs="Arial"/>
                <w:sz w:val="20"/>
                <w:szCs w:val="20"/>
                <w:lang w:val="fr-BE" w:eastAsia="nl-NL" w:bidi="ar-SA"/>
              </w:rPr>
            </w:pPr>
            <w:r w:rsidRPr="00854ADB">
              <w:rPr>
                <w:rFonts w:ascii="Arial" w:eastAsia="Times New Roman" w:hAnsi="Arial" w:cs="Arial"/>
                <w:sz w:val="20"/>
                <w:szCs w:val="20"/>
                <w:lang w:val="fr-BE" w:eastAsia="nl-NL" w:bidi="ar-SA"/>
              </w:rPr>
              <w:t>Confiture aux fraises allégée en sucres</w:t>
            </w:r>
          </w:p>
        </w:tc>
        <w:tc>
          <w:tcPr>
            <w:tcW w:w="1842" w:type="dxa"/>
            <w:tcBorders>
              <w:top w:val="nil"/>
              <w:left w:val="single" w:sz="4" w:space="0" w:color="auto"/>
              <w:bottom w:val="nil"/>
              <w:right w:val="single" w:sz="4" w:space="0" w:color="auto"/>
            </w:tcBorders>
            <w:shd w:val="clear" w:color="auto" w:fill="auto"/>
            <w:vAlign w:val="bottom"/>
          </w:tcPr>
          <w:p w14:paraId="5CA7F931" w14:textId="77777777" w:rsidR="00854ADB" w:rsidRPr="00854ADB" w:rsidRDefault="00854ADB" w:rsidP="00854ADB">
            <w:pPr>
              <w:spacing w:after="0" w:line="240" w:lineRule="auto"/>
              <w:jc w:val="right"/>
              <w:rPr>
                <w:rFonts w:ascii="Arial" w:eastAsia="Times New Roman" w:hAnsi="Arial" w:cs="Arial"/>
                <w:b/>
                <w:bCs/>
                <w:color w:val="000000"/>
                <w:sz w:val="22"/>
                <w:lang w:val="fr-BE" w:eastAsia="nl-NL" w:bidi="ar-SA"/>
              </w:rPr>
            </w:pPr>
            <w:r w:rsidRPr="00854ADB">
              <w:rPr>
                <w:rFonts w:ascii="Arial" w:eastAsia="Times New Roman" w:hAnsi="Arial" w:cs="Arial"/>
                <w:color w:val="000000"/>
                <w:sz w:val="22"/>
                <w:lang w:val="fr-BE" w:eastAsia="nl-NL" w:bidi="ar-SA"/>
              </w:rPr>
              <w:t>€ 450.000,00</w:t>
            </w:r>
          </w:p>
        </w:tc>
      </w:tr>
      <w:tr w:rsidR="00854ADB" w:rsidRPr="00854ADB" w14:paraId="177C92A3" w14:textId="77777777" w:rsidTr="006257EF">
        <w:trPr>
          <w:trHeight w:val="63"/>
        </w:trPr>
        <w:tc>
          <w:tcPr>
            <w:tcW w:w="1134" w:type="dxa"/>
            <w:shd w:val="clear" w:color="auto" w:fill="auto"/>
          </w:tcPr>
          <w:p w14:paraId="7B62CABD" w14:textId="77777777" w:rsidR="00854ADB" w:rsidRPr="00854ADB" w:rsidRDefault="00854ADB" w:rsidP="00854ADB">
            <w:pPr>
              <w:spacing w:after="0" w:line="240" w:lineRule="auto"/>
              <w:rPr>
                <w:rFonts w:ascii="Arial" w:eastAsia="Times New Roman" w:hAnsi="Arial" w:cs="Arial"/>
                <w:sz w:val="20"/>
                <w:szCs w:val="20"/>
                <w:lang w:val="fr-BE" w:eastAsia="nl-NL" w:bidi="ar-SA"/>
              </w:rPr>
            </w:pPr>
            <w:r w:rsidRPr="00854ADB">
              <w:rPr>
                <w:rFonts w:ascii="Arial" w:eastAsia="Times New Roman" w:hAnsi="Arial" w:cs="Arial"/>
                <w:sz w:val="20"/>
                <w:szCs w:val="20"/>
                <w:lang w:val="fr-BE" w:eastAsia="nl-NL" w:bidi="ar-SA"/>
              </w:rPr>
              <w:t>Lot 16:</w:t>
            </w:r>
          </w:p>
        </w:tc>
        <w:tc>
          <w:tcPr>
            <w:tcW w:w="5954" w:type="dxa"/>
            <w:shd w:val="clear" w:color="auto" w:fill="auto"/>
          </w:tcPr>
          <w:p w14:paraId="1808AD13" w14:textId="77777777" w:rsidR="00854ADB" w:rsidRPr="00854ADB" w:rsidRDefault="00854ADB" w:rsidP="00854ADB">
            <w:pPr>
              <w:spacing w:after="0" w:line="240" w:lineRule="auto"/>
              <w:rPr>
                <w:rFonts w:ascii="Arial" w:eastAsia="Times New Roman" w:hAnsi="Arial" w:cs="Arial"/>
                <w:sz w:val="20"/>
                <w:szCs w:val="20"/>
                <w:lang w:val="fr-BE" w:eastAsia="nl-NL" w:bidi="ar-SA"/>
              </w:rPr>
            </w:pPr>
            <w:r w:rsidRPr="00854ADB">
              <w:rPr>
                <w:rFonts w:ascii="Arial" w:eastAsia="Times New Roman" w:hAnsi="Arial" w:cs="Arial"/>
                <w:sz w:val="20"/>
                <w:szCs w:val="20"/>
                <w:lang w:val="fr-BE" w:eastAsia="nl-NL" w:bidi="ar-SA"/>
              </w:rPr>
              <w:t>Huile d’olive</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1FE4617C" w14:textId="77777777" w:rsidR="00854ADB" w:rsidRPr="00854ADB" w:rsidRDefault="00854ADB" w:rsidP="00854ADB">
            <w:pPr>
              <w:spacing w:after="0" w:line="240" w:lineRule="auto"/>
              <w:jc w:val="right"/>
              <w:rPr>
                <w:rFonts w:ascii="Arial" w:eastAsia="Times New Roman" w:hAnsi="Arial" w:cs="Arial"/>
                <w:b/>
                <w:bCs/>
                <w:color w:val="000000"/>
                <w:sz w:val="22"/>
                <w:lang w:val="fr-BE" w:eastAsia="nl-NL" w:bidi="ar-SA"/>
              </w:rPr>
            </w:pPr>
            <w:r w:rsidRPr="00854ADB">
              <w:rPr>
                <w:rFonts w:ascii="Arial" w:eastAsia="Times New Roman" w:hAnsi="Arial" w:cs="Arial"/>
                <w:color w:val="000000"/>
                <w:sz w:val="22"/>
                <w:lang w:val="fr-BE" w:eastAsia="nl-NL" w:bidi="ar-SA"/>
              </w:rPr>
              <w:t>€ 1.223.113,21</w:t>
            </w:r>
          </w:p>
        </w:tc>
      </w:tr>
      <w:tr w:rsidR="00854ADB" w:rsidRPr="00854ADB" w14:paraId="726974AB" w14:textId="77777777" w:rsidTr="006257EF">
        <w:trPr>
          <w:trHeight w:val="63"/>
        </w:trPr>
        <w:tc>
          <w:tcPr>
            <w:tcW w:w="1134" w:type="dxa"/>
            <w:shd w:val="clear" w:color="auto" w:fill="auto"/>
          </w:tcPr>
          <w:p w14:paraId="211240B9" w14:textId="77777777" w:rsidR="00854ADB" w:rsidRPr="00854ADB" w:rsidRDefault="00854ADB" w:rsidP="00854ADB">
            <w:pPr>
              <w:spacing w:after="0" w:line="240" w:lineRule="auto"/>
              <w:rPr>
                <w:rFonts w:ascii="Arial" w:eastAsia="Times New Roman" w:hAnsi="Arial" w:cs="Arial"/>
                <w:sz w:val="20"/>
                <w:szCs w:val="20"/>
                <w:lang w:val="fr-BE" w:eastAsia="nl-NL" w:bidi="ar-SA"/>
              </w:rPr>
            </w:pPr>
            <w:r w:rsidRPr="00854ADB">
              <w:rPr>
                <w:rFonts w:ascii="Arial" w:eastAsia="Times New Roman" w:hAnsi="Arial" w:cs="Arial"/>
                <w:sz w:val="20"/>
                <w:szCs w:val="20"/>
                <w:lang w:val="fr-BE" w:eastAsia="nl-NL" w:bidi="ar-SA"/>
              </w:rPr>
              <w:t>Lot 17:</w:t>
            </w:r>
          </w:p>
        </w:tc>
        <w:tc>
          <w:tcPr>
            <w:tcW w:w="5954" w:type="dxa"/>
            <w:shd w:val="clear" w:color="auto" w:fill="auto"/>
          </w:tcPr>
          <w:p w14:paraId="5449B3F3" w14:textId="77777777" w:rsidR="00854ADB" w:rsidRPr="00854ADB" w:rsidRDefault="00854ADB" w:rsidP="00854ADB">
            <w:pPr>
              <w:spacing w:after="0" w:line="240" w:lineRule="auto"/>
              <w:rPr>
                <w:rFonts w:ascii="Arial" w:eastAsia="Times New Roman" w:hAnsi="Arial" w:cs="Arial"/>
                <w:sz w:val="20"/>
                <w:szCs w:val="20"/>
                <w:lang w:val="fr-BE" w:eastAsia="nl-NL" w:bidi="ar-SA"/>
              </w:rPr>
            </w:pPr>
            <w:r w:rsidRPr="00854ADB">
              <w:rPr>
                <w:rFonts w:ascii="Arial" w:eastAsia="Times New Roman" w:hAnsi="Arial" w:cs="Arial"/>
                <w:sz w:val="20"/>
                <w:szCs w:val="20"/>
                <w:lang w:val="fr-BE" w:eastAsia="nl-NL" w:bidi="ar-SA"/>
              </w:rPr>
              <w:t>Chocolat noir issu du commerce équitable</w:t>
            </w:r>
          </w:p>
        </w:tc>
        <w:tc>
          <w:tcPr>
            <w:tcW w:w="1842" w:type="dxa"/>
            <w:tcBorders>
              <w:top w:val="nil"/>
              <w:left w:val="single" w:sz="4" w:space="0" w:color="auto"/>
              <w:bottom w:val="single" w:sz="4" w:space="0" w:color="auto"/>
              <w:right w:val="single" w:sz="4" w:space="0" w:color="auto"/>
            </w:tcBorders>
            <w:shd w:val="clear" w:color="auto" w:fill="auto"/>
            <w:vAlign w:val="bottom"/>
          </w:tcPr>
          <w:p w14:paraId="2A895AB4" w14:textId="77777777" w:rsidR="00854ADB" w:rsidRPr="00854ADB" w:rsidRDefault="00854ADB" w:rsidP="00854ADB">
            <w:pPr>
              <w:spacing w:after="0" w:line="240" w:lineRule="auto"/>
              <w:jc w:val="right"/>
              <w:rPr>
                <w:rFonts w:ascii="Arial" w:eastAsia="Times New Roman" w:hAnsi="Arial" w:cs="Arial"/>
                <w:b/>
                <w:bCs/>
                <w:color w:val="000000"/>
                <w:sz w:val="22"/>
                <w:lang w:val="fr-BE" w:eastAsia="nl-NL" w:bidi="ar-SA"/>
              </w:rPr>
            </w:pPr>
            <w:r w:rsidRPr="00854ADB">
              <w:rPr>
                <w:rFonts w:ascii="Arial" w:eastAsia="Times New Roman" w:hAnsi="Arial" w:cs="Arial"/>
                <w:snapToGrid w:val="0"/>
                <w:color w:val="000000"/>
                <w:sz w:val="22"/>
                <w:lang w:bidi="ar-SA"/>
              </w:rPr>
              <w:t>€ 351.820,75</w:t>
            </w:r>
          </w:p>
        </w:tc>
      </w:tr>
      <w:tr w:rsidR="00854ADB" w:rsidRPr="00854ADB" w14:paraId="7F614E34" w14:textId="77777777" w:rsidTr="006257EF">
        <w:trPr>
          <w:trHeight w:val="63"/>
        </w:trPr>
        <w:tc>
          <w:tcPr>
            <w:tcW w:w="1134" w:type="dxa"/>
            <w:shd w:val="clear" w:color="auto" w:fill="auto"/>
          </w:tcPr>
          <w:p w14:paraId="52ADB6B0" w14:textId="77777777" w:rsidR="00854ADB" w:rsidRPr="00854ADB" w:rsidRDefault="00854ADB" w:rsidP="00854ADB">
            <w:pPr>
              <w:spacing w:after="0" w:line="240" w:lineRule="auto"/>
              <w:rPr>
                <w:rFonts w:ascii="Arial" w:eastAsia="Times New Roman" w:hAnsi="Arial" w:cs="Arial"/>
                <w:sz w:val="20"/>
                <w:szCs w:val="20"/>
                <w:lang w:val="fr-BE" w:eastAsia="nl-NL" w:bidi="ar-SA"/>
              </w:rPr>
            </w:pPr>
            <w:r w:rsidRPr="00854ADB">
              <w:rPr>
                <w:rFonts w:ascii="Arial" w:eastAsia="Times New Roman" w:hAnsi="Arial" w:cs="Arial"/>
                <w:sz w:val="20"/>
                <w:szCs w:val="20"/>
                <w:lang w:val="fr-BE" w:eastAsia="nl-NL" w:bidi="ar-SA"/>
              </w:rPr>
              <w:t>Lot 18:</w:t>
            </w:r>
          </w:p>
        </w:tc>
        <w:tc>
          <w:tcPr>
            <w:tcW w:w="5954" w:type="dxa"/>
            <w:shd w:val="clear" w:color="auto" w:fill="auto"/>
          </w:tcPr>
          <w:p w14:paraId="6D464D6F" w14:textId="77777777" w:rsidR="00854ADB" w:rsidRPr="00854ADB" w:rsidRDefault="00854ADB" w:rsidP="00854ADB">
            <w:pPr>
              <w:tabs>
                <w:tab w:val="left" w:pos="1080"/>
              </w:tabs>
              <w:spacing w:after="0" w:line="240" w:lineRule="auto"/>
              <w:rPr>
                <w:rFonts w:ascii="Arial" w:eastAsia="Times New Roman" w:hAnsi="Arial" w:cs="Arial"/>
                <w:sz w:val="20"/>
                <w:szCs w:val="20"/>
                <w:lang w:val="fr-BE" w:eastAsia="nl-NL" w:bidi="ar-SA"/>
              </w:rPr>
            </w:pPr>
            <w:r w:rsidRPr="00854ADB">
              <w:rPr>
                <w:rFonts w:ascii="Arial" w:eastAsia="Times New Roman" w:hAnsi="Arial" w:cs="Arial"/>
                <w:sz w:val="20"/>
                <w:szCs w:val="20"/>
                <w:lang w:val="fr-BE" w:eastAsia="nl-NL" w:bidi="ar-SA"/>
              </w:rPr>
              <w:t>Muesli aux fruits secs</w:t>
            </w:r>
          </w:p>
        </w:tc>
        <w:tc>
          <w:tcPr>
            <w:tcW w:w="1842" w:type="dxa"/>
            <w:tcBorders>
              <w:top w:val="nil"/>
              <w:left w:val="single" w:sz="4" w:space="0" w:color="auto"/>
              <w:bottom w:val="single" w:sz="4" w:space="0" w:color="auto"/>
              <w:right w:val="single" w:sz="4" w:space="0" w:color="auto"/>
            </w:tcBorders>
            <w:shd w:val="clear" w:color="auto" w:fill="auto"/>
            <w:vAlign w:val="bottom"/>
          </w:tcPr>
          <w:p w14:paraId="3D1590D0" w14:textId="77777777" w:rsidR="00854ADB" w:rsidRPr="00854ADB" w:rsidRDefault="00854ADB" w:rsidP="00854ADB">
            <w:pPr>
              <w:spacing w:after="0" w:line="240" w:lineRule="auto"/>
              <w:jc w:val="right"/>
              <w:rPr>
                <w:rFonts w:ascii="Arial" w:eastAsia="Times New Roman" w:hAnsi="Arial" w:cs="Arial"/>
                <w:b/>
                <w:bCs/>
                <w:color w:val="000000"/>
                <w:sz w:val="22"/>
                <w:lang w:val="fr-BE" w:eastAsia="nl-NL" w:bidi="ar-SA"/>
              </w:rPr>
            </w:pPr>
            <w:r w:rsidRPr="00854ADB">
              <w:rPr>
                <w:rFonts w:ascii="Arial" w:eastAsia="Times New Roman" w:hAnsi="Arial" w:cs="Arial"/>
                <w:color w:val="000000"/>
                <w:sz w:val="22"/>
                <w:lang w:val="fr-BE" w:eastAsia="nl-NL" w:bidi="ar-SA"/>
              </w:rPr>
              <w:t>€ 650.000,00</w:t>
            </w:r>
          </w:p>
        </w:tc>
      </w:tr>
      <w:tr w:rsidR="00854ADB" w:rsidRPr="00854ADB" w14:paraId="30C38926" w14:textId="77777777" w:rsidTr="006257EF">
        <w:trPr>
          <w:trHeight w:val="63"/>
        </w:trPr>
        <w:tc>
          <w:tcPr>
            <w:tcW w:w="1134" w:type="dxa"/>
            <w:shd w:val="clear" w:color="auto" w:fill="auto"/>
          </w:tcPr>
          <w:p w14:paraId="53022E81" w14:textId="77777777" w:rsidR="00854ADB" w:rsidRPr="00854ADB" w:rsidRDefault="00854ADB" w:rsidP="00854ADB">
            <w:pPr>
              <w:spacing w:after="0" w:line="240" w:lineRule="auto"/>
              <w:rPr>
                <w:rFonts w:ascii="Arial" w:eastAsia="Times New Roman" w:hAnsi="Arial" w:cs="Arial"/>
                <w:sz w:val="20"/>
                <w:szCs w:val="20"/>
                <w:lang w:val="fr-BE" w:eastAsia="nl-NL" w:bidi="ar-SA"/>
              </w:rPr>
            </w:pPr>
            <w:r w:rsidRPr="00854ADB">
              <w:rPr>
                <w:rFonts w:ascii="Arial" w:eastAsia="Times New Roman" w:hAnsi="Arial" w:cs="Arial"/>
                <w:sz w:val="20"/>
                <w:szCs w:val="20"/>
                <w:lang w:val="fr-BE" w:eastAsia="nl-NL" w:bidi="ar-SA"/>
              </w:rPr>
              <w:t>Lot 19</w:t>
            </w:r>
          </w:p>
        </w:tc>
        <w:tc>
          <w:tcPr>
            <w:tcW w:w="5954" w:type="dxa"/>
            <w:shd w:val="clear" w:color="auto" w:fill="auto"/>
          </w:tcPr>
          <w:p w14:paraId="15BEF065" w14:textId="77777777" w:rsidR="00854ADB" w:rsidRPr="00854ADB" w:rsidRDefault="00854ADB" w:rsidP="00854ADB">
            <w:pPr>
              <w:tabs>
                <w:tab w:val="left" w:pos="1080"/>
              </w:tabs>
              <w:spacing w:after="0" w:line="240" w:lineRule="auto"/>
              <w:rPr>
                <w:rFonts w:ascii="Arial" w:eastAsia="Times New Roman" w:hAnsi="Arial" w:cs="Arial"/>
                <w:sz w:val="20"/>
                <w:szCs w:val="20"/>
                <w:lang w:val="fr-BE" w:eastAsia="nl-NL" w:bidi="ar-SA"/>
              </w:rPr>
            </w:pPr>
            <w:r w:rsidRPr="00854ADB">
              <w:rPr>
                <w:rFonts w:ascii="Arial" w:eastAsia="Times New Roman" w:hAnsi="Arial" w:cs="Arial"/>
                <w:sz w:val="20"/>
                <w:szCs w:val="20"/>
                <w:lang w:val="fr-BE" w:eastAsia="nl-NL" w:bidi="ar-SA"/>
              </w:rPr>
              <w:t>Poulet aux olives et citron</w:t>
            </w:r>
          </w:p>
        </w:tc>
        <w:tc>
          <w:tcPr>
            <w:tcW w:w="1842" w:type="dxa"/>
            <w:tcBorders>
              <w:top w:val="nil"/>
              <w:left w:val="single" w:sz="4" w:space="0" w:color="auto"/>
              <w:bottom w:val="single" w:sz="4" w:space="0" w:color="auto"/>
              <w:right w:val="single" w:sz="4" w:space="0" w:color="auto"/>
            </w:tcBorders>
            <w:shd w:val="clear" w:color="auto" w:fill="auto"/>
            <w:vAlign w:val="bottom"/>
          </w:tcPr>
          <w:p w14:paraId="59190AE3" w14:textId="77777777" w:rsidR="00854ADB" w:rsidRPr="00854ADB" w:rsidRDefault="00854ADB" w:rsidP="00854ADB">
            <w:pPr>
              <w:spacing w:after="0" w:line="240" w:lineRule="auto"/>
              <w:jc w:val="right"/>
              <w:rPr>
                <w:rFonts w:ascii="Arial" w:eastAsia="Times New Roman" w:hAnsi="Arial" w:cs="Arial"/>
                <w:color w:val="000000"/>
                <w:sz w:val="22"/>
                <w:lang w:val="fr-BE" w:eastAsia="nl-NL" w:bidi="ar-SA"/>
              </w:rPr>
            </w:pPr>
            <w:r w:rsidRPr="00854ADB">
              <w:rPr>
                <w:rFonts w:ascii="Arial" w:eastAsia="Times New Roman" w:hAnsi="Arial" w:cs="Arial"/>
                <w:color w:val="000000"/>
                <w:sz w:val="22"/>
                <w:lang w:val="fr-BE" w:eastAsia="nl-NL" w:bidi="ar-SA"/>
              </w:rPr>
              <w:t>€ 450.000,00</w:t>
            </w:r>
          </w:p>
        </w:tc>
      </w:tr>
      <w:tr w:rsidR="00854ADB" w:rsidRPr="00854ADB" w14:paraId="2772B5EC" w14:textId="77777777" w:rsidTr="006257EF">
        <w:trPr>
          <w:trHeight w:val="63"/>
        </w:trPr>
        <w:tc>
          <w:tcPr>
            <w:tcW w:w="1134" w:type="dxa"/>
            <w:shd w:val="clear" w:color="auto" w:fill="auto"/>
          </w:tcPr>
          <w:p w14:paraId="587132BF" w14:textId="77777777" w:rsidR="00854ADB" w:rsidRPr="00854ADB" w:rsidRDefault="00854ADB" w:rsidP="00854ADB">
            <w:pPr>
              <w:spacing w:after="0" w:line="240" w:lineRule="auto"/>
              <w:rPr>
                <w:rFonts w:ascii="Arial" w:eastAsia="Times New Roman" w:hAnsi="Arial" w:cs="Arial"/>
                <w:sz w:val="20"/>
                <w:szCs w:val="20"/>
                <w:lang w:val="fr-BE" w:eastAsia="nl-NL" w:bidi="ar-SA"/>
              </w:rPr>
            </w:pPr>
            <w:r w:rsidRPr="00854ADB">
              <w:rPr>
                <w:rFonts w:ascii="Arial" w:eastAsia="Times New Roman" w:hAnsi="Arial" w:cs="Arial"/>
                <w:sz w:val="20"/>
                <w:szCs w:val="20"/>
                <w:lang w:val="fr-BE" w:eastAsia="nl-NL" w:bidi="ar-SA"/>
              </w:rPr>
              <w:t>Lot 20 :</w:t>
            </w:r>
          </w:p>
        </w:tc>
        <w:tc>
          <w:tcPr>
            <w:tcW w:w="5954" w:type="dxa"/>
            <w:shd w:val="clear" w:color="auto" w:fill="auto"/>
          </w:tcPr>
          <w:p w14:paraId="09B4AF38" w14:textId="77777777" w:rsidR="00854ADB" w:rsidRPr="00854ADB" w:rsidRDefault="00854ADB" w:rsidP="00854ADB">
            <w:pPr>
              <w:tabs>
                <w:tab w:val="left" w:pos="1080"/>
              </w:tabs>
              <w:spacing w:after="0" w:line="240" w:lineRule="auto"/>
              <w:rPr>
                <w:rFonts w:ascii="Arial" w:eastAsia="Times New Roman" w:hAnsi="Arial" w:cs="Arial"/>
                <w:sz w:val="20"/>
                <w:szCs w:val="20"/>
                <w:lang w:val="fr-BE" w:eastAsia="nl-NL" w:bidi="ar-SA"/>
              </w:rPr>
            </w:pPr>
            <w:r w:rsidRPr="00854ADB">
              <w:rPr>
                <w:rFonts w:ascii="Arial" w:eastAsia="Times New Roman" w:hAnsi="Arial" w:cs="Arial"/>
                <w:sz w:val="20"/>
                <w:szCs w:val="20"/>
                <w:lang w:val="fr-BE" w:eastAsia="nl-NL" w:bidi="ar-SA"/>
              </w:rPr>
              <w:t>Boulettes à la sauce tomate</w:t>
            </w:r>
          </w:p>
        </w:tc>
        <w:tc>
          <w:tcPr>
            <w:tcW w:w="1842" w:type="dxa"/>
            <w:tcBorders>
              <w:top w:val="nil"/>
              <w:left w:val="single" w:sz="4" w:space="0" w:color="auto"/>
              <w:bottom w:val="single" w:sz="4" w:space="0" w:color="auto"/>
              <w:right w:val="single" w:sz="4" w:space="0" w:color="auto"/>
            </w:tcBorders>
            <w:shd w:val="clear" w:color="auto" w:fill="auto"/>
            <w:vAlign w:val="bottom"/>
          </w:tcPr>
          <w:p w14:paraId="73B2A50C" w14:textId="77777777" w:rsidR="00854ADB" w:rsidRPr="00854ADB" w:rsidRDefault="00854ADB" w:rsidP="00854ADB">
            <w:pPr>
              <w:spacing w:after="0" w:line="240" w:lineRule="auto"/>
              <w:jc w:val="right"/>
              <w:rPr>
                <w:rFonts w:ascii="Arial" w:eastAsia="Times New Roman" w:hAnsi="Arial" w:cs="Arial"/>
                <w:color w:val="000000"/>
                <w:sz w:val="22"/>
                <w:lang w:val="fr-BE" w:eastAsia="nl-NL" w:bidi="ar-SA"/>
              </w:rPr>
            </w:pPr>
            <w:r w:rsidRPr="00854ADB">
              <w:rPr>
                <w:rFonts w:ascii="Arial" w:eastAsia="Times New Roman" w:hAnsi="Arial" w:cs="Arial"/>
                <w:color w:val="000000"/>
                <w:sz w:val="22"/>
                <w:lang w:val="fr-BE" w:eastAsia="nl-NL" w:bidi="ar-SA"/>
              </w:rPr>
              <w:t>€ 450.000,00</w:t>
            </w:r>
          </w:p>
        </w:tc>
      </w:tr>
      <w:tr w:rsidR="00854ADB" w:rsidRPr="00854ADB" w14:paraId="5B11E49F" w14:textId="77777777" w:rsidTr="006257EF">
        <w:trPr>
          <w:trHeight w:val="63"/>
        </w:trPr>
        <w:tc>
          <w:tcPr>
            <w:tcW w:w="7088" w:type="dxa"/>
            <w:gridSpan w:val="2"/>
            <w:shd w:val="clear" w:color="auto" w:fill="auto"/>
          </w:tcPr>
          <w:p w14:paraId="76B9DC3F" w14:textId="77777777" w:rsidR="00854ADB" w:rsidRPr="00854ADB" w:rsidRDefault="00854ADB" w:rsidP="00854ADB">
            <w:pPr>
              <w:tabs>
                <w:tab w:val="left" w:pos="1080"/>
              </w:tabs>
              <w:spacing w:after="0" w:line="240" w:lineRule="auto"/>
              <w:rPr>
                <w:rFonts w:ascii="Arial" w:eastAsia="Times New Roman" w:hAnsi="Arial" w:cs="Arial"/>
                <w:sz w:val="20"/>
                <w:szCs w:val="20"/>
                <w:lang w:val="fr-BE" w:eastAsia="nl-NL" w:bidi="ar-SA"/>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534361F5" w14:textId="77777777" w:rsidR="00854ADB" w:rsidRPr="00854ADB" w:rsidRDefault="00854ADB" w:rsidP="00854ADB">
            <w:pPr>
              <w:spacing w:after="0" w:line="240" w:lineRule="auto"/>
              <w:jc w:val="center"/>
              <w:rPr>
                <w:rFonts w:ascii="Arial" w:eastAsia="Times New Roman" w:hAnsi="Arial" w:cs="Arial"/>
                <w:color w:val="000000"/>
                <w:sz w:val="22"/>
                <w:lang w:val="fr-BE" w:eastAsia="nl-NL" w:bidi="ar-SA"/>
              </w:rPr>
            </w:pPr>
            <w:r w:rsidRPr="00854ADB">
              <w:rPr>
                <w:rFonts w:ascii="Arial" w:eastAsia="Times New Roman" w:hAnsi="Arial" w:cs="Arial"/>
                <w:color w:val="000000"/>
                <w:sz w:val="22"/>
                <w:lang w:val="fr-BE" w:eastAsia="nl-NL" w:bidi="ar-SA"/>
              </w:rPr>
              <w:t>€12.208.896,23</w:t>
            </w:r>
          </w:p>
        </w:tc>
      </w:tr>
    </w:tbl>
    <w:p w14:paraId="19F883EC" w14:textId="77777777" w:rsidR="00165104" w:rsidRDefault="00165104" w:rsidP="00165104">
      <w:pPr>
        <w:rPr>
          <w:szCs w:val="24"/>
        </w:rPr>
      </w:pPr>
    </w:p>
    <w:p w14:paraId="6DE9A91B" w14:textId="77777777" w:rsidR="00165104" w:rsidRPr="00C95588" w:rsidRDefault="00165104" w:rsidP="00165104">
      <w:pPr>
        <w:rPr>
          <w:szCs w:val="24"/>
        </w:rPr>
      </w:pPr>
      <w:r w:rsidRPr="00C95588">
        <w:rPr>
          <w:szCs w:val="24"/>
        </w:rPr>
        <w:t xml:space="preserve">En ce qui concerne les indicateurs de résultat, le tableau ci-dessous spécifie à quel indicateur chaque produit a été associé. </w:t>
      </w:r>
    </w:p>
    <w:tbl>
      <w:tblPr>
        <w:tblStyle w:val="Tabelraster"/>
        <w:tblpPr w:leftFromText="141" w:rightFromText="141" w:vertAnchor="text" w:tblpY="170"/>
        <w:tblW w:w="0" w:type="auto"/>
        <w:tblLook w:val="04A0" w:firstRow="1" w:lastRow="0" w:firstColumn="1" w:lastColumn="0" w:noHBand="0" w:noVBand="1"/>
      </w:tblPr>
      <w:tblGrid>
        <w:gridCol w:w="3823"/>
        <w:gridCol w:w="5239"/>
      </w:tblGrid>
      <w:tr w:rsidR="00C95588" w:rsidRPr="00C95588" w14:paraId="5B4336D4" w14:textId="77777777" w:rsidTr="00C95588">
        <w:tc>
          <w:tcPr>
            <w:tcW w:w="3823" w:type="dxa"/>
            <w:shd w:val="clear" w:color="auto" w:fill="A6A6A6" w:themeFill="background1" w:themeFillShade="A6"/>
          </w:tcPr>
          <w:p w14:paraId="38096FBD" w14:textId="3B8D623B" w:rsidR="00165104" w:rsidRPr="00C95588" w:rsidRDefault="00165104" w:rsidP="00854ADB">
            <w:pPr>
              <w:spacing w:line="276" w:lineRule="auto"/>
              <w:rPr>
                <w:b/>
                <w:szCs w:val="24"/>
              </w:rPr>
            </w:pPr>
            <w:r w:rsidRPr="00C95588">
              <w:rPr>
                <w:b/>
                <w:szCs w:val="24"/>
              </w:rPr>
              <w:t>Produits 201</w:t>
            </w:r>
            <w:r w:rsidR="00854ADB">
              <w:rPr>
                <w:b/>
                <w:szCs w:val="24"/>
              </w:rPr>
              <w:t>8</w:t>
            </w:r>
          </w:p>
        </w:tc>
        <w:tc>
          <w:tcPr>
            <w:tcW w:w="5239" w:type="dxa"/>
            <w:shd w:val="clear" w:color="auto" w:fill="A6A6A6" w:themeFill="background1" w:themeFillShade="A6"/>
          </w:tcPr>
          <w:p w14:paraId="5D10741C" w14:textId="77777777" w:rsidR="00165104" w:rsidRPr="00C95588" w:rsidRDefault="00165104" w:rsidP="00C95588">
            <w:pPr>
              <w:spacing w:line="276" w:lineRule="auto"/>
              <w:rPr>
                <w:b/>
                <w:szCs w:val="24"/>
              </w:rPr>
            </w:pPr>
            <w:r w:rsidRPr="00C95588">
              <w:rPr>
                <w:b/>
                <w:szCs w:val="24"/>
              </w:rPr>
              <w:t>Lien avec les indicateurs communs</w:t>
            </w:r>
          </w:p>
        </w:tc>
      </w:tr>
      <w:tr w:rsidR="00C95588" w:rsidRPr="00C95588" w14:paraId="7E99061B" w14:textId="77777777" w:rsidTr="00C95588">
        <w:tc>
          <w:tcPr>
            <w:tcW w:w="3823" w:type="dxa"/>
          </w:tcPr>
          <w:p w14:paraId="3C9B48FE" w14:textId="77777777" w:rsidR="00165104" w:rsidRPr="00C95588" w:rsidRDefault="00165104" w:rsidP="00C95588">
            <w:pPr>
              <w:spacing w:line="276" w:lineRule="auto"/>
              <w:rPr>
                <w:szCs w:val="24"/>
              </w:rPr>
            </w:pPr>
            <w:r w:rsidRPr="00C95588">
              <w:rPr>
                <w:szCs w:val="24"/>
                <w:lang w:val="fr-BE"/>
              </w:rPr>
              <w:t>Lait demi-écrémé UHT</w:t>
            </w:r>
          </w:p>
        </w:tc>
        <w:tc>
          <w:tcPr>
            <w:tcW w:w="5239" w:type="dxa"/>
            <w:shd w:val="clear" w:color="auto" w:fill="auto"/>
          </w:tcPr>
          <w:p w14:paraId="2C4C1A48" w14:textId="77777777" w:rsidR="00165104" w:rsidRPr="00C95588" w:rsidRDefault="00165104" w:rsidP="00C95588">
            <w:pPr>
              <w:spacing w:before="100" w:beforeAutospacing="1" w:after="100" w:afterAutospacing="1" w:line="276" w:lineRule="auto"/>
              <w:rPr>
                <w:bCs/>
                <w:szCs w:val="24"/>
              </w:rPr>
            </w:pPr>
            <w:r w:rsidRPr="00C95588">
              <w:rPr>
                <w:bCs/>
                <w:szCs w:val="24"/>
              </w:rPr>
              <w:t>Produits laitiers</w:t>
            </w:r>
          </w:p>
        </w:tc>
      </w:tr>
      <w:tr w:rsidR="00C95588" w:rsidRPr="00C95588" w14:paraId="425A3656" w14:textId="77777777" w:rsidTr="00C95588">
        <w:tc>
          <w:tcPr>
            <w:tcW w:w="3823" w:type="dxa"/>
          </w:tcPr>
          <w:p w14:paraId="4F8C44BA" w14:textId="69AF0437" w:rsidR="00165104" w:rsidRPr="00C95588" w:rsidRDefault="00165104" w:rsidP="00854ADB">
            <w:pPr>
              <w:rPr>
                <w:szCs w:val="24"/>
                <w:lang w:val="fr-BE"/>
              </w:rPr>
            </w:pPr>
            <w:r w:rsidRPr="00C95588">
              <w:rPr>
                <w:szCs w:val="24"/>
                <w:lang w:val="fr-BE"/>
              </w:rPr>
              <w:lastRenderedPageBreak/>
              <w:t>Maquereaux à l’huile d</w:t>
            </w:r>
            <w:r w:rsidR="00854ADB">
              <w:rPr>
                <w:szCs w:val="24"/>
                <w:lang w:val="fr-BE"/>
              </w:rPr>
              <w:t>e tournesol</w:t>
            </w:r>
          </w:p>
        </w:tc>
        <w:tc>
          <w:tcPr>
            <w:tcW w:w="5239" w:type="dxa"/>
            <w:shd w:val="clear" w:color="auto" w:fill="auto"/>
          </w:tcPr>
          <w:p w14:paraId="5335646B" w14:textId="77777777" w:rsidR="00165104" w:rsidRPr="00C95588" w:rsidRDefault="00165104" w:rsidP="00C95588">
            <w:pPr>
              <w:spacing w:before="100" w:beforeAutospacing="1" w:after="100" w:afterAutospacing="1"/>
              <w:rPr>
                <w:bCs/>
                <w:szCs w:val="24"/>
              </w:rPr>
            </w:pPr>
            <w:r w:rsidRPr="00C95588">
              <w:rPr>
                <w:bCs/>
                <w:szCs w:val="24"/>
              </w:rPr>
              <w:t>Viandes, œufs, poissons et fruits de mer</w:t>
            </w:r>
          </w:p>
        </w:tc>
      </w:tr>
      <w:tr w:rsidR="00C95588" w:rsidRPr="00C95588" w14:paraId="2C32EC24" w14:textId="77777777" w:rsidTr="00C95588">
        <w:tc>
          <w:tcPr>
            <w:tcW w:w="3823" w:type="dxa"/>
          </w:tcPr>
          <w:p w14:paraId="19E35670" w14:textId="77777777" w:rsidR="00165104" w:rsidRPr="00C95588" w:rsidRDefault="00165104" w:rsidP="00C95588">
            <w:pPr>
              <w:spacing w:line="276" w:lineRule="auto"/>
              <w:rPr>
                <w:szCs w:val="24"/>
              </w:rPr>
            </w:pPr>
            <w:r w:rsidRPr="00C95588">
              <w:rPr>
                <w:szCs w:val="24"/>
                <w:lang w:val="fr-BE"/>
              </w:rPr>
              <w:t>Salade de riz au thon</w:t>
            </w:r>
          </w:p>
        </w:tc>
        <w:tc>
          <w:tcPr>
            <w:tcW w:w="5239" w:type="dxa"/>
            <w:shd w:val="clear" w:color="auto" w:fill="auto"/>
          </w:tcPr>
          <w:p w14:paraId="4177CE52" w14:textId="77777777" w:rsidR="00165104" w:rsidRPr="00C95588" w:rsidRDefault="00165104" w:rsidP="00C95588">
            <w:pPr>
              <w:spacing w:line="276" w:lineRule="auto"/>
              <w:rPr>
                <w:szCs w:val="24"/>
              </w:rPr>
            </w:pPr>
            <w:r w:rsidRPr="00C95588">
              <w:rPr>
                <w:szCs w:val="24"/>
              </w:rPr>
              <w:t>Plats cuisinés, autres denrées alimentaires</w:t>
            </w:r>
          </w:p>
        </w:tc>
      </w:tr>
      <w:tr w:rsidR="00C95588" w:rsidRPr="00C95588" w14:paraId="003C7F40" w14:textId="77777777" w:rsidTr="00C95588">
        <w:tc>
          <w:tcPr>
            <w:tcW w:w="3823" w:type="dxa"/>
          </w:tcPr>
          <w:p w14:paraId="3899FE71" w14:textId="77777777" w:rsidR="00165104" w:rsidRPr="00C95588" w:rsidRDefault="00165104" w:rsidP="00C95588">
            <w:pPr>
              <w:spacing w:line="276" w:lineRule="auto"/>
              <w:rPr>
                <w:szCs w:val="24"/>
              </w:rPr>
            </w:pPr>
            <w:r w:rsidRPr="00C95588">
              <w:rPr>
                <w:szCs w:val="24"/>
                <w:lang w:val="fr-BE"/>
              </w:rPr>
              <w:t>Farine de blé</w:t>
            </w:r>
          </w:p>
        </w:tc>
        <w:tc>
          <w:tcPr>
            <w:tcW w:w="5239" w:type="dxa"/>
            <w:shd w:val="clear" w:color="auto" w:fill="auto"/>
          </w:tcPr>
          <w:p w14:paraId="06C2F4F8" w14:textId="77777777" w:rsidR="00165104" w:rsidRPr="00C95588" w:rsidRDefault="00165104" w:rsidP="00C95588">
            <w:pPr>
              <w:spacing w:before="100" w:beforeAutospacing="1" w:after="100" w:afterAutospacing="1" w:line="276" w:lineRule="auto"/>
              <w:rPr>
                <w:szCs w:val="24"/>
              </w:rPr>
            </w:pPr>
            <w:r w:rsidRPr="00C95588">
              <w:rPr>
                <w:szCs w:val="24"/>
              </w:rPr>
              <w:t>Farine, pain, pommes de terre, riz et autres produits riches en amidon</w:t>
            </w:r>
          </w:p>
        </w:tc>
      </w:tr>
      <w:tr w:rsidR="00C95588" w:rsidRPr="00C95588" w14:paraId="59AE2B8D" w14:textId="77777777" w:rsidTr="00C95588">
        <w:tc>
          <w:tcPr>
            <w:tcW w:w="3823" w:type="dxa"/>
          </w:tcPr>
          <w:p w14:paraId="2BEA73B9" w14:textId="77777777" w:rsidR="00165104" w:rsidRPr="00C95588" w:rsidRDefault="00165104" w:rsidP="00C95588">
            <w:pPr>
              <w:rPr>
                <w:szCs w:val="24"/>
                <w:lang w:val="fr-BE"/>
              </w:rPr>
            </w:pPr>
            <w:r w:rsidRPr="00C95588">
              <w:rPr>
                <w:szCs w:val="24"/>
                <w:lang w:val="fr-BE"/>
              </w:rPr>
              <w:t>Café moulu 100% arabica issu du commerce équitable</w:t>
            </w:r>
          </w:p>
        </w:tc>
        <w:tc>
          <w:tcPr>
            <w:tcW w:w="5239" w:type="dxa"/>
            <w:shd w:val="clear" w:color="auto" w:fill="auto"/>
          </w:tcPr>
          <w:p w14:paraId="5C663FE5" w14:textId="77777777" w:rsidR="00165104" w:rsidRPr="00C95588" w:rsidRDefault="00165104" w:rsidP="00C95588">
            <w:pPr>
              <w:spacing w:before="100" w:beforeAutospacing="1" w:after="100" w:afterAutospacing="1"/>
              <w:rPr>
                <w:szCs w:val="24"/>
              </w:rPr>
            </w:pPr>
            <w:r w:rsidRPr="00C95588">
              <w:rPr>
                <w:szCs w:val="24"/>
              </w:rPr>
              <w:t>Plats cuisinés, autres denrées alimentaires</w:t>
            </w:r>
          </w:p>
        </w:tc>
      </w:tr>
      <w:tr w:rsidR="00C95588" w:rsidRPr="00C95588" w14:paraId="159531A6" w14:textId="77777777" w:rsidTr="00C95588">
        <w:tc>
          <w:tcPr>
            <w:tcW w:w="3823" w:type="dxa"/>
          </w:tcPr>
          <w:p w14:paraId="09C9A7A1" w14:textId="77777777" w:rsidR="00165104" w:rsidRPr="00C95588" w:rsidRDefault="00165104" w:rsidP="00C95588">
            <w:pPr>
              <w:spacing w:line="276" w:lineRule="auto"/>
              <w:rPr>
                <w:szCs w:val="24"/>
              </w:rPr>
            </w:pPr>
            <w:r w:rsidRPr="00C95588">
              <w:rPr>
                <w:szCs w:val="24"/>
                <w:lang w:val="fr-BE"/>
              </w:rPr>
              <w:t>Pâtes: Spaghetti biologiques</w:t>
            </w:r>
          </w:p>
        </w:tc>
        <w:tc>
          <w:tcPr>
            <w:tcW w:w="5239" w:type="dxa"/>
            <w:shd w:val="clear" w:color="auto" w:fill="auto"/>
          </w:tcPr>
          <w:p w14:paraId="18307214" w14:textId="77777777" w:rsidR="00165104" w:rsidRPr="00C95588" w:rsidRDefault="00165104" w:rsidP="00C95588">
            <w:pPr>
              <w:spacing w:before="100" w:beforeAutospacing="1" w:after="100" w:afterAutospacing="1" w:line="276" w:lineRule="auto"/>
              <w:rPr>
                <w:szCs w:val="24"/>
              </w:rPr>
            </w:pPr>
            <w:r w:rsidRPr="00C95588">
              <w:rPr>
                <w:szCs w:val="24"/>
              </w:rPr>
              <w:t>Farine, pain, pommes de terre, riz et autres produits riches en amidon</w:t>
            </w:r>
          </w:p>
        </w:tc>
      </w:tr>
      <w:tr w:rsidR="00C95588" w:rsidRPr="00C95588" w14:paraId="7150A3E1" w14:textId="77777777" w:rsidTr="00C95588">
        <w:tc>
          <w:tcPr>
            <w:tcW w:w="3823" w:type="dxa"/>
          </w:tcPr>
          <w:p w14:paraId="179E729E" w14:textId="41ABD14B" w:rsidR="00165104" w:rsidRPr="00C95588" w:rsidRDefault="00165104" w:rsidP="00854ADB">
            <w:pPr>
              <w:spacing w:line="276" w:lineRule="auto"/>
              <w:rPr>
                <w:szCs w:val="24"/>
              </w:rPr>
            </w:pPr>
            <w:r w:rsidRPr="00C95588">
              <w:rPr>
                <w:szCs w:val="24"/>
                <w:lang w:val="fr-BE"/>
              </w:rPr>
              <w:t xml:space="preserve">Pâtes: </w:t>
            </w:r>
            <w:r w:rsidR="00854ADB">
              <w:rPr>
                <w:szCs w:val="24"/>
                <w:lang w:val="fr-BE"/>
              </w:rPr>
              <w:t>proposition libre</w:t>
            </w:r>
          </w:p>
        </w:tc>
        <w:tc>
          <w:tcPr>
            <w:tcW w:w="5239" w:type="dxa"/>
            <w:shd w:val="clear" w:color="auto" w:fill="auto"/>
          </w:tcPr>
          <w:p w14:paraId="349FCB8D" w14:textId="77777777" w:rsidR="00165104" w:rsidRPr="00C95588" w:rsidRDefault="00165104" w:rsidP="00C95588">
            <w:pPr>
              <w:spacing w:before="100" w:beforeAutospacing="1" w:after="100" w:afterAutospacing="1" w:line="276" w:lineRule="auto"/>
              <w:rPr>
                <w:szCs w:val="24"/>
              </w:rPr>
            </w:pPr>
            <w:r w:rsidRPr="00C95588">
              <w:rPr>
                <w:szCs w:val="24"/>
              </w:rPr>
              <w:t>Farine, pain, pommes de terre, riz et autres produits riches en amidon</w:t>
            </w:r>
          </w:p>
        </w:tc>
      </w:tr>
      <w:tr w:rsidR="00C95588" w:rsidRPr="00C95588" w14:paraId="691661A2" w14:textId="77777777" w:rsidTr="00C95588">
        <w:tc>
          <w:tcPr>
            <w:tcW w:w="3823" w:type="dxa"/>
          </w:tcPr>
          <w:p w14:paraId="3DABEFC4" w14:textId="77777777" w:rsidR="00165104" w:rsidRPr="00C95588" w:rsidRDefault="00165104" w:rsidP="00C95588">
            <w:pPr>
              <w:spacing w:line="276" w:lineRule="auto"/>
              <w:rPr>
                <w:szCs w:val="24"/>
              </w:rPr>
            </w:pPr>
            <w:r w:rsidRPr="00C95588">
              <w:rPr>
                <w:szCs w:val="24"/>
                <w:lang w:val="fr-BE"/>
              </w:rPr>
              <w:t>Riz</w:t>
            </w:r>
          </w:p>
        </w:tc>
        <w:tc>
          <w:tcPr>
            <w:tcW w:w="5239" w:type="dxa"/>
            <w:shd w:val="clear" w:color="auto" w:fill="auto"/>
          </w:tcPr>
          <w:p w14:paraId="081A03F4" w14:textId="77777777" w:rsidR="00165104" w:rsidRPr="00C95588" w:rsidRDefault="00165104" w:rsidP="00C95588">
            <w:pPr>
              <w:spacing w:before="100" w:beforeAutospacing="1" w:after="100" w:afterAutospacing="1" w:line="276" w:lineRule="auto"/>
              <w:rPr>
                <w:szCs w:val="24"/>
              </w:rPr>
            </w:pPr>
            <w:r w:rsidRPr="00C95588">
              <w:rPr>
                <w:szCs w:val="24"/>
              </w:rPr>
              <w:t>Farine, pain, pommes de terre, riz et autres produits riches en amidon</w:t>
            </w:r>
          </w:p>
        </w:tc>
      </w:tr>
      <w:tr w:rsidR="00C95588" w:rsidRPr="00C95588" w14:paraId="7B75B4D3" w14:textId="77777777" w:rsidTr="00C95588">
        <w:tc>
          <w:tcPr>
            <w:tcW w:w="3823" w:type="dxa"/>
          </w:tcPr>
          <w:p w14:paraId="1AAC7452" w14:textId="77777777" w:rsidR="00165104" w:rsidRPr="00C95588" w:rsidRDefault="00165104" w:rsidP="00C95588">
            <w:pPr>
              <w:spacing w:line="276" w:lineRule="auto"/>
              <w:rPr>
                <w:szCs w:val="24"/>
              </w:rPr>
            </w:pPr>
            <w:r w:rsidRPr="00C95588">
              <w:rPr>
                <w:szCs w:val="24"/>
                <w:lang w:val="fr-BE"/>
              </w:rPr>
              <w:t>Tomates pelées concassées en cubes</w:t>
            </w:r>
          </w:p>
        </w:tc>
        <w:tc>
          <w:tcPr>
            <w:tcW w:w="5239" w:type="dxa"/>
            <w:shd w:val="clear" w:color="auto" w:fill="auto"/>
          </w:tcPr>
          <w:p w14:paraId="64F739EA" w14:textId="77777777" w:rsidR="00165104" w:rsidRPr="00C95588" w:rsidRDefault="00165104" w:rsidP="00C95588">
            <w:pPr>
              <w:spacing w:line="276" w:lineRule="auto"/>
              <w:rPr>
                <w:szCs w:val="24"/>
              </w:rPr>
            </w:pPr>
            <w:r w:rsidRPr="00C95588">
              <w:rPr>
                <w:szCs w:val="24"/>
              </w:rPr>
              <w:t>Fruits et légumes</w:t>
            </w:r>
          </w:p>
        </w:tc>
      </w:tr>
      <w:tr w:rsidR="00C95588" w:rsidRPr="00C95588" w14:paraId="2BB35B6E" w14:textId="77777777" w:rsidTr="00C95588">
        <w:tc>
          <w:tcPr>
            <w:tcW w:w="3823" w:type="dxa"/>
          </w:tcPr>
          <w:p w14:paraId="6DA6F54A" w14:textId="77777777" w:rsidR="00165104" w:rsidRPr="00C95588" w:rsidRDefault="00165104" w:rsidP="00C95588">
            <w:pPr>
              <w:spacing w:line="276" w:lineRule="auto"/>
              <w:rPr>
                <w:szCs w:val="24"/>
              </w:rPr>
            </w:pPr>
            <w:r w:rsidRPr="00C95588">
              <w:rPr>
                <w:szCs w:val="24"/>
                <w:lang w:val="fr-BE"/>
              </w:rPr>
              <w:t>Haricots verts entiers très fins en conserve</w:t>
            </w:r>
          </w:p>
        </w:tc>
        <w:tc>
          <w:tcPr>
            <w:tcW w:w="5239" w:type="dxa"/>
            <w:shd w:val="clear" w:color="auto" w:fill="auto"/>
          </w:tcPr>
          <w:p w14:paraId="391D14CA" w14:textId="77777777" w:rsidR="00165104" w:rsidRPr="00C95588" w:rsidRDefault="00165104" w:rsidP="00C95588">
            <w:pPr>
              <w:spacing w:line="276" w:lineRule="auto"/>
              <w:rPr>
                <w:szCs w:val="24"/>
              </w:rPr>
            </w:pPr>
            <w:r w:rsidRPr="00C95588">
              <w:rPr>
                <w:szCs w:val="24"/>
              </w:rPr>
              <w:t>Fruits et légumes</w:t>
            </w:r>
          </w:p>
        </w:tc>
      </w:tr>
      <w:tr w:rsidR="00C95588" w:rsidRPr="00C95588" w14:paraId="732D1E9F" w14:textId="77777777" w:rsidTr="00C95588">
        <w:tc>
          <w:tcPr>
            <w:tcW w:w="3823" w:type="dxa"/>
          </w:tcPr>
          <w:p w14:paraId="1AC760D5" w14:textId="77777777" w:rsidR="00165104" w:rsidRPr="00C95588" w:rsidRDefault="00165104" w:rsidP="00C95588">
            <w:pPr>
              <w:spacing w:line="276" w:lineRule="auto"/>
              <w:rPr>
                <w:szCs w:val="24"/>
              </w:rPr>
            </w:pPr>
            <w:r w:rsidRPr="00C95588">
              <w:rPr>
                <w:szCs w:val="24"/>
                <w:lang w:val="fr-BE"/>
              </w:rPr>
              <w:t>Macédoine de légumes</w:t>
            </w:r>
          </w:p>
        </w:tc>
        <w:tc>
          <w:tcPr>
            <w:tcW w:w="5239" w:type="dxa"/>
            <w:shd w:val="clear" w:color="auto" w:fill="auto"/>
          </w:tcPr>
          <w:p w14:paraId="6DDA84FF" w14:textId="77777777" w:rsidR="00165104" w:rsidRPr="00C95588" w:rsidRDefault="00165104" w:rsidP="00C95588">
            <w:pPr>
              <w:spacing w:line="276" w:lineRule="auto"/>
              <w:rPr>
                <w:szCs w:val="24"/>
              </w:rPr>
            </w:pPr>
            <w:r w:rsidRPr="00C95588">
              <w:rPr>
                <w:szCs w:val="24"/>
              </w:rPr>
              <w:t>Fruits et légumes</w:t>
            </w:r>
          </w:p>
        </w:tc>
      </w:tr>
      <w:tr w:rsidR="00C95588" w:rsidRPr="00C95588" w14:paraId="2927D89F" w14:textId="77777777" w:rsidTr="00C95588">
        <w:tc>
          <w:tcPr>
            <w:tcW w:w="3823" w:type="dxa"/>
          </w:tcPr>
          <w:p w14:paraId="24FCC0DC" w14:textId="60573BAD" w:rsidR="00165104" w:rsidRPr="00C95588" w:rsidRDefault="00165104" w:rsidP="00854ADB">
            <w:pPr>
              <w:spacing w:line="276" w:lineRule="auto"/>
              <w:rPr>
                <w:szCs w:val="24"/>
              </w:rPr>
            </w:pPr>
            <w:r w:rsidRPr="00C95588">
              <w:rPr>
                <w:szCs w:val="24"/>
                <w:lang w:val="fr-BE"/>
              </w:rPr>
              <w:t xml:space="preserve">Haricots </w:t>
            </w:r>
            <w:r w:rsidR="00854ADB">
              <w:rPr>
                <w:szCs w:val="24"/>
                <w:lang w:val="fr-BE"/>
              </w:rPr>
              <w:t>rouges</w:t>
            </w:r>
          </w:p>
        </w:tc>
        <w:tc>
          <w:tcPr>
            <w:tcW w:w="5239" w:type="dxa"/>
            <w:shd w:val="clear" w:color="auto" w:fill="auto"/>
          </w:tcPr>
          <w:p w14:paraId="0F7F7E95" w14:textId="77777777" w:rsidR="00165104" w:rsidRPr="00C95588" w:rsidRDefault="00165104" w:rsidP="00C95588">
            <w:pPr>
              <w:spacing w:line="276" w:lineRule="auto"/>
              <w:rPr>
                <w:szCs w:val="24"/>
              </w:rPr>
            </w:pPr>
            <w:r w:rsidRPr="00C95588">
              <w:rPr>
                <w:szCs w:val="24"/>
              </w:rPr>
              <w:t>Fruits et légumes</w:t>
            </w:r>
          </w:p>
        </w:tc>
      </w:tr>
      <w:tr w:rsidR="00C95588" w:rsidRPr="00C95588" w14:paraId="5C28656F" w14:textId="77777777" w:rsidTr="00C95588">
        <w:tc>
          <w:tcPr>
            <w:tcW w:w="3823" w:type="dxa"/>
          </w:tcPr>
          <w:p w14:paraId="78AE11F7" w14:textId="77777777" w:rsidR="00165104" w:rsidRPr="00C95588" w:rsidRDefault="00165104" w:rsidP="00C95588">
            <w:pPr>
              <w:rPr>
                <w:szCs w:val="24"/>
                <w:lang w:val="fr-BE"/>
              </w:rPr>
            </w:pPr>
            <w:r w:rsidRPr="00C95588">
              <w:rPr>
                <w:szCs w:val="24"/>
                <w:lang w:val="fr-BE"/>
              </w:rPr>
              <w:t>Mousseline de pommes</w:t>
            </w:r>
          </w:p>
        </w:tc>
        <w:tc>
          <w:tcPr>
            <w:tcW w:w="5239" w:type="dxa"/>
            <w:shd w:val="clear" w:color="auto" w:fill="auto"/>
          </w:tcPr>
          <w:p w14:paraId="48F43880" w14:textId="77777777" w:rsidR="00165104" w:rsidRPr="00C95588" w:rsidRDefault="00165104" w:rsidP="00C95588">
            <w:pPr>
              <w:rPr>
                <w:szCs w:val="24"/>
              </w:rPr>
            </w:pPr>
            <w:r w:rsidRPr="00C95588">
              <w:rPr>
                <w:szCs w:val="24"/>
              </w:rPr>
              <w:t>Fruits et légumes</w:t>
            </w:r>
          </w:p>
        </w:tc>
      </w:tr>
      <w:tr w:rsidR="00C95588" w:rsidRPr="00C95588" w14:paraId="0A356317" w14:textId="77777777" w:rsidTr="00C95588">
        <w:tc>
          <w:tcPr>
            <w:tcW w:w="3823" w:type="dxa"/>
          </w:tcPr>
          <w:p w14:paraId="14C8327C" w14:textId="77777777" w:rsidR="00165104" w:rsidRPr="00C95588" w:rsidRDefault="00165104" w:rsidP="00C95588">
            <w:pPr>
              <w:spacing w:line="276" w:lineRule="auto"/>
              <w:rPr>
                <w:szCs w:val="24"/>
                <w:lang w:val="fr-BE"/>
              </w:rPr>
            </w:pPr>
            <w:r w:rsidRPr="00C95588">
              <w:rPr>
                <w:szCs w:val="24"/>
                <w:lang w:val="fr-BE"/>
              </w:rPr>
              <w:t>Fromage fondu à tartiner</w:t>
            </w:r>
          </w:p>
        </w:tc>
        <w:tc>
          <w:tcPr>
            <w:tcW w:w="5239" w:type="dxa"/>
            <w:shd w:val="clear" w:color="auto" w:fill="auto"/>
          </w:tcPr>
          <w:p w14:paraId="5F458CBF" w14:textId="77777777" w:rsidR="00165104" w:rsidRPr="00C95588" w:rsidRDefault="00165104" w:rsidP="00C95588">
            <w:pPr>
              <w:spacing w:line="276" w:lineRule="auto"/>
              <w:rPr>
                <w:szCs w:val="24"/>
              </w:rPr>
            </w:pPr>
            <w:r w:rsidRPr="00C95588">
              <w:rPr>
                <w:bCs/>
                <w:szCs w:val="24"/>
              </w:rPr>
              <w:t>Produits laitiers</w:t>
            </w:r>
          </w:p>
        </w:tc>
      </w:tr>
      <w:tr w:rsidR="00C95588" w:rsidRPr="00C95588" w14:paraId="0CC12B40" w14:textId="77777777" w:rsidTr="00C95588">
        <w:tc>
          <w:tcPr>
            <w:tcW w:w="3823" w:type="dxa"/>
          </w:tcPr>
          <w:p w14:paraId="3D272BD1" w14:textId="4DDAC280" w:rsidR="00165104" w:rsidRPr="00C95588" w:rsidRDefault="00165104" w:rsidP="00854ADB">
            <w:pPr>
              <w:spacing w:line="276" w:lineRule="auto"/>
              <w:rPr>
                <w:szCs w:val="24"/>
                <w:lang w:val="fr-BE"/>
              </w:rPr>
            </w:pPr>
            <w:r w:rsidRPr="00C95588">
              <w:rPr>
                <w:szCs w:val="24"/>
                <w:lang w:val="fr-BE"/>
              </w:rPr>
              <w:t xml:space="preserve">Confiture </w:t>
            </w:r>
            <w:r w:rsidR="00854ADB">
              <w:rPr>
                <w:szCs w:val="24"/>
                <w:lang w:val="fr-BE"/>
              </w:rPr>
              <w:t>de fraises</w:t>
            </w:r>
          </w:p>
        </w:tc>
        <w:tc>
          <w:tcPr>
            <w:tcW w:w="5239" w:type="dxa"/>
            <w:shd w:val="clear" w:color="auto" w:fill="auto"/>
          </w:tcPr>
          <w:p w14:paraId="22C8CF30" w14:textId="77777777" w:rsidR="00165104" w:rsidRPr="00C95588" w:rsidRDefault="00165104" w:rsidP="00C95588">
            <w:pPr>
              <w:spacing w:line="276" w:lineRule="auto"/>
              <w:rPr>
                <w:szCs w:val="24"/>
              </w:rPr>
            </w:pPr>
            <w:r w:rsidRPr="00C95588">
              <w:rPr>
                <w:szCs w:val="24"/>
              </w:rPr>
              <w:t>Plats cuisinés, autres denrées alimentaires</w:t>
            </w:r>
          </w:p>
        </w:tc>
      </w:tr>
      <w:tr w:rsidR="00C95588" w:rsidRPr="00C95588" w14:paraId="7168577B" w14:textId="77777777" w:rsidTr="00C95588">
        <w:tc>
          <w:tcPr>
            <w:tcW w:w="3823" w:type="dxa"/>
          </w:tcPr>
          <w:p w14:paraId="69A4DC50" w14:textId="77777777" w:rsidR="00165104" w:rsidRPr="00C95588" w:rsidRDefault="00165104" w:rsidP="00C95588">
            <w:pPr>
              <w:spacing w:line="276" w:lineRule="auto"/>
              <w:rPr>
                <w:szCs w:val="24"/>
                <w:lang w:val="fr-BE"/>
              </w:rPr>
            </w:pPr>
            <w:r w:rsidRPr="00C95588">
              <w:rPr>
                <w:szCs w:val="24"/>
                <w:lang w:val="fr-BE"/>
              </w:rPr>
              <w:t>Huile d’olive</w:t>
            </w:r>
          </w:p>
        </w:tc>
        <w:tc>
          <w:tcPr>
            <w:tcW w:w="5239" w:type="dxa"/>
            <w:shd w:val="clear" w:color="auto" w:fill="auto"/>
          </w:tcPr>
          <w:p w14:paraId="74A4CD63" w14:textId="77777777" w:rsidR="00165104" w:rsidRPr="00C95588" w:rsidRDefault="00165104" w:rsidP="00C95588">
            <w:pPr>
              <w:spacing w:line="276" w:lineRule="auto"/>
              <w:rPr>
                <w:szCs w:val="24"/>
              </w:rPr>
            </w:pPr>
            <w:r w:rsidRPr="00C95588">
              <w:rPr>
                <w:szCs w:val="24"/>
              </w:rPr>
              <w:t>Graisses, huiles</w:t>
            </w:r>
          </w:p>
        </w:tc>
      </w:tr>
      <w:tr w:rsidR="00C95588" w:rsidRPr="00C95588" w14:paraId="5A1961C5" w14:textId="77777777" w:rsidTr="00C95588">
        <w:tc>
          <w:tcPr>
            <w:tcW w:w="3823" w:type="dxa"/>
          </w:tcPr>
          <w:p w14:paraId="05D3AA10" w14:textId="77777777" w:rsidR="00165104" w:rsidRPr="00C95588" w:rsidRDefault="00165104" w:rsidP="00C95588">
            <w:pPr>
              <w:spacing w:line="276" w:lineRule="auto"/>
              <w:rPr>
                <w:szCs w:val="24"/>
                <w:lang w:val="fr-BE"/>
              </w:rPr>
            </w:pPr>
            <w:r w:rsidRPr="00C95588">
              <w:rPr>
                <w:szCs w:val="24"/>
                <w:lang w:val="fr-BE"/>
              </w:rPr>
              <w:t>Chocolat noir issu du commerce équitable</w:t>
            </w:r>
          </w:p>
        </w:tc>
        <w:tc>
          <w:tcPr>
            <w:tcW w:w="5239" w:type="dxa"/>
            <w:shd w:val="clear" w:color="auto" w:fill="auto"/>
          </w:tcPr>
          <w:p w14:paraId="242FD55F" w14:textId="77777777" w:rsidR="00165104" w:rsidRPr="00C95588" w:rsidRDefault="00165104" w:rsidP="00C95588">
            <w:pPr>
              <w:spacing w:line="276" w:lineRule="auto"/>
              <w:rPr>
                <w:szCs w:val="24"/>
              </w:rPr>
            </w:pPr>
            <w:r w:rsidRPr="00C95588">
              <w:rPr>
                <w:szCs w:val="24"/>
              </w:rPr>
              <w:t>Plats cuisinés, autres denrées alimentaires</w:t>
            </w:r>
          </w:p>
        </w:tc>
      </w:tr>
      <w:tr w:rsidR="00C95588" w:rsidRPr="00C95588" w14:paraId="5F3EA5F6" w14:textId="77777777" w:rsidTr="00C95588">
        <w:tc>
          <w:tcPr>
            <w:tcW w:w="3823" w:type="dxa"/>
          </w:tcPr>
          <w:p w14:paraId="1AC8AE9E" w14:textId="17115378" w:rsidR="00165104" w:rsidRPr="00C95588" w:rsidRDefault="00854ADB" w:rsidP="00C95588">
            <w:pPr>
              <w:rPr>
                <w:szCs w:val="24"/>
                <w:lang w:val="fr-BE"/>
              </w:rPr>
            </w:pPr>
            <w:r>
              <w:rPr>
                <w:szCs w:val="24"/>
                <w:lang w:val="fr-BE"/>
              </w:rPr>
              <w:t>Muesli aux fruits secs</w:t>
            </w:r>
          </w:p>
        </w:tc>
        <w:tc>
          <w:tcPr>
            <w:tcW w:w="5239" w:type="dxa"/>
            <w:shd w:val="clear" w:color="auto" w:fill="auto"/>
          </w:tcPr>
          <w:p w14:paraId="1FDF9407" w14:textId="77777777" w:rsidR="00165104" w:rsidRPr="00C95588" w:rsidRDefault="00165104" w:rsidP="00C95588">
            <w:pPr>
              <w:rPr>
                <w:szCs w:val="24"/>
              </w:rPr>
            </w:pPr>
            <w:r w:rsidRPr="00C95588">
              <w:rPr>
                <w:szCs w:val="24"/>
              </w:rPr>
              <w:t>Farine, pain, pommes de terre, riz et autres produits riches en amidon</w:t>
            </w:r>
          </w:p>
        </w:tc>
      </w:tr>
      <w:tr w:rsidR="00C95588" w:rsidRPr="00C95588" w14:paraId="0F4FB164" w14:textId="77777777" w:rsidTr="00C95588">
        <w:tc>
          <w:tcPr>
            <w:tcW w:w="3823" w:type="dxa"/>
          </w:tcPr>
          <w:p w14:paraId="38464482" w14:textId="77777777" w:rsidR="00165104" w:rsidRPr="00C95588" w:rsidRDefault="00165104" w:rsidP="00C95588">
            <w:pPr>
              <w:rPr>
                <w:szCs w:val="24"/>
                <w:lang w:val="fr-BE"/>
              </w:rPr>
            </w:pPr>
            <w:r w:rsidRPr="00C95588">
              <w:rPr>
                <w:szCs w:val="24"/>
                <w:lang w:val="fr-BE"/>
              </w:rPr>
              <w:t>Poulet aux olives et citron</w:t>
            </w:r>
          </w:p>
        </w:tc>
        <w:tc>
          <w:tcPr>
            <w:tcW w:w="5239" w:type="dxa"/>
            <w:shd w:val="clear" w:color="auto" w:fill="auto"/>
          </w:tcPr>
          <w:p w14:paraId="7ABF132D" w14:textId="77777777" w:rsidR="00165104" w:rsidRPr="00C95588" w:rsidRDefault="00165104" w:rsidP="00C95588">
            <w:pPr>
              <w:rPr>
                <w:szCs w:val="24"/>
              </w:rPr>
            </w:pPr>
            <w:r w:rsidRPr="00C95588">
              <w:rPr>
                <w:szCs w:val="24"/>
              </w:rPr>
              <w:t>Plats cuisinés, autres denrées alimentaires</w:t>
            </w:r>
          </w:p>
        </w:tc>
      </w:tr>
      <w:tr w:rsidR="00C95588" w:rsidRPr="00C95588" w14:paraId="62A88948" w14:textId="77777777" w:rsidTr="00C95588">
        <w:tc>
          <w:tcPr>
            <w:tcW w:w="3823" w:type="dxa"/>
          </w:tcPr>
          <w:p w14:paraId="7F550F88" w14:textId="77777777" w:rsidR="00165104" w:rsidRPr="00C95588" w:rsidRDefault="00165104" w:rsidP="00C95588">
            <w:pPr>
              <w:rPr>
                <w:szCs w:val="24"/>
                <w:lang w:val="fr-BE"/>
              </w:rPr>
            </w:pPr>
            <w:r w:rsidRPr="00C95588">
              <w:rPr>
                <w:szCs w:val="24"/>
                <w:lang w:val="fr-BE"/>
              </w:rPr>
              <w:t>Boulettes sauce tomate</w:t>
            </w:r>
          </w:p>
        </w:tc>
        <w:tc>
          <w:tcPr>
            <w:tcW w:w="5239" w:type="dxa"/>
            <w:shd w:val="clear" w:color="auto" w:fill="auto"/>
          </w:tcPr>
          <w:p w14:paraId="7D41DC2C" w14:textId="77777777" w:rsidR="00165104" w:rsidRPr="00C95588" w:rsidRDefault="00165104" w:rsidP="00C95588">
            <w:pPr>
              <w:rPr>
                <w:szCs w:val="24"/>
              </w:rPr>
            </w:pPr>
            <w:r w:rsidRPr="00C95588">
              <w:rPr>
                <w:szCs w:val="24"/>
              </w:rPr>
              <w:t>Plats cuisinés, autres denrées alimentaires</w:t>
            </w:r>
          </w:p>
        </w:tc>
      </w:tr>
    </w:tbl>
    <w:p w14:paraId="45A5C73A" w14:textId="77777777" w:rsidR="00C95588" w:rsidRDefault="00C95588" w:rsidP="00165104">
      <w:pPr>
        <w:rPr>
          <w:szCs w:val="24"/>
        </w:rPr>
      </w:pPr>
    </w:p>
    <w:p w14:paraId="1042C700" w14:textId="280C320E" w:rsidR="00165104" w:rsidRDefault="00EC05E9" w:rsidP="00165104">
      <w:pPr>
        <w:rPr>
          <w:szCs w:val="24"/>
        </w:rPr>
      </w:pPr>
      <w:r w:rsidRPr="00EC05E9">
        <w:rPr>
          <w:szCs w:val="24"/>
        </w:rPr>
        <w:t>Comme expliqué dans nos précédents rapports, l</w:t>
      </w:r>
      <w:r w:rsidR="00165104" w:rsidRPr="00EC05E9">
        <w:rPr>
          <w:szCs w:val="24"/>
        </w:rPr>
        <w:t xml:space="preserve">e choix des produits composant une campagne </w:t>
      </w:r>
      <w:r w:rsidR="00EE5202" w:rsidRPr="00EC05E9">
        <w:rPr>
          <w:szCs w:val="24"/>
        </w:rPr>
        <w:t>est fait</w:t>
      </w:r>
      <w:r w:rsidR="00165104" w:rsidRPr="00EC05E9">
        <w:rPr>
          <w:szCs w:val="24"/>
        </w:rPr>
        <w:t xml:space="preserve"> de manière concertée avec l’ensemble des acteurs: la Fédération des Banques Alimentaires, la </w:t>
      </w:r>
      <w:r w:rsidR="00193DB4">
        <w:rPr>
          <w:szCs w:val="24"/>
        </w:rPr>
        <w:t>C</w:t>
      </w:r>
      <w:r w:rsidR="00165104" w:rsidRPr="00EC05E9">
        <w:rPr>
          <w:szCs w:val="24"/>
        </w:rPr>
        <w:t xml:space="preserve">roix </w:t>
      </w:r>
      <w:r w:rsidR="00193DB4">
        <w:rPr>
          <w:szCs w:val="24"/>
        </w:rPr>
        <w:t>R</w:t>
      </w:r>
      <w:r w:rsidR="00165104" w:rsidRPr="00EC05E9">
        <w:rPr>
          <w:szCs w:val="24"/>
        </w:rPr>
        <w:t>ouge, la Fédération des CPAS, la Fédération des Services sociaux, etc.</w:t>
      </w:r>
      <w:r w:rsidRPr="00EC05E9">
        <w:rPr>
          <w:szCs w:val="24"/>
        </w:rPr>
        <w:t xml:space="preserve"> </w:t>
      </w:r>
      <w:r w:rsidR="00193DB4">
        <w:rPr>
          <w:szCs w:val="24"/>
        </w:rPr>
        <w:t>La composition des listes de produit est</w:t>
      </w:r>
      <w:r w:rsidRPr="00EC05E9">
        <w:rPr>
          <w:szCs w:val="24"/>
        </w:rPr>
        <w:t xml:space="preserve"> le fruit d’importantes </w:t>
      </w:r>
      <w:r w:rsidR="00856ACC" w:rsidRPr="00EC05E9">
        <w:rPr>
          <w:szCs w:val="24"/>
        </w:rPr>
        <w:t>réflexions</w:t>
      </w:r>
      <w:r w:rsidRPr="00EC05E9">
        <w:rPr>
          <w:szCs w:val="24"/>
        </w:rPr>
        <w:t>.</w:t>
      </w:r>
      <w:r w:rsidR="00165104" w:rsidRPr="00EC05E9">
        <w:rPr>
          <w:szCs w:val="24"/>
        </w:rPr>
        <w:t xml:space="preserve"> </w:t>
      </w:r>
      <w:r w:rsidRPr="00EC05E9">
        <w:rPr>
          <w:szCs w:val="24"/>
        </w:rPr>
        <w:t xml:space="preserve">Pour la campagne 2018, comme pour les campagnes précédentes, </w:t>
      </w:r>
      <w:r w:rsidR="00165104" w:rsidRPr="00EC05E9">
        <w:rPr>
          <w:szCs w:val="24"/>
        </w:rPr>
        <w:t xml:space="preserve">l’AG </w:t>
      </w:r>
      <w:r w:rsidRPr="00EC05E9">
        <w:rPr>
          <w:szCs w:val="24"/>
        </w:rPr>
        <w:t xml:space="preserve">a </w:t>
      </w:r>
      <w:r w:rsidR="00165104" w:rsidRPr="00EC05E9">
        <w:rPr>
          <w:szCs w:val="24"/>
        </w:rPr>
        <w:t>consult</w:t>
      </w:r>
      <w:r w:rsidRPr="00EC05E9">
        <w:rPr>
          <w:szCs w:val="24"/>
        </w:rPr>
        <w:t>é</w:t>
      </w:r>
      <w:r w:rsidR="00165104" w:rsidRPr="00EC05E9">
        <w:rPr>
          <w:szCs w:val="24"/>
        </w:rPr>
        <w:t xml:space="preserve"> </w:t>
      </w:r>
      <w:r w:rsidRPr="00EC05E9">
        <w:rPr>
          <w:szCs w:val="24"/>
        </w:rPr>
        <w:t xml:space="preserve">des </w:t>
      </w:r>
      <w:r w:rsidR="00165104" w:rsidRPr="00EC05E9">
        <w:rPr>
          <w:szCs w:val="24"/>
        </w:rPr>
        <w:t>experts en nutrition, en santé publique</w:t>
      </w:r>
      <w:r w:rsidR="00193DB4">
        <w:rPr>
          <w:szCs w:val="24"/>
        </w:rPr>
        <w:t xml:space="preserve"> et</w:t>
      </w:r>
      <w:r w:rsidR="00165104" w:rsidRPr="00EC05E9">
        <w:rPr>
          <w:szCs w:val="24"/>
        </w:rPr>
        <w:t xml:space="preserve"> en développement durable, etc.</w:t>
      </w:r>
      <w:r w:rsidR="00C95588" w:rsidRPr="00EC05E9">
        <w:rPr>
          <w:szCs w:val="24"/>
        </w:rPr>
        <w:t xml:space="preserve"> </w:t>
      </w:r>
      <w:r w:rsidR="00193DB4">
        <w:rPr>
          <w:szCs w:val="24"/>
        </w:rPr>
        <w:t>En 2018, l</w:t>
      </w:r>
      <w:r w:rsidR="00165104" w:rsidRPr="00EC05E9">
        <w:rPr>
          <w:szCs w:val="24"/>
        </w:rPr>
        <w:t>e process</w:t>
      </w:r>
      <w:r w:rsidR="00C95588" w:rsidRPr="00EC05E9">
        <w:rPr>
          <w:szCs w:val="24"/>
        </w:rPr>
        <w:t xml:space="preserve">us a suivi </w:t>
      </w:r>
      <w:r w:rsidR="00165104" w:rsidRPr="00EC05E9">
        <w:rPr>
          <w:szCs w:val="24"/>
        </w:rPr>
        <w:t>la procédure mise en place par l’AG pour la sélection des produits (voir aussi les rapports annuels précédents).</w:t>
      </w:r>
      <w:r>
        <w:rPr>
          <w:szCs w:val="24"/>
        </w:rPr>
        <w:t xml:space="preserve"> </w:t>
      </w:r>
    </w:p>
    <w:p w14:paraId="2F9BE871" w14:textId="76E8FAE8" w:rsidR="00C95588" w:rsidRPr="00EE5202" w:rsidRDefault="00EC05E9" w:rsidP="00165104">
      <w:r>
        <w:t>Dans le rapport de l’année passée, nous expliquions qu’une n</w:t>
      </w:r>
      <w:r w:rsidR="00165104" w:rsidRPr="00EE5202">
        <w:t xml:space="preserve">ouveauté </w:t>
      </w:r>
      <w:r>
        <w:t xml:space="preserve">avait été introduite </w:t>
      </w:r>
      <w:r w:rsidR="00165104" w:rsidRPr="00EE5202">
        <w:t>au niveau des plats préparés proposé</w:t>
      </w:r>
      <w:r w:rsidR="00C95588" w:rsidRPr="00EE5202">
        <w:t>s</w:t>
      </w:r>
      <w:r w:rsidR="00165104" w:rsidRPr="00EE5202">
        <w:t xml:space="preserve">: </w:t>
      </w:r>
      <w:r w:rsidR="00193DB4">
        <w:t xml:space="preserve">l’introduction d’un critère supplémentaire visant à améliorer la qualité des produits et basé sur </w:t>
      </w:r>
      <w:r w:rsidR="00EE5202" w:rsidRPr="00EE5202">
        <w:t>le goût</w:t>
      </w:r>
      <w:r w:rsidR="00193DB4">
        <w:t>, l’</w:t>
      </w:r>
      <w:r w:rsidR="00EE5202" w:rsidRPr="00EE5202">
        <w:t>odeur</w:t>
      </w:r>
      <w:r w:rsidR="00193DB4">
        <w:t xml:space="preserve"> et l’</w:t>
      </w:r>
      <w:r w:rsidR="00EE5202" w:rsidRPr="00EE5202">
        <w:t>aspect visuel. Ce critère a été évalué via une analyse organoleptique et des tests de laboratoire.</w:t>
      </w:r>
      <w:r>
        <w:t xml:space="preserve"> Cette façon de procéder pour les plats préparés a été reconduite en 2018. Nous avons en effet remarqué une nette amélioration de la qualité des plats proposés.</w:t>
      </w:r>
    </w:p>
    <w:p w14:paraId="0BA523BA" w14:textId="32C9B4BB" w:rsidR="00EC05E9" w:rsidRDefault="00C200A6" w:rsidP="00EC05E9">
      <w:r>
        <w:rPr>
          <w:szCs w:val="24"/>
        </w:rPr>
        <w:lastRenderedPageBreak/>
        <w:t>Comme expliqué plus haut, c</w:t>
      </w:r>
      <w:r w:rsidR="00EC05E9">
        <w:rPr>
          <w:szCs w:val="24"/>
        </w:rPr>
        <w:t>ette année, l’AG est allée plus loin</w:t>
      </w:r>
      <w:r>
        <w:rPr>
          <w:szCs w:val="24"/>
        </w:rPr>
        <w:t xml:space="preserve"> en insérant davantage de clauses </w:t>
      </w:r>
      <w:r w:rsidR="00143728">
        <w:rPr>
          <w:szCs w:val="24"/>
        </w:rPr>
        <w:t>qualitatives</w:t>
      </w:r>
      <w:r>
        <w:rPr>
          <w:szCs w:val="24"/>
        </w:rPr>
        <w:t xml:space="preserve"> et environnementales</w:t>
      </w:r>
      <w:r w:rsidR="0063421E">
        <w:rPr>
          <w:szCs w:val="24"/>
        </w:rPr>
        <w:t xml:space="preserve"> dans le cahier des charges pour l’achat de denrées</w:t>
      </w:r>
      <w:r>
        <w:rPr>
          <w:szCs w:val="24"/>
        </w:rPr>
        <w:t xml:space="preserve">. Pour cela, l’AG </w:t>
      </w:r>
      <w:r w:rsidR="00143728">
        <w:rPr>
          <w:szCs w:val="24"/>
        </w:rPr>
        <w:t>a fait appel à</w:t>
      </w:r>
      <w:r>
        <w:rPr>
          <w:szCs w:val="24"/>
        </w:rPr>
        <w:t xml:space="preserve"> un consultant en la matière. Le consultant sélectionné a </w:t>
      </w:r>
      <w:r>
        <w:t>capitalisé une grande expérience dans l’intégration des perspectives et exigences du développement durable dans les marchés publics depuis 2003. Le but de la mission était d’accompagner l’AG</w:t>
      </w:r>
      <w:r w:rsidR="0063421E">
        <w:t xml:space="preserve"> pour que les marchés lancés aillent plus loin dans l’intégration des clauses de durabilité tout en conservant l’essentiel de la démarche, c’est-à-dire stimuler l’aide sociale par la fourniture d’aliments.</w:t>
      </w:r>
    </w:p>
    <w:p w14:paraId="5F5FC218" w14:textId="43F23568" w:rsidR="00336135" w:rsidRDefault="00336135" w:rsidP="00EC05E9">
      <w:r>
        <w:t xml:space="preserve">Dans un but de partage d’expérience </w:t>
      </w:r>
      <w:r w:rsidR="00143728">
        <w:t>et d’auto-analyse,</w:t>
      </w:r>
      <w:r w:rsidR="00460C56">
        <w:t xml:space="preserve"> </w:t>
      </w:r>
      <w:r>
        <w:t xml:space="preserve">il nous semble intéressant d’expliquer ci-dessous </w:t>
      </w:r>
      <w:r w:rsidR="00C8249C">
        <w:t>le processus</w:t>
      </w:r>
      <w:r w:rsidR="00193DB4">
        <w:t xml:space="preserve"> </w:t>
      </w:r>
      <w:r w:rsidR="00143728">
        <w:t>: quelles ont été les propositions faites, quelles ont été les réflexions et pour finir quelle est l’évaluation que nous en faisons</w:t>
      </w:r>
      <w:r>
        <w:t>.</w:t>
      </w:r>
    </w:p>
    <w:p w14:paraId="0947C605" w14:textId="722A7198" w:rsidR="001A697E" w:rsidRPr="001A697E" w:rsidRDefault="001A697E" w:rsidP="00EC05E9">
      <w:r w:rsidRPr="001A697E">
        <w:t>Signalons également que certaines propositions faites pour améliorer la qualité des produits n’ont pas pu être mise en œuvre notamment en matière de qualité des produits primaires ou des modes de préparation des produits en conserve tels que demandés dans le cadre du FEAD.</w:t>
      </w:r>
      <w:r w:rsidR="003E2DCC">
        <w:t xml:space="preserve"> </w:t>
      </w:r>
      <w:r w:rsidR="00A25570" w:rsidRPr="001A697E">
        <w:t>C</w:t>
      </w:r>
      <w:r w:rsidR="00300295">
        <w:t>ela a été le cas pour le poulet</w:t>
      </w:r>
      <w:r w:rsidR="00A25570" w:rsidRPr="001A697E">
        <w:t xml:space="preserve">: l’expert a suggéré à l’AG de demander des poulets </w:t>
      </w:r>
      <w:r w:rsidRPr="001A697E">
        <w:t>élevés</w:t>
      </w:r>
      <w:r w:rsidR="00A25570" w:rsidRPr="001A697E">
        <w:t xml:space="preserve"> en plein air pour le plat préparé poulet aux olives et citron. Mais dans la pratique cela a été impossible à réaliser. De manière similaire, l’expert a conseillé à l’AG de demander des cuissons à basse température pour les plats préparés. Malheureusement, les cuissons à basse température sont incompatible</w:t>
      </w:r>
      <w:r w:rsidR="003E2DCC">
        <w:t>s</w:t>
      </w:r>
      <w:r w:rsidR="00A25570" w:rsidRPr="001A697E">
        <w:t xml:space="preserve"> avec la mise en boite et les durées de conservation demandées par le cahier des charges du FEAD.</w:t>
      </w:r>
    </w:p>
    <w:p w14:paraId="3E55F961" w14:textId="4F3FDC65" w:rsidR="00C62675" w:rsidRDefault="00185B3C" w:rsidP="00185B3C">
      <w:pPr>
        <w:rPr>
          <w:lang w:val="fr-BE"/>
        </w:rPr>
      </w:pPr>
      <w:r>
        <w:rPr>
          <w:lang w:val="fr-BE"/>
        </w:rPr>
        <w:t>L’AG</w:t>
      </w:r>
      <w:r w:rsidRPr="00185B3C">
        <w:rPr>
          <w:lang w:val="fr-BE"/>
        </w:rPr>
        <w:t xml:space="preserve"> s’est </w:t>
      </w:r>
      <w:r w:rsidR="003E2DCC">
        <w:rPr>
          <w:lang w:val="fr-BE"/>
        </w:rPr>
        <w:t xml:space="preserve">donc </w:t>
      </w:r>
      <w:r w:rsidRPr="00185B3C">
        <w:rPr>
          <w:lang w:val="fr-BE"/>
        </w:rPr>
        <w:t>fait accompagner par un expert en marchés publics durables afin de déterminer les paramétrages du marché public.</w:t>
      </w:r>
      <w:r>
        <w:rPr>
          <w:lang w:val="fr-BE"/>
        </w:rPr>
        <w:t xml:space="preserve"> Les propositions portaient </w:t>
      </w:r>
      <w:r w:rsidR="00C62675">
        <w:rPr>
          <w:lang w:val="fr-BE"/>
        </w:rPr>
        <w:t xml:space="preserve">à la fois sur l’exécution des marchés et </w:t>
      </w:r>
      <w:r>
        <w:rPr>
          <w:lang w:val="fr-BE"/>
        </w:rPr>
        <w:t>sur les processus de production, sur l’impact environnemental</w:t>
      </w:r>
      <w:r w:rsidR="00AF2ACD">
        <w:rPr>
          <w:lang w:val="fr-BE"/>
        </w:rPr>
        <w:t xml:space="preserve"> du transport, sur la qualité des produits primaires, et sur une rémunération plus équitable des producteurs.</w:t>
      </w:r>
      <w:r w:rsidRPr="00185B3C">
        <w:rPr>
          <w:lang w:val="fr-BE"/>
        </w:rPr>
        <w:t xml:space="preserve"> </w:t>
      </w:r>
    </w:p>
    <w:p w14:paraId="0DDA5641" w14:textId="1BD1CB6E" w:rsidR="00C62675" w:rsidRDefault="00C62675" w:rsidP="00185B3C">
      <w:pPr>
        <w:rPr>
          <w:lang w:val="fr-BE"/>
        </w:rPr>
      </w:pPr>
      <w:r>
        <w:rPr>
          <w:lang w:val="fr-BE"/>
        </w:rPr>
        <w:t>En ce qui concerne l’exécution du marché, différents éléments ont été introduits concernant les éléments de preuve du respect des cahiers des charges dans le cadre de l’exécution des marchés mais également l’obligation de fournir une liste complète des ingrédients entrant dans la composition des produits ou la réalisation de tests en laboratoires plus poussés pour les produits « bio » afin de s’assurer du label. Les soumissionnaires ont également été informé</w:t>
      </w:r>
      <w:r w:rsidR="003E2DCC">
        <w:rPr>
          <w:lang w:val="fr-BE"/>
        </w:rPr>
        <w:t>s</w:t>
      </w:r>
      <w:r>
        <w:rPr>
          <w:lang w:val="fr-BE"/>
        </w:rPr>
        <w:t xml:space="preserve"> que des audits sur la chaîne de production </w:t>
      </w:r>
      <w:r w:rsidR="006F1A18">
        <w:rPr>
          <w:lang w:val="fr-BE"/>
        </w:rPr>
        <w:t>pourraient</w:t>
      </w:r>
      <w:r>
        <w:rPr>
          <w:lang w:val="fr-BE"/>
        </w:rPr>
        <w:t xml:space="preserve"> être </w:t>
      </w:r>
      <w:r w:rsidR="006F1A18">
        <w:rPr>
          <w:lang w:val="fr-BE"/>
        </w:rPr>
        <w:t>effectués</w:t>
      </w:r>
      <w:r>
        <w:rPr>
          <w:lang w:val="fr-BE"/>
        </w:rPr>
        <w:t xml:space="preserve"> afin de s’assurer de l’exécution correcte du marché. </w:t>
      </w:r>
    </w:p>
    <w:p w14:paraId="7608DB90" w14:textId="4781AA3B" w:rsidR="00185B3C" w:rsidRPr="00185B3C" w:rsidRDefault="00C62675" w:rsidP="00185B3C">
      <w:pPr>
        <w:rPr>
          <w:lang w:val="fr-BE"/>
        </w:rPr>
      </w:pPr>
      <w:r>
        <w:rPr>
          <w:lang w:val="fr-BE"/>
        </w:rPr>
        <w:t>Par rapport aux clauses environnementales, l</w:t>
      </w:r>
      <w:r w:rsidR="00185B3C" w:rsidRPr="00185B3C">
        <w:rPr>
          <w:lang w:val="fr-BE"/>
        </w:rPr>
        <w:t xml:space="preserve">es éléments ont été pris en compte de façon limitée sur certains lots afin de ne pas compromettre le marché dans son ensemble, notamment parce que cela entraîne une charge administrative plus importante pour évaluer les critères </w:t>
      </w:r>
      <w:r w:rsidR="00AF2ACD">
        <w:rPr>
          <w:lang w:val="fr-BE"/>
        </w:rPr>
        <w:t xml:space="preserve">et que </w:t>
      </w:r>
      <w:r>
        <w:rPr>
          <w:lang w:val="fr-BE"/>
        </w:rPr>
        <w:t xml:space="preserve">l’AG </w:t>
      </w:r>
      <w:r w:rsidR="00AF2ACD">
        <w:rPr>
          <w:lang w:val="fr-BE"/>
        </w:rPr>
        <w:t xml:space="preserve"> </w:t>
      </w:r>
      <w:r>
        <w:rPr>
          <w:lang w:val="fr-BE"/>
        </w:rPr>
        <w:t>souhaitait limiter l’</w:t>
      </w:r>
      <w:r w:rsidR="00AF2ACD">
        <w:rPr>
          <w:lang w:val="fr-BE"/>
        </w:rPr>
        <w:t xml:space="preserve">impact </w:t>
      </w:r>
      <w:r>
        <w:rPr>
          <w:lang w:val="fr-BE"/>
        </w:rPr>
        <w:t xml:space="preserve">potentiel </w:t>
      </w:r>
      <w:r w:rsidR="00AF2ACD">
        <w:rPr>
          <w:lang w:val="fr-BE"/>
        </w:rPr>
        <w:t>sur la quantité finale de produit livré. Il est à noter que les critères d’attribution étaient systématiquement multiples pour ces lots, le prix restant un critère prépondérant</w:t>
      </w:r>
      <w:r w:rsidR="00185B3C" w:rsidRPr="00185B3C">
        <w:rPr>
          <w:lang w:val="fr-BE"/>
        </w:rPr>
        <w:t xml:space="preserve">. </w:t>
      </w:r>
    </w:p>
    <w:p w14:paraId="4825892C" w14:textId="1673DF5D" w:rsidR="00185B3C" w:rsidRPr="00185B3C" w:rsidRDefault="00AF2ACD" w:rsidP="00185B3C">
      <w:pPr>
        <w:rPr>
          <w:lang w:val="fr-BE"/>
        </w:rPr>
      </w:pPr>
      <w:r>
        <w:rPr>
          <w:lang w:val="fr-BE"/>
        </w:rPr>
        <w:t>Les modifications suivantes ont été apportées par rapport aux années précédentes :</w:t>
      </w:r>
    </w:p>
    <w:p w14:paraId="630C316D" w14:textId="3A100C63" w:rsidR="00185B3C" w:rsidRPr="00185B3C" w:rsidRDefault="00185B3C" w:rsidP="00185B3C">
      <w:pPr>
        <w:rPr>
          <w:lang w:val="fr-BE"/>
        </w:rPr>
      </w:pPr>
      <w:r w:rsidRPr="00185B3C">
        <w:rPr>
          <w:lang w:val="fr-BE"/>
        </w:rPr>
        <w:lastRenderedPageBreak/>
        <w:t>-</w:t>
      </w:r>
      <w:r w:rsidRPr="00185B3C">
        <w:rPr>
          <w:lang w:val="fr-BE"/>
        </w:rPr>
        <w:tab/>
        <w:t xml:space="preserve">prix </w:t>
      </w:r>
      <w:r w:rsidR="002A5715">
        <w:rPr>
          <w:lang w:val="fr-BE"/>
        </w:rPr>
        <w:t>minimum d’achat aux producteurs</w:t>
      </w:r>
      <w:r w:rsidRPr="00185B3C">
        <w:rPr>
          <w:lang w:val="fr-BE"/>
        </w:rPr>
        <w:t xml:space="preserve">: afin d’éviter de brader les prix pour les producteurs, un prix fixe a été donné pour l’achat du lait aux producteurs. </w:t>
      </w:r>
    </w:p>
    <w:p w14:paraId="65D117A2" w14:textId="77777777" w:rsidR="00185B3C" w:rsidRPr="00185B3C" w:rsidRDefault="00185B3C" w:rsidP="00185B3C">
      <w:pPr>
        <w:rPr>
          <w:lang w:val="fr-BE"/>
        </w:rPr>
      </w:pPr>
      <w:r w:rsidRPr="00185B3C">
        <w:rPr>
          <w:lang w:val="fr-BE"/>
        </w:rPr>
        <w:t>-</w:t>
      </w:r>
      <w:r w:rsidRPr="00185B3C">
        <w:rPr>
          <w:lang w:val="fr-BE"/>
        </w:rPr>
        <w:tab/>
        <w:t xml:space="preserve">qualité des produits entrant dans la fabrication des produits : afin d’améliorer la qualité des produits, des exigences supplémentaires ont été mises dans le cahier des charges : poulet élevé en plein air pour le plat cuisiné, produits sans OGM (même pour le fourrage des animaux) pour le lait et les céréales, réduction de la quantité de sucre dans certains produits ou éviter des sucres synthétiques </w:t>
      </w:r>
    </w:p>
    <w:p w14:paraId="2184976B" w14:textId="77777777" w:rsidR="00185B3C" w:rsidRPr="00185B3C" w:rsidRDefault="00185B3C" w:rsidP="00185B3C">
      <w:pPr>
        <w:rPr>
          <w:lang w:val="fr-BE"/>
        </w:rPr>
      </w:pPr>
      <w:r w:rsidRPr="00185B3C">
        <w:rPr>
          <w:lang w:val="fr-BE"/>
        </w:rPr>
        <w:t>-</w:t>
      </w:r>
      <w:r w:rsidRPr="00185B3C">
        <w:rPr>
          <w:lang w:val="fr-BE"/>
        </w:rPr>
        <w:tab/>
        <w:t>la qualité différenciée : ce critère permet de donner des points supplémentaires à des soumissionnaires qui présenteraient des produits de meilleures qualités (par exemple une agriculture raisonnée, la limitation de pesticides dans les cultures…). Ce critère a été intégré pour la confiture de fraises et les haricots verts fins</w:t>
      </w:r>
    </w:p>
    <w:p w14:paraId="76B1971E" w14:textId="339559E6" w:rsidR="00185B3C" w:rsidRPr="00185B3C" w:rsidRDefault="00185B3C" w:rsidP="00185B3C">
      <w:pPr>
        <w:rPr>
          <w:lang w:val="fr-BE"/>
        </w:rPr>
      </w:pPr>
      <w:r w:rsidRPr="00185B3C">
        <w:rPr>
          <w:lang w:val="fr-BE"/>
        </w:rPr>
        <w:t>-</w:t>
      </w:r>
      <w:r w:rsidRPr="00185B3C">
        <w:rPr>
          <w:lang w:val="fr-BE"/>
        </w:rPr>
        <w:tab/>
        <w:t>limiter l’impact environnemental des productions : ce critère permet d’accorder des points supplémentaires des productions avec des modes de transports plus respectueux de</w:t>
      </w:r>
      <w:r w:rsidR="00AF2ACD">
        <w:rPr>
          <w:lang w:val="fr-BE"/>
        </w:rPr>
        <w:t xml:space="preserve"> l’environnement. Ce critère a été</w:t>
      </w:r>
      <w:r w:rsidRPr="00185B3C">
        <w:rPr>
          <w:lang w:val="fr-BE"/>
        </w:rPr>
        <w:t xml:space="preserve"> évalué par un bureau spécialisé dans ce type de calcul. Ce critère a été introduit pour la farine</w:t>
      </w:r>
    </w:p>
    <w:p w14:paraId="15FF6365" w14:textId="77777777" w:rsidR="00185B3C" w:rsidRPr="00185B3C" w:rsidRDefault="00185B3C" w:rsidP="00185B3C">
      <w:pPr>
        <w:rPr>
          <w:lang w:val="fr-BE"/>
        </w:rPr>
      </w:pPr>
      <w:r w:rsidRPr="00185B3C">
        <w:rPr>
          <w:lang w:val="fr-BE"/>
        </w:rPr>
        <w:t>-</w:t>
      </w:r>
      <w:r w:rsidRPr="00185B3C">
        <w:rPr>
          <w:lang w:val="fr-BE"/>
        </w:rPr>
        <w:tab/>
        <w:t xml:space="preserve">la qualité nutritionnelle : ce critère a été ajouté afin de s’assurer que la transformation des produits se fait de façon à maintenir la qualité nutritionnelle des produits. Le SPF Santé publique assistera le SPP IS pour l’évaluation de ce critère. Ce critère a été introduit pour les produits nécessitant une préparation tels que les tomates pelées en cube, les haricots verts et les deux plats préparés.  </w:t>
      </w:r>
    </w:p>
    <w:p w14:paraId="33E25BB6" w14:textId="152AE0A3" w:rsidR="00185B3C" w:rsidRDefault="00300295" w:rsidP="001A697E">
      <w:pPr>
        <w:rPr>
          <w:lang w:val="fr-BE"/>
        </w:rPr>
      </w:pPr>
      <w:r>
        <w:rPr>
          <w:lang w:val="fr-BE"/>
        </w:rPr>
        <w:t>-</w:t>
      </w:r>
      <w:r>
        <w:rPr>
          <w:lang w:val="fr-BE"/>
        </w:rPr>
        <w:tab/>
        <w:t>c</w:t>
      </w:r>
      <w:r w:rsidR="00185B3C" w:rsidRPr="00185B3C">
        <w:rPr>
          <w:lang w:val="fr-BE"/>
        </w:rPr>
        <w:t>ritère organoleptique pour les plats préparés : ce critère a été maintenu en 2018 vu le bon retour pour la campagne 2017. Il a été couplé avec le critère lié à la qualité nutritionnelle.</w:t>
      </w:r>
    </w:p>
    <w:p w14:paraId="1074FF2E" w14:textId="2A7594DC" w:rsidR="009C4CE9" w:rsidRPr="009C4CE9" w:rsidRDefault="00A67FC9" w:rsidP="009C4CE9">
      <w:pPr>
        <w:rPr>
          <w:szCs w:val="24"/>
        </w:rPr>
      </w:pPr>
      <w:r>
        <w:rPr>
          <w:rFonts w:ascii="Arial" w:hAnsi="Arial" w:cs="Arial"/>
          <w:b/>
          <w:sz w:val="22"/>
          <w:u w:val="single"/>
        </w:rPr>
        <w:t>Evaluation de la mise en place des critères</w:t>
      </w:r>
    </w:p>
    <w:p w14:paraId="35D83B1E" w14:textId="26071952" w:rsidR="00A67FC9" w:rsidRDefault="00A67FC9" w:rsidP="009C4CE9">
      <w:pPr>
        <w:rPr>
          <w:szCs w:val="24"/>
        </w:rPr>
      </w:pPr>
      <w:r>
        <w:rPr>
          <w:szCs w:val="24"/>
        </w:rPr>
        <w:t>Force est de constater</w:t>
      </w:r>
      <w:r w:rsidR="00CC5281">
        <w:rPr>
          <w:szCs w:val="24"/>
        </w:rPr>
        <w:t xml:space="preserve"> que les prix pour ces 5 lots </w:t>
      </w:r>
      <w:r w:rsidR="002A5715">
        <w:rPr>
          <w:szCs w:val="24"/>
        </w:rPr>
        <w:t>«pilotes</w:t>
      </w:r>
      <w:r>
        <w:rPr>
          <w:szCs w:val="24"/>
        </w:rPr>
        <w:t xml:space="preserve">» </w:t>
      </w:r>
      <w:r w:rsidR="00CC5281">
        <w:rPr>
          <w:szCs w:val="24"/>
        </w:rPr>
        <w:t>ont augmenté</w:t>
      </w:r>
      <w:r>
        <w:rPr>
          <w:szCs w:val="24"/>
        </w:rPr>
        <w:t xml:space="preserve"> et ont donc eu une influence sur les quantités livrées</w:t>
      </w:r>
      <w:r w:rsidR="00CC5281">
        <w:rPr>
          <w:szCs w:val="24"/>
        </w:rPr>
        <w:t>. Pour deux lots, la farine et le lait, l’augmentation du prix est lié à la mise en place d’un critè</w:t>
      </w:r>
      <w:r w:rsidR="002A5715">
        <w:rPr>
          <w:szCs w:val="24"/>
        </w:rPr>
        <w:t>re. En effet, la rémunération «juste</w:t>
      </w:r>
      <w:r w:rsidR="00CC5281">
        <w:rPr>
          <w:szCs w:val="24"/>
        </w:rPr>
        <w:t xml:space="preserve">» des producteurs de lait a eu une influence sur le prix final par litre. </w:t>
      </w:r>
      <w:r w:rsidR="00CC5281" w:rsidRPr="006F1A18">
        <w:rPr>
          <w:szCs w:val="24"/>
        </w:rPr>
        <w:t>En ce qui concerne la farine, le soumissionnaire sélectionné</w:t>
      </w:r>
      <w:r w:rsidRPr="006F1A18">
        <w:rPr>
          <w:szCs w:val="24"/>
        </w:rPr>
        <w:t xml:space="preserve"> travaille avec un public défavorisé en formation et présente un coût de main d’œuvre plus élevé.</w:t>
      </w:r>
      <w:r>
        <w:rPr>
          <w:szCs w:val="24"/>
        </w:rPr>
        <w:t xml:space="preserve"> </w:t>
      </w:r>
      <w:r w:rsidR="003E2DCC">
        <w:rPr>
          <w:szCs w:val="24"/>
        </w:rPr>
        <w:t>L’augmentation du prix du lait est de +58,90 % et de + 65.82% pour la farine</w:t>
      </w:r>
      <w:r w:rsidR="00CB4B6D">
        <w:rPr>
          <w:szCs w:val="24"/>
        </w:rPr>
        <w:t>.</w:t>
      </w:r>
    </w:p>
    <w:p w14:paraId="1098987B" w14:textId="1414EAF2" w:rsidR="009C4CE9" w:rsidRPr="009C4CE9" w:rsidRDefault="00A67FC9" w:rsidP="009C4CE9">
      <w:pPr>
        <w:rPr>
          <w:szCs w:val="24"/>
        </w:rPr>
      </w:pPr>
      <w:r>
        <w:rPr>
          <w:szCs w:val="24"/>
        </w:rPr>
        <w:t xml:space="preserve">Pour les autres lots (haricots verts, confiture et les tomates pelées), on constate que ce sont les soumissionnaires avec les prix les plus bas qui ont remporté le marché. </w:t>
      </w:r>
    </w:p>
    <w:p w14:paraId="588AFC7A" w14:textId="04556BE9" w:rsidR="009C4CE9" w:rsidRPr="009C4CE9" w:rsidRDefault="009C4CE9" w:rsidP="009C4CE9">
      <w:pPr>
        <w:rPr>
          <w:szCs w:val="24"/>
        </w:rPr>
      </w:pPr>
      <w:r w:rsidRPr="009C4CE9">
        <w:rPr>
          <w:szCs w:val="24"/>
        </w:rPr>
        <w:t>De plus, l'analyse de ces critères d'attribution supplémentaires s’est révélée être difficile</w:t>
      </w:r>
      <w:r w:rsidR="00C62675">
        <w:rPr>
          <w:szCs w:val="24"/>
        </w:rPr>
        <w:t xml:space="preserve"> et</w:t>
      </w:r>
      <w:r w:rsidRPr="009C4CE9">
        <w:rPr>
          <w:szCs w:val="24"/>
        </w:rPr>
        <w:t xml:space="preserve"> longue </w:t>
      </w:r>
      <w:r w:rsidR="00C62675">
        <w:rPr>
          <w:szCs w:val="24"/>
        </w:rPr>
        <w:t xml:space="preserve">retardant l’attribution de certain lots. </w:t>
      </w:r>
      <w:r w:rsidR="00A67FC9">
        <w:rPr>
          <w:szCs w:val="24"/>
        </w:rPr>
        <w:t>L</w:t>
      </w:r>
      <w:r w:rsidRPr="009C4CE9">
        <w:rPr>
          <w:szCs w:val="24"/>
        </w:rPr>
        <w:t>es critères  "qualité nutritionnelle" et "qualité différenciée" n'ont que très peu de valeur ajoutée</w:t>
      </w:r>
      <w:r w:rsidR="00A67FC9">
        <w:rPr>
          <w:szCs w:val="24"/>
        </w:rPr>
        <w:t xml:space="preserve"> car les </w:t>
      </w:r>
      <w:r w:rsidRPr="009C4CE9">
        <w:rPr>
          <w:szCs w:val="24"/>
        </w:rPr>
        <w:t xml:space="preserve"> produits </w:t>
      </w:r>
      <w:r w:rsidR="00A67FC9">
        <w:rPr>
          <w:szCs w:val="24"/>
        </w:rPr>
        <w:t xml:space="preserve">finaux en conserve </w:t>
      </w:r>
      <w:r w:rsidRPr="009C4CE9">
        <w:rPr>
          <w:szCs w:val="24"/>
        </w:rPr>
        <w:t xml:space="preserve"> sont </w:t>
      </w:r>
      <w:r w:rsidR="00A67FC9">
        <w:rPr>
          <w:szCs w:val="24"/>
        </w:rPr>
        <w:t xml:space="preserve">relativement </w:t>
      </w:r>
      <w:r w:rsidRPr="009C4CE9">
        <w:rPr>
          <w:szCs w:val="24"/>
        </w:rPr>
        <w:t>identiques.</w:t>
      </w:r>
      <w:r w:rsidR="00C62675">
        <w:rPr>
          <w:szCs w:val="24"/>
        </w:rPr>
        <w:t xml:space="preserve"> Pour les critères très techniques, l’AG s’est fait assister par des experts externes ce qui représenta</w:t>
      </w:r>
      <w:r w:rsidR="00CB4B6D">
        <w:rPr>
          <w:szCs w:val="24"/>
        </w:rPr>
        <w:t>i</w:t>
      </w:r>
      <w:r w:rsidR="00C62675">
        <w:rPr>
          <w:szCs w:val="24"/>
        </w:rPr>
        <w:t xml:space="preserve">t également un coût. </w:t>
      </w:r>
    </w:p>
    <w:p w14:paraId="0CB42995" w14:textId="08E04954" w:rsidR="0063421E" w:rsidRPr="00201FBD" w:rsidRDefault="009C4CE9" w:rsidP="00165104">
      <w:pPr>
        <w:rPr>
          <w:szCs w:val="24"/>
        </w:rPr>
      </w:pPr>
      <w:r w:rsidRPr="009C4CE9">
        <w:rPr>
          <w:szCs w:val="24"/>
        </w:rPr>
        <w:lastRenderedPageBreak/>
        <w:t>Le critère «</w:t>
      </w:r>
      <w:r w:rsidR="00C62675">
        <w:rPr>
          <w:szCs w:val="24"/>
        </w:rPr>
        <w:t xml:space="preserve"> </w:t>
      </w:r>
      <w:r w:rsidRPr="009C4CE9">
        <w:rPr>
          <w:szCs w:val="24"/>
        </w:rPr>
        <w:t>impact écologique/équivalent CO2</w:t>
      </w:r>
      <w:r w:rsidR="00C62675">
        <w:rPr>
          <w:szCs w:val="24"/>
        </w:rPr>
        <w:t xml:space="preserve"> </w:t>
      </w:r>
      <w:r w:rsidRPr="009C4CE9">
        <w:rPr>
          <w:szCs w:val="24"/>
        </w:rPr>
        <w:t>» est facilement et objectivement mesurable</w:t>
      </w:r>
      <w:r w:rsidR="00C62675">
        <w:rPr>
          <w:szCs w:val="24"/>
        </w:rPr>
        <w:t xml:space="preserve">. Le bureau qui a assisté l’AG dans ce calcul a formulé certaines recommandations afin de </w:t>
      </w:r>
      <w:r w:rsidR="000F0A26">
        <w:rPr>
          <w:szCs w:val="24"/>
        </w:rPr>
        <w:t xml:space="preserve">renforcer le critère mais également pour améliorer les scores des entreprises non-retenues. </w:t>
      </w:r>
      <w:r w:rsidR="00CB4B6D">
        <w:rPr>
          <w:szCs w:val="24"/>
        </w:rPr>
        <w:t xml:space="preserve">Mais le critère a eu un influence très </w:t>
      </w:r>
      <w:r w:rsidR="002A5715">
        <w:rPr>
          <w:szCs w:val="24"/>
        </w:rPr>
        <w:t>importante sur le prix du produit</w:t>
      </w:r>
      <w:r w:rsidR="00CB4B6D">
        <w:rPr>
          <w:szCs w:val="24"/>
        </w:rPr>
        <w:t>: la farine de cette année est 65,82% plus chère que l’année passée.</w:t>
      </w:r>
    </w:p>
    <w:p w14:paraId="27269E7E" w14:textId="394238D1" w:rsidR="00165104" w:rsidRPr="00197F51" w:rsidRDefault="00165104" w:rsidP="00165104">
      <w:r w:rsidRPr="00197F51">
        <w:t xml:space="preserve">Au total, </w:t>
      </w:r>
      <w:r w:rsidR="003A01BF">
        <w:t>67</w:t>
      </w:r>
      <w:r w:rsidRPr="00197F51">
        <w:t xml:space="preserve"> offres ont été présentées. Les 2</w:t>
      </w:r>
      <w:r w:rsidR="003A01BF">
        <w:t>0</w:t>
      </w:r>
      <w:r w:rsidRPr="00197F51">
        <w:t xml:space="preserve"> lots ont été attribués à </w:t>
      </w:r>
      <w:r w:rsidR="003A01BF">
        <w:t>7 soumissionnaires différents: 10</w:t>
      </w:r>
      <w:r w:rsidRPr="00197F51">
        <w:t xml:space="preserve"> lots </w:t>
      </w:r>
      <w:r w:rsidR="003A01BF">
        <w:t xml:space="preserve">à la société SAS </w:t>
      </w:r>
      <w:proofErr w:type="spellStart"/>
      <w:r w:rsidR="003A01BF">
        <w:t>Dhumeaux</w:t>
      </w:r>
      <w:proofErr w:type="spellEnd"/>
      <w:r w:rsidR="003A01BF">
        <w:t xml:space="preserve"> (FR) ; 2</w:t>
      </w:r>
      <w:r w:rsidRPr="00197F51">
        <w:t xml:space="preserve"> </w:t>
      </w:r>
      <w:r w:rsidR="003A01BF">
        <w:t xml:space="preserve">lots à la société SAS </w:t>
      </w:r>
      <w:proofErr w:type="spellStart"/>
      <w:r w:rsidR="003A01BF">
        <w:t>Jyco</w:t>
      </w:r>
      <w:proofErr w:type="spellEnd"/>
      <w:r w:rsidR="003A01BF">
        <w:t xml:space="preserve"> (FR); 5</w:t>
      </w:r>
      <w:r w:rsidRPr="00197F51">
        <w:t xml:space="preserve"> lots à la Société Française des Riz de Choix (FR) ; et</w:t>
      </w:r>
      <w:r w:rsidR="003A01BF">
        <w:t xml:space="preserve"> 1 lot respectivement à </w:t>
      </w:r>
      <w:proofErr w:type="spellStart"/>
      <w:r w:rsidR="003A01BF">
        <w:t>Coferme</w:t>
      </w:r>
      <w:proofErr w:type="spellEnd"/>
      <w:r w:rsidR="009108DE">
        <w:t xml:space="preserve"> (BE)</w:t>
      </w:r>
      <w:r w:rsidR="003A01BF">
        <w:t xml:space="preserve">, </w:t>
      </w:r>
      <w:proofErr w:type="spellStart"/>
      <w:r w:rsidR="003A01BF">
        <w:t>Equinox</w:t>
      </w:r>
      <w:proofErr w:type="spellEnd"/>
      <w:r w:rsidR="003A01BF">
        <w:t xml:space="preserve"> </w:t>
      </w:r>
      <w:r w:rsidR="009108DE">
        <w:t xml:space="preserve">(BE) </w:t>
      </w:r>
      <w:r w:rsidR="003A01BF">
        <w:t xml:space="preserve">et Moulins de </w:t>
      </w:r>
      <w:proofErr w:type="spellStart"/>
      <w:r w:rsidR="003A01BF">
        <w:t>Statte</w:t>
      </w:r>
      <w:proofErr w:type="spellEnd"/>
      <w:r w:rsidR="009108DE">
        <w:t xml:space="preserve"> (BE)</w:t>
      </w:r>
      <w:r w:rsidR="003A01BF">
        <w:t>.</w:t>
      </w:r>
    </w:p>
    <w:p w14:paraId="7683447F" w14:textId="57D4DCDB" w:rsidR="00417886" w:rsidRDefault="009108DE" w:rsidP="00417886">
      <w:r>
        <w:t>Comme expliqué plus haut, l</w:t>
      </w:r>
      <w:r w:rsidR="00165104" w:rsidRPr="004D6162">
        <w:t>a procédure de lancement et d’attribution de l’appe</w:t>
      </w:r>
      <w:r w:rsidR="004D6162" w:rsidRPr="004D6162">
        <w:t xml:space="preserve">l d’offres a été </w:t>
      </w:r>
      <w:r>
        <w:t>très lente en 2018</w:t>
      </w:r>
      <w:r w:rsidR="00A67FC9">
        <w:t xml:space="preserve">, </w:t>
      </w:r>
      <w:r>
        <w:t>la procédure ayant d</w:t>
      </w:r>
      <w:r w:rsidR="00A67FC9">
        <w:t>û</w:t>
      </w:r>
      <w:r>
        <w:t xml:space="preserve"> </w:t>
      </w:r>
      <w:r w:rsidR="00201FBD">
        <w:t>être</w:t>
      </w:r>
      <w:r>
        <w:t xml:space="preserve"> annulée et relancée.</w:t>
      </w:r>
      <w:r w:rsidR="00165104" w:rsidRPr="004D6162">
        <w:t xml:space="preserve"> </w:t>
      </w:r>
      <w:r w:rsidR="00A67FC9">
        <w:t xml:space="preserve"> </w:t>
      </w:r>
      <w:r w:rsidR="00165104" w:rsidRPr="004D6162">
        <w:t xml:space="preserve">Par conséquent, les premières livraisons </w:t>
      </w:r>
      <w:r w:rsidR="00EE5541">
        <w:t xml:space="preserve">n’ont pas pu commencer avant </w:t>
      </w:r>
      <w:r w:rsidR="000F0A26">
        <w:t xml:space="preserve">février </w:t>
      </w:r>
      <w:r w:rsidR="00EE5541">
        <w:t>2019</w:t>
      </w:r>
      <w:r w:rsidR="000F0A26">
        <w:t xml:space="preserve"> et s’étaleront jusqu’en février 2020</w:t>
      </w:r>
      <w:r w:rsidR="00165104" w:rsidRPr="004D6162">
        <w:t xml:space="preserve">. </w:t>
      </w:r>
      <w:r w:rsidR="00EE5541">
        <w:t>L’AG peut réitérer la même constatation que pour la campagne 2017 : g</w:t>
      </w:r>
      <w:r w:rsidR="004D6162">
        <w:t>râce</w:t>
      </w:r>
      <w:r w:rsidR="00165104" w:rsidRPr="004D6162">
        <w:t xml:space="preserve"> </w:t>
      </w:r>
      <w:r w:rsidR="004D6162" w:rsidRPr="004D6162">
        <w:t>à la</w:t>
      </w:r>
      <w:r w:rsidR="00165104" w:rsidRPr="004D6162">
        <w:t xml:space="preserve"> diminution d</w:t>
      </w:r>
      <w:r w:rsidR="004D6162">
        <w:t>u</w:t>
      </w:r>
      <w:r w:rsidR="00165104" w:rsidRPr="004D6162">
        <w:t xml:space="preserve"> nombre de points de livraison, les livraisons ont pu être davantag</w:t>
      </w:r>
      <w:r w:rsidR="00EE5541">
        <w:t>e étalées dans le temps.</w:t>
      </w:r>
    </w:p>
    <w:p w14:paraId="335DCED9" w14:textId="66E5BDDF" w:rsidR="00165104" w:rsidRPr="00FE58FC" w:rsidRDefault="00EE5541" w:rsidP="00417886">
      <w:r w:rsidRPr="00FE58FC">
        <w:t>Pour la deuxième fois, en 2018</w:t>
      </w:r>
      <w:r w:rsidR="00417886" w:rsidRPr="00FE58FC">
        <w:t>,</w:t>
      </w:r>
      <w:r w:rsidR="00165104" w:rsidRPr="00FE58FC">
        <w:t xml:space="preserve"> les coûts correspondants aux dispositions de l’article 26 2. c)</w:t>
      </w:r>
      <w:r w:rsidR="00417886" w:rsidRPr="00FE58FC">
        <w:t xml:space="preserve"> ont été utilisés</w:t>
      </w:r>
      <w:r w:rsidR="00165104" w:rsidRPr="00FE58FC">
        <w:t xml:space="preserve">. Il s’agit d’un montant de </w:t>
      </w:r>
      <w:r w:rsidR="00FE58FC" w:rsidRPr="00FE58FC">
        <w:t>312.067,58</w:t>
      </w:r>
      <w:r w:rsidR="00165104" w:rsidRPr="00FE58FC">
        <w:t xml:space="preserve"> euros qui a été versé aux grands entrepôts dans le cadre de la convention conclu</w:t>
      </w:r>
      <w:r w:rsidR="00417886" w:rsidRPr="00FE58FC">
        <w:t>e</w:t>
      </w:r>
      <w:r w:rsidR="00165104" w:rsidRPr="00FE58FC">
        <w:t xml:space="preserve"> avec eux. </w:t>
      </w:r>
    </w:p>
    <w:p w14:paraId="0EB633E4" w14:textId="05B0C280" w:rsidR="0007200F" w:rsidRPr="003F4D8F" w:rsidRDefault="00165104" w:rsidP="00165104">
      <w:r w:rsidRPr="009857FF">
        <w:t>En 201</w:t>
      </w:r>
      <w:r w:rsidR="00EE5541" w:rsidRPr="009857FF">
        <w:t>8</w:t>
      </w:r>
      <w:r w:rsidRPr="009857FF">
        <w:t xml:space="preserve">, un total de </w:t>
      </w:r>
      <w:r w:rsidR="009857FF" w:rsidRPr="009857FF">
        <w:rPr>
          <w:b/>
        </w:rPr>
        <w:t>7.731,62</w:t>
      </w:r>
      <w:r w:rsidRPr="009857FF">
        <w:rPr>
          <w:b/>
        </w:rPr>
        <w:t xml:space="preserve"> tonnes</w:t>
      </w:r>
      <w:r w:rsidRPr="009857FF">
        <w:t xml:space="preserve"> de produits alimentaires ont été livrées aux différents CPAS et aux organisations partenaires agréées. </w:t>
      </w:r>
      <w:r w:rsidR="0048359C" w:rsidRPr="00856ACC">
        <w:t xml:space="preserve">Il s’agit des produits </w:t>
      </w:r>
      <w:r w:rsidR="00856ACC" w:rsidRPr="00856ACC">
        <w:t xml:space="preserve">de l’appel à </w:t>
      </w:r>
      <w:proofErr w:type="spellStart"/>
      <w:r w:rsidR="00856ACC" w:rsidRPr="00856ACC">
        <w:t>marché</w:t>
      </w:r>
      <w:proofErr w:type="spellEnd"/>
      <w:r w:rsidR="00856ACC" w:rsidRPr="00856ACC">
        <w:t xml:space="preserve"> 2017 vu</w:t>
      </w:r>
      <w:r w:rsidR="0048359C" w:rsidRPr="00856ACC">
        <w:t xml:space="preserve"> que les livraisons de l’appel à </w:t>
      </w:r>
      <w:proofErr w:type="spellStart"/>
      <w:r w:rsidR="0048359C" w:rsidRPr="00856ACC">
        <w:t>marché</w:t>
      </w:r>
      <w:proofErr w:type="spellEnd"/>
      <w:r w:rsidR="0048359C" w:rsidRPr="00856ACC">
        <w:t xml:space="preserve"> 2018 </w:t>
      </w:r>
      <w:r w:rsidR="00856ACC" w:rsidRPr="00856ACC">
        <w:t>n’</w:t>
      </w:r>
      <w:r w:rsidR="0048359C" w:rsidRPr="00856ACC">
        <w:t>ont commencé qu</w:t>
      </w:r>
      <w:r w:rsidR="00856ACC" w:rsidRPr="00856ACC">
        <w:t>e</w:t>
      </w:r>
      <w:r w:rsidR="00772232" w:rsidRPr="00856ACC">
        <w:t xml:space="preserve"> début 2019 (= indicateurs de ressources).</w:t>
      </w:r>
    </w:p>
    <w:p w14:paraId="13C905F3" w14:textId="77777777" w:rsidR="008A70C3" w:rsidRDefault="00BC0251" w:rsidP="002666E5">
      <w:pPr>
        <w:pStyle w:val="Kop4"/>
        <w:numPr>
          <w:ilvl w:val="3"/>
          <w:numId w:val="1"/>
        </w:numPr>
        <w:spacing w:after="240" w:line="276" w:lineRule="auto"/>
      </w:pPr>
      <w:r w:rsidRPr="00407488">
        <w:t>Distribution des denrées alimentaires et des articles par les organisations partenaires</w:t>
      </w:r>
    </w:p>
    <w:p w14:paraId="64725C97" w14:textId="66DFC279" w:rsidR="0093046D" w:rsidRDefault="004A644D" w:rsidP="002666E5">
      <w:r w:rsidRPr="00B51FE0">
        <w:t>L</w:t>
      </w:r>
      <w:r w:rsidR="0035767E" w:rsidRPr="00B51FE0">
        <w:t>a distribution des produits alimentaires</w:t>
      </w:r>
      <w:r w:rsidR="00374D69" w:rsidRPr="00B51FE0">
        <w:t xml:space="preserve"> de la campagne 201</w:t>
      </w:r>
      <w:r w:rsidR="0093046D" w:rsidRPr="00B51FE0">
        <w:t>8</w:t>
      </w:r>
      <w:r w:rsidR="0035767E" w:rsidRPr="00B51FE0">
        <w:t xml:space="preserve"> a démarré </w:t>
      </w:r>
      <w:r w:rsidR="00772232" w:rsidRPr="00B51FE0">
        <w:t>tardivement</w:t>
      </w:r>
      <w:r w:rsidR="0093046D" w:rsidRPr="00B51FE0">
        <w:t>: début 20</w:t>
      </w:r>
      <w:r w:rsidR="00BC412F" w:rsidRPr="00B51FE0">
        <w:t>19</w:t>
      </w:r>
      <w:r w:rsidR="0093046D" w:rsidRPr="00B51FE0">
        <w:t xml:space="preserve"> (février</w:t>
      </w:r>
      <w:r w:rsidR="0093046D">
        <w:t xml:space="preserve">) </w:t>
      </w:r>
      <w:r w:rsidR="003224B5">
        <w:t>et est toujours en cours au moment de l’écriture de ce rapport</w:t>
      </w:r>
      <w:r w:rsidR="0035767E" w:rsidRPr="003224B5">
        <w:t>.</w:t>
      </w:r>
      <w:r w:rsidR="003224B5">
        <w:t xml:space="preserve"> </w:t>
      </w:r>
      <w:r w:rsidR="0093046D">
        <w:t xml:space="preserve">De manière à laisser le moins possible de </w:t>
      </w:r>
      <w:r w:rsidR="003378D1">
        <w:t>«</w:t>
      </w:r>
      <w:r w:rsidR="000F0A26">
        <w:t xml:space="preserve"> </w:t>
      </w:r>
      <w:r w:rsidR="003378D1">
        <w:t>vide</w:t>
      </w:r>
      <w:r w:rsidR="000F0A26">
        <w:t xml:space="preserve"> </w:t>
      </w:r>
      <w:r w:rsidR="003224B5">
        <w:t>» entre une campagne et l’autre et d’assurer les distributions de manière continue d’une année sur l’autre</w:t>
      </w:r>
      <w:r w:rsidR="0093046D">
        <w:t xml:space="preserve"> – et considérant le retard des produits de la campagne 2018 – l’AG a mis e</w:t>
      </w:r>
      <w:r w:rsidR="00856ACC">
        <w:t>n place des mesures d’urgence (voir plus haut).</w:t>
      </w:r>
    </w:p>
    <w:p w14:paraId="5A30A227" w14:textId="77777777" w:rsidR="00374D69" w:rsidRDefault="00210BAA" w:rsidP="002666E5">
      <w:r w:rsidRPr="003224B5">
        <w:t>Pour rappel, l</w:t>
      </w:r>
      <w:r w:rsidR="0035767E" w:rsidRPr="003224B5">
        <w:t xml:space="preserve">es organisations partenaires agréées </w:t>
      </w:r>
      <w:r w:rsidR="00C975FB" w:rsidRPr="003224B5">
        <w:t>peuvent</w:t>
      </w:r>
      <w:r w:rsidR="0035767E" w:rsidRPr="003224B5">
        <w:t xml:space="preserve"> déterminer elles-mêmes la façon dont elles distribuent les produits, pour autant qu'elles respecten</w:t>
      </w:r>
      <w:r w:rsidR="00374D69" w:rsidRPr="003224B5">
        <w:t>t la réglementation en vigueur.</w:t>
      </w:r>
    </w:p>
    <w:p w14:paraId="2613013D" w14:textId="2158D4D4" w:rsidR="0093046D" w:rsidRDefault="0093046D" w:rsidP="002666E5">
      <w:r>
        <w:t>Cette année, de nouveau, les distributions sont identiques aux années passées, que ce soit en termes de fréquence de distribution, de composition de colis ou de modes de distribution.</w:t>
      </w:r>
    </w:p>
    <w:p w14:paraId="13DDF782" w14:textId="4B5B3F2E" w:rsidR="001959C7" w:rsidRDefault="00483A2E" w:rsidP="002666E5">
      <w:r>
        <w:t>L</w:t>
      </w:r>
      <w:r w:rsidR="00E814D6">
        <w:t xml:space="preserve">a majorité de nos organisations distribuent des colis alimentaires. </w:t>
      </w:r>
      <w:r w:rsidR="003224B5">
        <w:t>En terme</w:t>
      </w:r>
      <w:r w:rsidR="001959C7">
        <w:t>s</w:t>
      </w:r>
      <w:r w:rsidR="003224B5">
        <w:t xml:space="preserve"> de fréquence des distri</w:t>
      </w:r>
      <w:r w:rsidR="001959C7">
        <w:t xml:space="preserve">butions, </w:t>
      </w:r>
      <w:r w:rsidR="00E814D6">
        <w:t>les</w:t>
      </w:r>
      <w:r w:rsidR="001959C7">
        <w:t xml:space="preserve"> organisations distribuent en général les produits assez fréquemment (plus d’une fois par mois pour la grande majorité).</w:t>
      </w:r>
      <w:r>
        <w:t xml:space="preserve">  </w:t>
      </w:r>
      <w:r w:rsidR="001959C7">
        <w:t xml:space="preserve">Les organisations continuent à distribuer </w:t>
      </w:r>
      <w:r w:rsidR="001959C7">
        <w:lastRenderedPageBreak/>
        <w:t>majoritairement les colis sous forme de « packs », c’est-à-dire que chaque bénéficiaire reçoit les mêmes produits en quantité variable selon la taille de sa famille.</w:t>
      </w:r>
    </w:p>
    <w:p w14:paraId="1AC091EA" w14:textId="390E79C2" w:rsidR="00856ACC" w:rsidRPr="003224B5" w:rsidRDefault="001959C7" w:rsidP="002666E5">
      <w:r>
        <w:t>Enfin, nous remarquons de n</w:t>
      </w:r>
      <w:r w:rsidR="00483A2E">
        <w:t>ouveau qu’une organisation sur trois</w:t>
      </w:r>
      <w:r>
        <w:t xml:space="preserve"> ne d</w:t>
      </w:r>
      <w:r w:rsidR="003F4D8F">
        <w:t>istribue que des produits FEAD.</w:t>
      </w:r>
    </w:p>
    <w:p w14:paraId="15A56A50" w14:textId="58AB4F28" w:rsidR="001010B4" w:rsidRPr="002666E5" w:rsidRDefault="002A3D1E" w:rsidP="002666E5">
      <w:pPr>
        <w:pStyle w:val="Kop5"/>
        <w:numPr>
          <w:ilvl w:val="4"/>
          <w:numId w:val="1"/>
        </w:numPr>
        <w:spacing w:after="240" w:line="276" w:lineRule="auto"/>
      </w:pPr>
      <w:r w:rsidRPr="002666E5">
        <w:t>Etat des stocks</w:t>
      </w:r>
    </w:p>
    <w:p w14:paraId="73227ADE" w14:textId="06821811" w:rsidR="00165104" w:rsidRPr="00856ACC" w:rsidRDefault="00165104" w:rsidP="00165104">
      <w:r w:rsidRPr="00856ACC">
        <w:t>Comme chaque année, afin de déterminer les quantités qui ont été effectivement dist</w:t>
      </w:r>
      <w:r w:rsidR="00772232" w:rsidRPr="00856ACC">
        <w:t>ribuées aux plus démunis en 2018</w:t>
      </w:r>
      <w:r w:rsidRPr="00856ACC">
        <w:t xml:space="preserve"> par rapport aux quantités livrées, tous les CPAS et toutes les organisations partenaires agréées ont été invité</w:t>
      </w:r>
      <w:r w:rsidR="000F0A26">
        <w:t>e</w:t>
      </w:r>
      <w:r w:rsidRPr="00856ACC">
        <w:t>s à communiquer leurs stocks au 31/12/201</w:t>
      </w:r>
      <w:r w:rsidR="00483A2E" w:rsidRPr="00856ACC">
        <w:t>8</w:t>
      </w:r>
      <w:r w:rsidR="002F14EC" w:rsidRPr="00856ACC">
        <w:t xml:space="preserve"> (via un formulaire web).</w:t>
      </w:r>
    </w:p>
    <w:p w14:paraId="235BBED7" w14:textId="7D8B0C20" w:rsidR="003D2CE7" w:rsidRPr="00856ACC" w:rsidRDefault="002F14EC" w:rsidP="00165104">
      <w:r w:rsidRPr="00856ACC">
        <w:t xml:space="preserve">Sur 747 organisations, 698 organisations (93,44%) ont envoyé leurs données de stocks au 31/12/2018. C’est </w:t>
      </w:r>
      <w:r w:rsidR="00856ACC">
        <w:t xml:space="preserve">donc une belle augmentation </w:t>
      </w:r>
      <w:r w:rsidRPr="00856ACC">
        <w:t>par rapport à 2017 (88,68%).</w:t>
      </w:r>
      <w:r w:rsidR="003D2CE7" w:rsidRPr="00856ACC">
        <w:tab/>
      </w:r>
      <w:r w:rsidR="003D2CE7" w:rsidRPr="00856ACC">
        <w:br/>
        <w:t>91 organisations n’ont pas du remplir le formulaire de stocks, vu qu’</w:t>
      </w:r>
      <w:r w:rsidR="00D77BC0">
        <w:t>elles</w:t>
      </w:r>
      <w:r w:rsidR="003D2CE7" w:rsidRPr="00856ACC">
        <w:t xml:space="preserve"> travaillent avec l’application FOOD IT pour la gest</w:t>
      </w:r>
      <w:r w:rsidR="00D77BC0">
        <w:t>ion de leur stock et que l’AG peut</w:t>
      </w:r>
      <w:r w:rsidR="003D2CE7" w:rsidRPr="00856ACC">
        <w:t xml:space="preserve"> y retrouver les données nécessaires. </w:t>
      </w:r>
    </w:p>
    <w:p w14:paraId="67A89B39" w14:textId="58C4B06A" w:rsidR="003D2CE7" w:rsidRPr="00D77BC0" w:rsidRDefault="00A9436F" w:rsidP="00165104">
      <w:r w:rsidRPr="00D77BC0">
        <w:t>Comme chaque année, l’AG constat</w:t>
      </w:r>
      <w:r w:rsidR="00D77BC0" w:rsidRPr="00D77BC0">
        <w:t>e</w:t>
      </w:r>
      <w:r w:rsidR="00D77BC0">
        <w:t xml:space="preserve"> qu’elle doit encourager </w:t>
      </w:r>
      <w:r w:rsidR="002F14EC" w:rsidRPr="00D77BC0">
        <w:t>les organisations part</w:t>
      </w:r>
      <w:r w:rsidR="00D77BC0">
        <w:t>enaires à remplir le formulaire et faire plusieurs rappels.</w:t>
      </w:r>
    </w:p>
    <w:p w14:paraId="4D1C46D9" w14:textId="6F5137FF" w:rsidR="003D2CE7" w:rsidRPr="00D77BC0" w:rsidRDefault="003D2CE7" w:rsidP="00165104">
      <w:r w:rsidRPr="00D77BC0">
        <w:t xml:space="preserve">Dans le courant de l’année 2018, un total de </w:t>
      </w:r>
      <w:r w:rsidR="000C4939" w:rsidRPr="00D77BC0">
        <w:t>8.260,66</w:t>
      </w:r>
      <w:r w:rsidRPr="00D77BC0">
        <w:t xml:space="preserve"> tonnes de denrées alimentaires ont effectivement été distribuées aux plus démunis. Les quantités détaillées par produit figurent dans l'Annexe II. Les indicateurs de résultat sont présentés au point 2.3.2.</w:t>
      </w:r>
    </w:p>
    <w:p w14:paraId="423C3BCD" w14:textId="6792BC1B" w:rsidR="00D77BC0" w:rsidRPr="002F14EC" w:rsidRDefault="000F0A26" w:rsidP="00165104">
      <w:pPr>
        <w:rPr>
          <w:color w:val="FF0000"/>
        </w:rPr>
      </w:pPr>
      <w:r>
        <w:t>I</w:t>
      </w:r>
      <w:r w:rsidR="003D2CE7" w:rsidRPr="00D77BC0">
        <w:t xml:space="preserve">l s’agit </w:t>
      </w:r>
      <w:r>
        <w:t>du</w:t>
      </w:r>
      <w:r w:rsidR="003D2CE7" w:rsidRPr="00D77BC0">
        <w:t xml:space="preserve"> solde des produits de la campagne 2016 et des produits de la campagne 2017 pour laquelle les livraisons ont continué jusque septembre 2018.</w:t>
      </w:r>
      <w:r w:rsidR="003D2CE7">
        <w:rPr>
          <w:color w:val="FF0000"/>
        </w:rPr>
        <w:t xml:space="preserve"> </w:t>
      </w:r>
      <w:r w:rsidRPr="00723624">
        <w:t xml:space="preserve">Pour rapport les livraisons de la campagne 2018 n’ont débuté qu’au début 2019 et ne sont donc pas comptabilisés ici. </w:t>
      </w:r>
    </w:p>
    <w:p w14:paraId="39CC0A83" w14:textId="77777777" w:rsidR="00BC0251" w:rsidRPr="00407488" w:rsidRDefault="00BC0251" w:rsidP="002666E5">
      <w:pPr>
        <w:pStyle w:val="Kop4"/>
        <w:numPr>
          <w:ilvl w:val="3"/>
          <w:numId w:val="1"/>
        </w:numPr>
        <w:spacing w:after="240" w:line="276" w:lineRule="auto"/>
      </w:pPr>
      <w:r w:rsidRPr="00407488">
        <w:t>Assistance technique</w:t>
      </w:r>
    </w:p>
    <w:p w14:paraId="63BC1FC0" w14:textId="1E566B71" w:rsidR="00A779F6" w:rsidRPr="00772232" w:rsidRDefault="00A779F6" w:rsidP="005D00D5">
      <w:pPr>
        <w:spacing w:after="240"/>
        <w:rPr>
          <w:lang w:val="fr-BE" w:eastAsia="en-US" w:bidi="ar-SA"/>
        </w:rPr>
      </w:pPr>
      <w:r w:rsidRPr="00772232">
        <w:rPr>
          <w:lang w:val="fr-BE" w:eastAsia="en-US" w:bidi="ar-SA"/>
        </w:rPr>
        <w:t xml:space="preserve">Conformément à l’article 27 du règlement (UE) n° 223/2014, les mesures de préparation, de gestion, de suivi (appui méthodologique, système d’information et de suivi, outils de gestion), d’assistance administrative et technique (y compris frais de salaires d’agents publics statutaires et contractuels en charge du FEAD), d’audit, d’information, de contrôle et d’évaluation concourant à l’exécution de ce programme </w:t>
      </w:r>
      <w:r w:rsidR="009619C9" w:rsidRPr="00772232">
        <w:rPr>
          <w:lang w:val="fr-BE" w:eastAsia="en-US" w:bidi="ar-SA"/>
        </w:rPr>
        <w:t>sont</w:t>
      </w:r>
      <w:r w:rsidRPr="00772232">
        <w:rPr>
          <w:lang w:val="fr-BE" w:eastAsia="en-US" w:bidi="ar-SA"/>
        </w:rPr>
        <w:t xml:space="preserve"> financées dans le cadre de l’assistance technique.</w:t>
      </w:r>
    </w:p>
    <w:p w14:paraId="592D9C46" w14:textId="20001954" w:rsidR="00733754" w:rsidRPr="00772232" w:rsidRDefault="00772232" w:rsidP="005D00D5">
      <w:pPr>
        <w:rPr>
          <w:rFonts w:ascii="Calibri" w:hAnsi="Calibri"/>
          <w:sz w:val="22"/>
          <w:lang w:val="fr-BE"/>
        </w:rPr>
      </w:pPr>
      <w:r w:rsidRPr="00772232">
        <w:rPr>
          <w:lang w:val="fr-BE"/>
        </w:rPr>
        <w:t>Durant l’année 2018</w:t>
      </w:r>
      <w:r w:rsidR="00733754" w:rsidRPr="00772232">
        <w:rPr>
          <w:lang w:val="fr-BE"/>
        </w:rPr>
        <w:t xml:space="preserve"> l’assistance technique a été utilisée pour couvrir les coûts suivants</w:t>
      </w:r>
      <w:r w:rsidR="000F0A26">
        <w:rPr>
          <w:lang w:val="fr-BE"/>
        </w:rPr>
        <w:t xml:space="preserve"> </w:t>
      </w:r>
      <w:r w:rsidR="00733754" w:rsidRPr="00772232">
        <w:rPr>
          <w:lang w:val="fr-BE"/>
        </w:rPr>
        <w:t>:</w:t>
      </w:r>
    </w:p>
    <w:p w14:paraId="7ED05BBA" w14:textId="4A776484" w:rsidR="00733754" w:rsidRPr="00772232" w:rsidRDefault="004E0BFA" w:rsidP="005D00D5">
      <w:pPr>
        <w:pStyle w:val="Lijstalinea"/>
        <w:numPr>
          <w:ilvl w:val="0"/>
          <w:numId w:val="11"/>
        </w:numPr>
      </w:pPr>
      <w:r w:rsidRPr="00772232">
        <w:rPr>
          <w:lang w:val="fr-BE"/>
        </w:rPr>
        <w:t>l</w:t>
      </w:r>
      <w:r w:rsidR="00733754" w:rsidRPr="00772232">
        <w:t>es frais d’agents publics statutaires et contractuels en charge du FEAD,</w:t>
      </w:r>
    </w:p>
    <w:p w14:paraId="1A5BE1AA" w14:textId="190001E6" w:rsidR="00733754" w:rsidRPr="00772232" w:rsidRDefault="004E0BFA" w:rsidP="005D00D5">
      <w:pPr>
        <w:pStyle w:val="Lijstalinea"/>
        <w:numPr>
          <w:ilvl w:val="0"/>
          <w:numId w:val="11"/>
        </w:numPr>
      </w:pPr>
      <w:r w:rsidRPr="00772232">
        <w:t>l</w:t>
      </w:r>
      <w:r w:rsidR="00733754" w:rsidRPr="00772232">
        <w:t>es coûts liés au</w:t>
      </w:r>
      <w:r w:rsidR="008E27D2" w:rsidRPr="00772232">
        <w:t>x</w:t>
      </w:r>
      <w:r w:rsidR="00733754" w:rsidRPr="00772232">
        <w:t xml:space="preserve"> différents contrôles, notamment les contrôles de production (= les analyses du laboratoire),</w:t>
      </w:r>
    </w:p>
    <w:p w14:paraId="51ECEA3C" w14:textId="0D5BF8D8" w:rsidR="00733754" w:rsidRPr="00772232" w:rsidRDefault="004E0BFA" w:rsidP="005D00D5">
      <w:pPr>
        <w:pStyle w:val="Lijstalinea"/>
        <w:numPr>
          <w:ilvl w:val="0"/>
          <w:numId w:val="11"/>
        </w:numPr>
      </w:pPr>
      <w:r w:rsidRPr="00772232">
        <w:t>l</w:t>
      </w:r>
      <w:r w:rsidR="00733754" w:rsidRPr="00772232">
        <w:t xml:space="preserve">es coûts des traductions nécessaires dans le cadre du fonctionnement du FEAD, </w:t>
      </w:r>
    </w:p>
    <w:p w14:paraId="008AC1FD" w14:textId="188901E3" w:rsidR="00733754" w:rsidRPr="00772232" w:rsidRDefault="004E0BFA" w:rsidP="005D00D5">
      <w:pPr>
        <w:pStyle w:val="Lijstalinea"/>
        <w:numPr>
          <w:ilvl w:val="0"/>
          <w:numId w:val="11"/>
        </w:numPr>
      </w:pPr>
      <w:r w:rsidRPr="00772232">
        <w:t>l</w:t>
      </w:r>
      <w:r w:rsidR="00733754" w:rsidRPr="00772232">
        <w:t>es coûts liés à l’entretien et le développement des systèmes informatiques</w:t>
      </w:r>
      <w:r w:rsidRPr="00772232">
        <w:t xml:space="preserve"> utilisés dans le cadre du FEAD,</w:t>
      </w:r>
    </w:p>
    <w:p w14:paraId="5B50A16A" w14:textId="759C3CDF" w:rsidR="00733754" w:rsidRDefault="004E0BFA" w:rsidP="005D00D5">
      <w:pPr>
        <w:pStyle w:val="Lijstalinea"/>
        <w:numPr>
          <w:ilvl w:val="0"/>
          <w:numId w:val="11"/>
        </w:numPr>
      </w:pPr>
      <w:r w:rsidRPr="00772232">
        <w:lastRenderedPageBreak/>
        <w:t>l</w:t>
      </w:r>
      <w:r w:rsidR="00733754" w:rsidRPr="00772232">
        <w:t>es frais de déplacement des agents du FEAD</w:t>
      </w:r>
      <w:r w:rsidR="000F0A26">
        <w:t>,</w:t>
      </w:r>
    </w:p>
    <w:p w14:paraId="555FE390" w14:textId="10370B64" w:rsidR="00772232" w:rsidRPr="00D77BC0" w:rsidRDefault="00772232" w:rsidP="005D00D5">
      <w:pPr>
        <w:pStyle w:val="Lijstalinea"/>
        <w:numPr>
          <w:ilvl w:val="0"/>
          <w:numId w:val="11"/>
        </w:numPr>
        <w:rPr>
          <w:lang w:val="fr-BE" w:eastAsia="en-US" w:bidi="ar-SA"/>
        </w:rPr>
      </w:pPr>
      <w:r w:rsidRPr="00D77BC0">
        <w:rPr>
          <w:lang w:val="fr-BE" w:eastAsia="en-US" w:bidi="ar-SA"/>
        </w:rPr>
        <w:t>les coûts liés à l’</w:t>
      </w:r>
      <w:r w:rsidR="00584AFE" w:rsidRPr="00D77BC0">
        <w:rPr>
          <w:lang w:val="fr-BE" w:eastAsia="en-US" w:bidi="ar-SA"/>
        </w:rPr>
        <w:t>organisation du colloque à mi-parcours.</w:t>
      </w:r>
    </w:p>
    <w:p w14:paraId="4C72B41F" w14:textId="6B0AAAB0" w:rsidR="00D35136" w:rsidRPr="002528F7" w:rsidRDefault="00733754" w:rsidP="00EB579A">
      <w:r w:rsidRPr="00584AFE">
        <w:t>En total</w:t>
      </w:r>
      <w:r w:rsidR="004E0BFA" w:rsidRPr="00584AFE">
        <w:t>,</w:t>
      </w:r>
      <w:r w:rsidRPr="00584AFE">
        <w:t xml:space="preserve"> il s’agit d’un montant de </w:t>
      </w:r>
      <w:r w:rsidR="00584AFE" w:rsidRPr="00584AFE">
        <w:t>428.182,38</w:t>
      </w:r>
      <w:r w:rsidR="004E30CB" w:rsidRPr="00584AFE">
        <w:t>€.</w:t>
      </w:r>
    </w:p>
    <w:p w14:paraId="06B00909" w14:textId="77777777" w:rsidR="00C75A01" w:rsidRDefault="00C75A01" w:rsidP="002666E5">
      <w:pPr>
        <w:pStyle w:val="Kop3"/>
        <w:numPr>
          <w:ilvl w:val="2"/>
          <w:numId w:val="1"/>
        </w:numPr>
        <w:spacing w:after="240" w:line="276" w:lineRule="auto"/>
      </w:pPr>
      <w:bookmarkStart w:id="17" w:name="_Toc422390653"/>
      <w:bookmarkStart w:id="18" w:name="_Toc12629544"/>
      <w:r w:rsidRPr="00407488">
        <w:t>Sélection des organisations partenaires</w:t>
      </w:r>
      <w:bookmarkEnd w:id="17"/>
      <w:bookmarkEnd w:id="18"/>
    </w:p>
    <w:p w14:paraId="2A574E4D" w14:textId="0CE2E4AC" w:rsidR="0035716A" w:rsidRDefault="00A14886" w:rsidP="002666E5">
      <w:pPr>
        <w:spacing w:after="240"/>
      </w:pPr>
      <w:r w:rsidRPr="00DE1523">
        <w:t xml:space="preserve">Conformément aux dispositions figurant dans le PO, la sélection des partenaires chargés de la distribution de l'aide alimentaire gratuite se fait sur la base d'un agrément. </w:t>
      </w:r>
      <w:r w:rsidR="0035716A" w:rsidRPr="00DE1523">
        <w:t>(Procédure décrite dans le rapport annuel de l’AG de 2014 ainsi que dans l</w:t>
      </w:r>
      <w:r w:rsidR="00320F94" w:rsidRPr="00DE1523">
        <w:t>e</w:t>
      </w:r>
      <w:r w:rsidR="0035716A" w:rsidRPr="00DE1523">
        <w:t xml:space="preserve"> PO)</w:t>
      </w:r>
      <w:r w:rsidR="00661AFE" w:rsidRPr="00DE1523">
        <w:t>.</w:t>
      </w:r>
    </w:p>
    <w:p w14:paraId="21FE119B" w14:textId="7ADF50A3" w:rsidR="0035716A" w:rsidRPr="003F4D8F" w:rsidRDefault="00DE1523" w:rsidP="002666E5">
      <w:pPr>
        <w:spacing w:after="240"/>
      </w:pPr>
      <w:r>
        <w:t xml:space="preserve">Le système tel que nous l’avons décrit dans nos précédents rapports annuels </w:t>
      </w:r>
      <w:r w:rsidR="00E476CF">
        <w:t>est resté inchangé en</w:t>
      </w:r>
      <w:r>
        <w:t xml:space="preserve"> 201</w:t>
      </w:r>
      <w:r w:rsidR="00E476CF">
        <w:t>8</w:t>
      </w:r>
      <w:r>
        <w:t>. Nous ne revenons donc pas sur les explications détaillé</w:t>
      </w:r>
      <w:r w:rsidR="000F0A26">
        <w:t>e</w:t>
      </w:r>
      <w:r>
        <w:t xml:space="preserve">s à ce sujet. Nous rappelons </w:t>
      </w:r>
      <w:r w:rsidR="000F0A26">
        <w:t xml:space="preserve">uniquement </w:t>
      </w:r>
      <w:r>
        <w:t xml:space="preserve">que </w:t>
      </w:r>
      <w:r w:rsidRPr="00DE1523">
        <w:t>c</w:t>
      </w:r>
      <w:r w:rsidR="00A14886" w:rsidRPr="00DE1523">
        <w:t xml:space="preserve">haque </w:t>
      </w:r>
      <w:r w:rsidR="006B682B" w:rsidRPr="00DE1523">
        <w:t xml:space="preserve">CPAS et </w:t>
      </w:r>
      <w:r w:rsidR="00A14886" w:rsidRPr="00DE1523">
        <w:t>organisation partenaire est agréée pour un certain nombre de bénéficiaires finaux.</w:t>
      </w:r>
      <w:r w:rsidR="0035716A" w:rsidRPr="00DE1523">
        <w:t xml:space="preserve"> </w:t>
      </w:r>
      <w:r w:rsidR="006B682B" w:rsidRPr="00DE1523">
        <w:t xml:space="preserve">Les agréments sont limités par commune et dépendent du plafond communal d’une part et du nombre </w:t>
      </w:r>
      <w:r w:rsidR="006B682B" w:rsidRPr="003F4D8F">
        <w:t>d’organisations partenaires agréées actives sur la commune d’autre part</w:t>
      </w:r>
      <w:r w:rsidR="005D4117" w:rsidRPr="003F4D8F">
        <w:t>.</w:t>
      </w:r>
      <w:r w:rsidRPr="003F4D8F">
        <w:t xml:space="preserve"> </w:t>
      </w:r>
      <w:r w:rsidR="00661AFE" w:rsidRPr="003F4D8F">
        <w:t xml:space="preserve">C’est </w:t>
      </w:r>
      <w:r w:rsidRPr="003F4D8F">
        <w:t>l</w:t>
      </w:r>
      <w:r w:rsidR="00661AFE" w:rsidRPr="003F4D8F">
        <w:t xml:space="preserve">e plafond </w:t>
      </w:r>
      <w:r w:rsidRPr="003F4D8F">
        <w:t xml:space="preserve">communal </w:t>
      </w:r>
      <w:r w:rsidR="00661AFE" w:rsidRPr="003F4D8F">
        <w:t>qui détermine in fine la quantité de denrées alimentaires disponibles pour les différentes organisations.</w:t>
      </w:r>
    </w:p>
    <w:p w14:paraId="2AF62AE5" w14:textId="2571A004" w:rsidR="00661AFE" w:rsidRPr="00DE1523" w:rsidRDefault="00DE1523" w:rsidP="002666E5">
      <w:pPr>
        <w:spacing w:after="240"/>
      </w:pPr>
      <w:r w:rsidRPr="00DE1523">
        <w:t>Comme chaque année, l’Autorité de Gestion a actualisé et mis à disposition</w:t>
      </w:r>
      <w:r w:rsidR="00723624">
        <w:t xml:space="preserve"> des CPAS et organisations partenaires</w:t>
      </w:r>
      <w:r w:rsidR="00661AFE" w:rsidRPr="00DE1523">
        <w:t xml:space="preserve"> le plafond communal de chaque commune. </w:t>
      </w:r>
    </w:p>
    <w:p w14:paraId="48EFE82F" w14:textId="230C5448" w:rsidR="006B682B" w:rsidRPr="009A1C09" w:rsidRDefault="006B682B" w:rsidP="002666E5">
      <w:pPr>
        <w:spacing w:after="240"/>
      </w:pPr>
      <w:r w:rsidRPr="00DE1523">
        <w:t>En 201</w:t>
      </w:r>
      <w:r w:rsidR="00E476CF">
        <w:t>8</w:t>
      </w:r>
      <w:r w:rsidRPr="00DE1523">
        <w:t xml:space="preserve">, </w:t>
      </w:r>
      <w:r w:rsidR="00E476CF">
        <w:t>8</w:t>
      </w:r>
      <w:r w:rsidRPr="00DE1523">
        <w:t xml:space="preserve"> nouvelles associations ont introduit une demande d’</w:t>
      </w:r>
      <w:r w:rsidR="002A3D1E" w:rsidRPr="00DE1523">
        <w:t>agrément</w:t>
      </w:r>
      <w:r w:rsidR="000F0A26">
        <w:t xml:space="preserve"> </w:t>
      </w:r>
      <w:r w:rsidR="0062793F" w:rsidRPr="00DE1523">
        <w:t xml:space="preserve">: </w:t>
      </w:r>
      <w:r w:rsidR="00E476CF">
        <w:t>1</w:t>
      </w:r>
      <w:r w:rsidR="0062793F" w:rsidRPr="00DE1523">
        <w:t xml:space="preserve"> organisation liée à la Banque alimentaire de Bru</w:t>
      </w:r>
      <w:r w:rsidR="002A3D1E" w:rsidRPr="00DE1523">
        <w:t xml:space="preserve">xelles </w:t>
      </w:r>
      <w:r w:rsidR="000E108B" w:rsidRPr="00DE1523">
        <w:t>B</w:t>
      </w:r>
      <w:r w:rsidR="002A3D1E" w:rsidRPr="00DE1523">
        <w:t>rabant,</w:t>
      </w:r>
      <w:r w:rsidR="00D87338" w:rsidRPr="00DE1523">
        <w:t xml:space="preserve"> </w:t>
      </w:r>
      <w:r w:rsidR="00E476CF">
        <w:t>1</w:t>
      </w:r>
      <w:r w:rsidR="00D87338" w:rsidRPr="00DE1523">
        <w:t xml:space="preserve"> organisation</w:t>
      </w:r>
      <w:r w:rsidR="00E476CF">
        <w:t xml:space="preserve"> liée</w:t>
      </w:r>
      <w:r w:rsidR="00D87338" w:rsidRPr="00DE1523">
        <w:t xml:space="preserve"> à la Banque alimentaire de Liège, </w:t>
      </w:r>
      <w:r w:rsidR="00E476CF">
        <w:t>1</w:t>
      </w:r>
      <w:r w:rsidR="000E108B" w:rsidRPr="00DE1523">
        <w:t xml:space="preserve"> Maison Croix-R</w:t>
      </w:r>
      <w:r w:rsidR="00D87338" w:rsidRPr="00DE1523">
        <w:t xml:space="preserve">ouge, </w:t>
      </w:r>
      <w:r w:rsidR="00E476CF">
        <w:t xml:space="preserve">2 </w:t>
      </w:r>
      <w:r w:rsidR="004F6AA4" w:rsidRPr="00DE1523">
        <w:t>organisation</w:t>
      </w:r>
      <w:r w:rsidR="00E476CF">
        <w:t>s</w:t>
      </w:r>
      <w:r w:rsidR="004F6AA4" w:rsidRPr="00DE1523">
        <w:t xml:space="preserve"> liée à la Banque Alimentaire d’Anvers</w:t>
      </w:r>
      <w:r w:rsidR="00E476CF">
        <w:t>, 2 organisati</w:t>
      </w:r>
      <w:r w:rsidR="00584AFE">
        <w:t>ons liées à la BA de West-</w:t>
      </w:r>
      <w:proofErr w:type="spellStart"/>
      <w:r w:rsidR="00E476CF">
        <w:t>Vlaanderen</w:t>
      </w:r>
      <w:proofErr w:type="spellEnd"/>
      <w:r w:rsidR="00E476CF">
        <w:t>, et une pour le Limb</w:t>
      </w:r>
      <w:r w:rsidR="000F0A26">
        <w:t>o</w:t>
      </w:r>
      <w:r w:rsidR="00E476CF">
        <w:t>urg.</w:t>
      </w:r>
    </w:p>
    <w:p w14:paraId="55CBDECE" w14:textId="0347358C" w:rsidR="00D77BC0" w:rsidRPr="009A1C09" w:rsidRDefault="00E476CF" w:rsidP="002666E5">
      <w:pPr>
        <w:spacing w:after="240"/>
      </w:pPr>
      <w:r>
        <w:t>79</w:t>
      </w:r>
      <w:r w:rsidR="0062793F" w:rsidRPr="009A1C09">
        <w:t xml:space="preserve"> associations ont introduit une demande d’augmentation du nombre de leurs bénéficiaires.</w:t>
      </w:r>
      <w:r w:rsidR="00D87338" w:rsidRPr="009A1C09">
        <w:t xml:space="preserve"> Toutes les demandes ont été traitées (en ce y compris l’éventuel dépassement du plafond communal).</w:t>
      </w:r>
    </w:p>
    <w:p w14:paraId="48795715" w14:textId="37FF64AD" w:rsidR="00011F50" w:rsidRPr="009F4F6F" w:rsidRDefault="00A779F6" w:rsidP="002666E5">
      <w:pPr>
        <w:pStyle w:val="Kop3"/>
        <w:numPr>
          <w:ilvl w:val="2"/>
          <w:numId w:val="1"/>
        </w:numPr>
        <w:spacing w:after="240" w:line="276" w:lineRule="auto"/>
      </w:pPr>
      <w:bookmarkStart w:id="19" w:name="_Toc12629545"/>
      <w:r w:rsidRPr="009F4F6F">
        <w:t>Le système de gestion et contrôle</w:t>
      </w:r>
      <w:bookmarkEnd w:id="19"/>
      <w:r w:rsidRPr="009F4F6F">
        <w:t xml:space="preserve"> </w:t>
      </w:r>
    </w:p>
    <w:p w14:paraId="0A21CF4A" w14:textId="6547C0E3" w:rsidR="00750DBC" w:rsidRDefault="002F0A14" w:rsidP="002666E5">
      <w:r w:rsidRPr="002528F7">
        <w:t>En 201</w:t>
      </w:r>
      <w:r w:rsidR="00C27A7A">
        <w:t>8</w:t>
      </w:r>
      <w:r w:rsidR="00A135BA" w:rsidRPr="002528F7">
        <w:t xml:space="preserve"> l’AG a continué </w:t>
      </w:r>
      <w:r w:rsidR="002528F7" w:rsidRPr="002528F7">
        <w:t>à</w:t>
      </w:r>
      <w:r w:rsidR="00A135BA" w:rsidRPr="002528F7">
        <w:t xml:space="preserve"> travailler </w:t>
      </w:r>
      <w:r w:rsidR="002528F7" w:rsidRPr="002528F7">
        <w:t>à</w:t>
      </w:r>
      <w:r w:rsidR="00A135BA" w:rsidRPr="002528F7">
        <w:t xml:space="preserve"> l’optimalisation de son système de gestion et de contr</w:t>
      </w:r>
      <w:r w:rsidR="002528F7" w:rsidRPr="002528F7">
        <w:t>ôle. L</w:t>
      </w:r>
      <w:r w:rsidR="00655FA4" w:rsidRPr="002528F7">
        <w:t>e</w:t>
      </w:r>
      <w:r w:rsidR="00305506" w:rsidRPr="002528F7">
        <w:t>s</w:t>
      </w:r>
      <w:r w:rsidR="00655FA4" w:rsidRPr="002528F7">
        <w:t xml:space="preserve"> différentes modifications ont été intégré</w:t>
      </w:r>
      <w:r w:rsidR="002528F7" w:rsidRPr="002528F7">
        <w:t>es</w:t>
      </w:r>
      <w:r w:rsidR="00655FA4" w:rsidRPr="002528F7">
        <w:t xml:space="preserve"> sur base d</w:t>
      </w:r>
      <w:r w:rsidR="002528F7" w:rsidRPr="002528F7">
        <w:t>es constatations de l’AG même, d</w:t>
      </w:r>
      <w:r w:rsidR="00655FA4" w:rsidRPr="002528F7">
        <w:t xml:space="preserve">es recommandations formulées par l’autorité de certification (AC) et </w:t>
      </w:r>
      <w:r w:rsidR="002528F7" w:rsidRPr="002528F7">
        <w:t xml:space="preserve">des recommandations de </w:t>
      </w:r>
      <w:r w:rsidR="00655FA4" w:rsidRPr="002528F7">
        <w:t>l’autorité d’audit (AA).</w:t>
      </w:r>
    </w:p>
    <w:p w14:paraId="31A5F3C5" w14:textId="3446C52C" w:rsidR="00DC4395" w:rsidRPr="002528F7" w:rsidRDefault="00DC4395" w:rsidP="002666E5">
      <w:r w:rsidRPr="005D4601">
        <w:rPr>
          <w:lang w:val="fr-BE" w:eastAsia="en-GB"/>
        </w:rPr>
        <w:t xml:space="preserve">L’AG et l’AA ont établi un processus de travail continu, en </w:t>
      </w:r>
      <w:r>
        <w:rPr>
          <w:lang w:val="fr-BE" w:eastAsia="en-GB"/>
        </w:rPr>
        <w:t>plus</w:t>
      </w:r>
      <w:r w:rsidRPr="005D4601">
        <w:rPr>
          <w:lang w:val="fr-BE" w:eastAsia="en-GB"/>
        </w:rPr>
        <w:t xml:space="preserve"> des audits officiels</w:t>
      </w:r>
      <w:r>
        <w:rPr>
          <w:lang w:val="fr-BE" w:eastAsia="en-GB"/>
        </w:rPr>
        <w:t>/ponctuels</w:t>
      </w:r>
      <w:r w:rsidRPr="005D4601">
        <w:rPr>
          <w:lang w:val="fr-BE" w:eastAsia="en-GB"/>
        </w:rPr>
        <w:t>. Des réunions régulières sont organisées afin de discuter de l’état d’avancement des modifications nécessaires à réaliser dans le S</w:t>
      </w:r>
      <w:r w:rsidR="00723624">
        <w:rPr>
          <w:lang w:val="fr-BE" w:eastAsia="en-GB"/>
        </w:rPr>
        <w:t xml:space="preserve">ystème de </w:t>
      </w:r>
      <w:r w:rsidRPr="005D4601">
        <w:rPr>
          <w:lang w:val="fr-BE" w:eastAsia="en-GB"/>
        </w:rPr>
        <w:t>G</w:t>
      </w:r>
      <w:r w:rsidR="00723624">
        <w:rPr>
          <w:lang w:val="fr-BE" w:eastAsia="en-GB"/>
        </w:rPr>
        <w:t xml:space="preserve">estion et de </w:t>
      </w:r>
      <w:r w:rsidR="00723624" w:rsidRPr="005D4601">
        <w:rPr>
          <w:lang w:val="fr-BE" w:eastAsia="en-GB"/>
        </w:rPr>
        <w:t>C</w:t>
      </w:r>
      <w:r w:rsidR="00723624">
        <w:rPr>
          <w:lang w:val="fr-BE" w:eastAsia="en-GB"/>
        </w:rPr>
        <w:t>ontrôle</w:t>
      </w:r>
      <w:r w:rsidRPr="005D4601">
        <w:rPr>
          <w:lang w:val="fr-BE" w:eastAsia="en-GB"/>
        </w:rPr>
        <w:t xml:space="preserve"> et/ou des éclaircissements à apporter (procédures, méthode de travail, etc.).</w:t>
      </w:r>
    </w:p>
    <w:p w14:paraId="7DACE8B4" w14:textId="20DFA80E" w:rsidR="002528F7" w:rsidRPr="002528F7" w:rsidRDefault="00C27A7A" w:rsidP="00655FA4">
      <w:r>
        <w:t>Début 2018</w:t>
      </w:r>
      <w:r w:rsidR="00655FA4" w:rsidRPr="002528F7">
        <w:t xml:space="preserve">, l’AA a </w:t>
      </w:r>
      <w:r w:rsidR="002528F7" w:rsidRPr="002528F7">
        <w:t>réalisé</w:t>
      </w:r>
      <w:r w:rsidR="00655FA4" w:rsidRPr="002528F7">
        <w:t xml:space="preserve"> son audit dans la cadre de la validation des comptes </w:t>
      </w:r>
      <w:r w:rsidR="002528F7">
        <w:t>(févrie</w:t>
      </w:r>
      <w:r w:rsidR="00655FA4" w:rsidRPr="002528F7">
        <w:t>r</w:t>
      </w:r>
      <w:r>
        <w:t>/mars</w:t>
      </w:r>
      <w:r w:rsidR="00655FA4" w:rsidRPr="002528F7">
        <w:t xml:space="preserve"> 201</w:t>
      </w:r>
      <w:r>
        <w:t>8</w:t>
      </w:r>
      <w:r w:rsidR="002528F7" w:rsidRPr="002528F7">
        <w:t>)</w:t>
      </w:r>
      <w:r w:rsidR="00655FA4" w:rsidRPr="002528F7">
        <w:t xml:space="preserve">. </w:t>
      </w:r>
      <w:r w:rsidR="00E620C2" w:rsidRPr="002528F7">
        <w:t>Le résu</w:t>
      </w:r>
      <w:r w:rsidR="002528F7">
        <w:t>ltat de cet audit était positif :</w:t>
      </w:r>
      <w:r w:rsidR="00E620C2" w:rsidRPr="002528F7">
        <w:t xml:space="preserve"> l’AG a reçu un score de catégorie 2</w:t>
      </w:r>
      <w:r>
        <w:t> </w:t>
      </w:r>
      <w:r w:rsidR="000F0A26">
        <w:t>ce qui signifie que</w:t>
      </w:r>
      <w:r>
        <w:t xml:space="preserve"> le système fonctionne correctement même s’il appelle encore des améliorations</w:t>
      </w:r>
      <w:r w:rsidR="00E620C2" w:rsidRPr="002528F7">
        <w:t>.</w:t>
      </w:r>
      <w:r w:rsidR="00E620C2" w:rsidRPr="002528F7">
        <w:tab/>
      </w:r>
    </w:p>
    <w:p w14:paraId="3D228A33" w14:textId="4AE44C32" w:rsidR="00E620C2" w:rsidRPr="002528F7" w:rsidRDefault="00E620C2" w:rsidP="00E620C2">
      <w:r w:rsidRPr="002528F7">
        <w:lastRenderedPageBreak/>
        <w:t xml:space="preserve">Suite à cet audit, l’AG a établi un plan d’action afin de pouvoir </w:t>
      </w:r>
      <w:r w:rsidR="002528F7" w:rsidRPr="002528F7">
        <w:t>répondre</w:t>
      </w:r>
      <w:r w:rsidRPr="002528F7">
        <w:t xml:space="preserve"> à ces recommandations. </w:t>
      </w:r>
    </w:p>
    <w:p w14:paraId="5586F6C8" w14:textId="5DDDF840" w:rsidR="00C27A7A" w:rsidRDefault="00FE6FC5" w:rsidP="002666E5">
      <w:r w:rsidRPr="002528F7">
        <w:t>Selon le système de gestion et de contrôle actualisé, l</w:t>
      </w:r>
      <w:r w:rsidR="00A779F6" w:rsidRPr="002528F7">
        <w:t>es contrôles exécutés en 201</w:t>
      </w:r>
      <w:r w:rsidR="00C27A7A">
        <w:t>8</w:t>
      </w:r>
      <w:r w:rsidR="001B67F8" w:rsidRPr="002528F7">
        <w:t xml:space="preserve"> sont les mêmes que ceux qui avaient é</w:t>
      </w:r>
      <w:r w:rsidR="008C754C" w:rsidRPr="002528F7">
        <w:t xml:space="preserve">té réalisés </w:t>
      </w:r>
      <w:r w:rsidR="00E620C2" w:rsidRPr="002528F7">
        <w:t>précédemment</w:t>
      </w:r>
      <w:r w:rsidR="001B67F8" w:rsidRPr="002528F7">
        <w:t xml:space="preserve"> en suivant les procédures et </w:t>
      </w:r>
      <w:r w:rsidR="00A15A97" w:rsidRPr="002528F7">
        <w:t xml:space="preserve">les </w:t>
      </w:r>
      <w:proofErr w:type="spellStart"/>
      <w:r w:rsidR="00A15A97" w:rsidRPr="002528F7">
        <w:t>templates</w:t>
      </w:r>
      <w:proofErr w:type="spellEnd"/>
      <w:r w:rsidR="001B67F8" w:rsidRPr="002528F7">
        <w:t xml:space="preserve"> qui ont été élaborés dans ce cadre</w:t>
      </w:r>
      <w:r w:rsidR="00520193" w:rsidRPr="002528F7">
        <w:t>.</w:t>
      </w:r>
      <w:r w:rsidR="00A15A97" w:rsidRPr="002528F7">
        <w:t xml:space="preserve"> </w:t>
      </w:r>
    </w:p>
    <w:p w14:paraId="6ED33F9A" w14:textId="77777777" w:rsidR="00A779F6" w:rsidRPr="00F448D2" w:rsidRDefault="00A408F5" w:rsidP="002666E5">
      <w:pPr>
        <w:pStyle w:val="Kop4"/>
        <w:numPr>
          <w:ilvl w:val="3"/>
          <w:numId w:val="1"/>
        </w:numPr>
        <w:spacing w:after="240" w:line="276" w:lineRule="auto"/>
      </w:pPr>
      <w:r w:rsidRPr="00F448D2">
        <w:t>Contrôles de production</w:t>
      </w:r>
    </w:p>
    <w:p w14:paraId="6E7731A3" w14:textId="7B04FCBF" w:rsidR="003B60EA" w:rsidRPr="00D77BC0" w:rsidRDefault="003B60EA" w:rsidP="002666E5">
      <w:r w:rsidRPr="00D77BC0">
        <w:t xml:space="preserve">Il n’y a pas eu de contrôles de production de la campagne 2018 </w:t>
      </w:r>
      <w:r w:rsidR="00D77BC0" w:rsidRPr="00D77BC0">
        <w:t xml:space="preserve">en 2018 – étant donné </w:t>
      </w:r>
      <w:r w:rsidRPr="00D77BC0">
        <w:t xml:space="preserve">que les livraisons </w:t>
      </w:r>
      <w:r w:rsidR="00D77BC0" w:rsidRPr="00D77BC0">
        <w:t>n’</w:t>
      </w:r>
      <w:r w:rsidRPr="00D77BC0">
        <w:t>ont commencé que début 2019.</w:t>
      </w:r>
    </w:p>
    <w:p w14:paraId="3D6BF22E" w14:textId="7CB9B894" w:rsidR="003B60EA" w:rsidRPr="00D77BC0" w:rsidRDefault="003B60EA" w:rsidP="002666E5">
      <w:r w:rsidRPr="00D77BC0">
        <w:t>Par contre, les contrôles de production de la campagne 2017, commencé</w:t>
      </w:r>
      <w:r w:rsidR="00D77BC0">
        <w:t>s</w:t>
      </w:r>
      <w:r w:rsidRPr="00D77BC0">
        <w:t xml:space="preserve"> en septembre 2017, ont continué en 2018. </w:t>
      </w:r>
    </w:p>
    <w:p w14:paraId="5F796775" w14:textId="0A4489C5" w:rsidR="001B67F8" w:rsidRPr="003B60EA" w:rsidRDefault="001B67F8" w:rsidP="002666E5">
      <w:pPr>
        <w:pStyle w:val="Koptekst"/>
        <w:spacing w:line="276" w:lineRule="auto"/>
      </w:pPr>
      <w:r w:rsidRPr="003B60EA">
        <w:t xml:space="preserve">Pour rappel, avant la livraison des produits aux organisations bénéficiaires, l’AG procède à un contrôle quant à la conformité </w:t>
      </w:r>
      <w:r w:rsidR="0015448B" w:rsidRPr="003B60EA">
        <w:t>de ces produits par rapport : 1</w:t>
      </w:r>
      <w:r w:rsidRPr="003B60EA">
        <w:t xml:space="preserve">) aux prescriptions énoncées </w:t>
      </w:r>
      <w:r w:rsidR="0015448B" w:rsidRPr="003B60EA">
        <w:t>dans le cahier des charges et 2</w:t>
      </w:r>
      <w:r w:rsidRPr="003B60EA">
        <w:t>) à l’offre soumise par le fabricant.</w:t>
      </w:r>
    </w:p>
    <w:p w14:paraId="7FADCD0E" w14:textId="7E1FB5C0" w:rsidR="001B67F8" w:rsidRPr="003B60EA" w:rsidRDefault="00E95767" w:rsidP="002666E5">
      <w:r w:rsidRPr="003B60EA">
        <w:t>Ces contrôles ont pour but</w:t>
      </w:r>
      <w:r w:rsidR="001B67F8" w:rsidRPr="003B60EA">
        <w:t>, entre autres,</w:t>
      </w:r>
      <w:r w:rsidRPr="003B60EA">
        <w:t xml:space="preserve"> de vérifier les emballage</w:t>
      </w:r>
      <w:r w:rsidR="00EC2C2F" w:rsidRPr="003B60EA">
        <w:t>s</w:t>
      </w:r>
      <w:r w:rsidRPr="003B60EA">
        <w:t xml:space="preserve">, de </w:t>
      </w:r>
      <w:r w:rsidR="00EC2C2F" w:rsidRPr="003B60EA">
        <w:t>calculer</w:t>
      </w:r>
      <w:r w:rsidRPr="003B60EA">
        <w:t xml:space="preserve"> les quantités </w:t>
      </w:r>
      <w:r w:rsidR="00EC2C2F" w:rsidRPr="003B60EA">
        <w:t xml:space="preserve">produites </w:t>
      </w:r>
      <w:r w:rsidRPr="003B60EA">
        <w:t>et de prélever les échantillons par lot de production.</w:t>
      </w:r>
      <w:r w:rsidR="00A779F6" w:rsidRPr="003B60EA">
        <w:t xml:space="preserve"> Ces échantillons sont ensuite analysés dans un laboratoire où l'on vérifie que le produit a bien été élaboré en conformité avec les spécifications du cahier des charges. </w:t>
      </w:r>
    </w:p>
    <w:p w14:paraId="242292D8" w14:textId="77777777" w:rsidR="001B67F8" w:rsidRPr="00D77BC0" w:rsidRDefault="001B67F8" w:rsidP="002666E5">
      <w:r w:rsidRPr="00D77BC0">
        <w:t>Pour chaque lot de production d’un produit donné, un échantillon est prélevé par le contrôleur. Une analyse complète de cet échantillon est alors réalisée en laboratoire.</w:t>
      </w:r>
    </w:p>
    <w:p w14:paraId="01DED83B" w14:textId="77777777" w:rsidR="001B67F8" w:rsidRPr="00D77BC0" w:rsidRDefault="001B67F8" w:rsidP="002666E5">
      <w:r w:rsidRPr="00D77BC0">
        <w:t>Après avoir pris connaissance des résultats des analyses – et pour autant que ces résultats démontrent la conformité du produit fini aux prescriptions énoncées – le SPP IS donne son accord au fabricant pour la livraison des produits concernés.</w:t>
      </w:r>
    </w:p>
    <w:p w14:paraId="3F43311D" w14:textId="1C92442D" w:rsidR="003B60EA" w:rsidRPr="00D77BC0" w:rsidRDefault="003B60EA" w:rsidP="00FE7045">
      <w:r w:rsidRPr="00D77BC0">
        <w:t xml:space="preserve">Au total 261 échantillons de produits de la campagne 2017 ont été analysés en 2018 par le laboratoire LAVETAN. </w:t>
      </w:r>
    </w:p>
    <w:p w14:paraId="15FE7659" w14:textId="0F49B071" w:rsidR="00467321" w:rsidRPr="00D77BC0" w:rsidRDefault="000F0A26" w:rsidP="00FE7045">
      <w:r>
        <w:t>C</w:t>
      </w:r>
      <w:r w:rsidR="00467321" w:rsidRPr="00D77BC0">
        <w:t xml:space="preserve">es échantillons ont été pris lors de 67 contrôles de production. </w:t>
      </w:r>
    </w:p>
    <w:p w14:paraId="7A7592FC" w14:textId="0E8B0F6D" w:rsidR="00467321" w:rsidRPr="00D77BC0" w:rsidRDefault="00467321" w:rsidP="00FE7045">
      <w:r w:rsidRPr="00D77BC0">
        <w:t>En 2018</w:t>
      </w:r>
      <w:r w:rsidR="000F0A26">
        <w:t>, aucun problème majeur n’a été signalé, seuls</w:t>
      </w:r>
      <w:r w:rsidRPr="00D77BC0">
        <w:t xml:space="preserve"> les </w:t>
      </w:r>
      <w:r w:rsidR="00723624">
        <w:t>problèmes</w:t>
      </w:r>
      <w:r w:rsidR="000F0A26" w:rsidRPr="00D77BC0">
        <w:t xml:space="preserve"> </w:t>
      </w:r>
      <w:r w:rsidRPr="00D77BC0">
        <w:t>suivants ont été constaté</w:t>
      </w:r>
      <w:r w:rsidR="00D77BC0">
        <w:t>s</w:t>
      </w:r>
      <w:r w:rsidRPr="00D77BC0">
        <w:t>:</w:t>
      </w:r>
    </w:p>
    <w:p w14:paraId="68132025" w14:textId="36D0DA17" w:rsidR="00467321" w:rsidRPr="00D77BC0" w:rsidRDefault="00467321" w:rsidP="00467321">
      <w:pPr>
        <w:pStyle w:val="Lijstalinea"/>
        <w:numPr>
          <w:ilvl w:val="0"/>
          <w:numId w:val="11"/>
        </w:numPr>
      </w:pPr>
      <w:r w:rsidRPr="00D77BC0">
        <w:t>Lait (campagne 2017)</w:t>
      </w:r>
      <w:r w:rsidR="000F0A26">
        <w:t xml:space="preserve"> </w:t>
      </w:r>
      <w:r w:rsidRPr="00D77BC0">
        <w:t xml:space="preserve">: </w:t>
      </w:r>
      <w:r w:rsidR="00884455" w:rsidRPr="00D77BC0">
        <w:t>Certains résultats d’analyse n’était pas conformes au cahier de</w:t>
      </w:r>
      <w:r w:rsidR="00D77BC0">
        <w:t>s</w:t>
      </w:r>
      <w:r w:rsidR="00884455" w:rsidRPr="00D77BC0">
        <w:t xml:space="preserve"> charges, il y avait parfois des teneurs en matières grasses ou en protéines trop faible</w:t>
      </w:r>
      <w:r w:rsidR="00D77BC0">
        <w:t>s</w:t>
      </w:r>
      <w:r w:rsidR="00884455" w:rsidRPr="00D77BC0">
        <w:t xml:space="preserve"> ou dans d’autre cas un point de congélation ou une densité massique trop basse. Les échantillons concernés ont été </w:t>
      </w:r>
      <w:r w:rsidR="00D77BC0">
        <w:t>soumis à une</w:t>
      </w:r>
      <w:r w:rsidR="00884455" w:rsidRPr="00D77BC0">
        <w:t xml:space="preserve"> contre analyse qui a confirmé que les produits étaient conforme</w:t>
      </w:r>
      <w:r w:rsidR="00D77BC0">
        <w:t>s</w:t>
      </w:r>
      <w:r w:rsidR="00884455" w:rsidRPr="00D77BC0">
        <w:t xml:space="preserve"> au cahier de charges. Il </w:t>
      </w:r>
      <w:r w:rsidR="00D77BC0">
        <w:t>n’</w:t>
      </w:r>
      <w:r w:rsidR="00884455" w:rsidRPr="00D77BC0">
        <w:t>y a pa</w:t>
      </w:r>
      <w:r w:rsidR="00D77BC0">
        <w:t>r</w:t>
      </w:r>
      <w:r w:rsidR="00884455" w:rsidRPr="00D77BC0">
        <w:t xml:space="preserve"> conséquent pas eu de sanction pour le soumissionnaire. </w:t>
      </w:r>
    </w:p>
    <w:p w14:paraId="0E2D5718" w14:textId="2FC76C62" w:rsidR="00884455" w:rsidRPr="00D77BC0" w:rsidRDefault="00884455" w:rsidP="00467321">
      <w:pPr>
        <w:pStyle w:val="Lijstalinea"/>
        <w:numPr>
          <w:ilvl w:val="0"/>
          <w:numId w:val="11"/>
        </w:numPr>
      </w:pPr>
      <w:r w:rsidRPr="00D77BC0">
        <w:t xml:space="preserve">Haricots verts (campagne 2017) : Le poids de certains échantillons n’étaient pas conforme au poids </w:t>
      </w:r>
      <w:r w:rsidR="00D77BC0">
        <w:t>demandé</w:t>
      </w:r>
      <w:r w:rsidRPr="00D77BC0">
        <w:t xml:space="preserve"> dans le cahier de charges. </w:t>
      </w:r>
      <w:r w:rsidR="00D77BC0">
        <w:t>Pour</w:t>
      </w:r>
      <w:r w:rsidRPr="00D77BC0">
        <w:t xml:space="preserve"> d’autres échantillons par contre, le poids minimum était largement dépassé. La moyenne de tous les échantillons </w:t>
      </w:r>
      <w:r w:rsidRPr="00D77BC0">
        <w:lastRenderedPageBreak/>
        <w:t>éta</w:t>
      </w:r>
      <w:r w:rsidR="003D19AE">
        <w:t>i</w:t>
      </w:r>
      <w:r w:rsidRPr="00D77BC0">
        <w:t>t conforme aux spécifications techniques du cahier de charges</w:t>
      </w:r>
      <w:r w:rsidR="00D77BC0">
        <w:t> ;</w:t>
      </w:r>
      <w:r w:rsidRPr="00D77BC0">
        <w:t xml:space="preserve"> il n’y a</w:t>
      </w:r>
      <w:r w:rsidR="00D77BC0">
        <w:t xml:space="preserve"> donc</w:t>
      </w:r>
      <w:r w:rsidRPr="00D77BC0">
        <w:t xml:space="preserve"> pas eu de sanction pour le soumissionnaire. </w:t>
      </w:r>
    </w:p>
    <w:p w14:paraId="5E83C028" w14:textId="62C20EF0" w:rsidR="0048341B" w:rsidRPr="00D77BC0" w:rsidRDefault="0048341B" w:rsidP="00467321">
      <w:pPr>
        <w:pStyle w:val="Lijstalinea"/>
        <w:numPr>
          <w:ilvl w:val="0"/>
          <w:numId w:val="11"/>
        </w:numPr>
      </w:pPr>
      <w:r w:rsidRPr="00D77BC0">
        <w:t>Confiture (campagne 2017) : Le laboratoire avait constaté un taux de Brix non-conforme aux spécifications techniques du cahier de charges.  La moyenne de tous les taux Brix étant conforme, il n’y a pas eu de sanction pour le soumissionnaire.</w:t>
      </w:r>
    </w:p>
    <w:p w14:paraId="49C3FDA8" w14:textId="1E74ED3C" w:rsidR="0048341B" w:rsidRPr="00D77BC0" w:rsidRDefault="0048341B" w:rsidP="00467321">
      <w:pPr>
        <w:pStyle w:val="Lijstalinea"/>
        <w:numPr>
          <w:ilvl w:val="0"/>
          <w:numId w:val="11"/>
        </w:numPr>
      </w:pPr>
      <w:r w:rsidRPr="00D77BC0">
        <w:t xml:space="preserve">Galettes de </w:t>
      </w:r>
      <w:r w:rsidR="00D77BC0" w:rsidRPr="00D77BC0">
        <w:t>maïs</w:t>
      </w:r>
      <w:r w:rsidRPr="00D77BC0">
        <w:t xml:space="preserve"> (campagne 2017) : Le poids de certains échantillons n’étaient pas conforme au poids requis dans le cahier de charges. La </w:t>
      </w:r>
      <w:r w:rsidR="00D77BC0" w:rsidRPr="00D77BC0">
        <w:t>moyenne</w:t>
      </w:r>
      <w:r w:rsidRPr="00D77BC0">
        <w:t xml:space="preserve"> de tous les échantillons pris étant conforme, il n’y a pas eu de sanction pour le soumissionnaire.</w:t>
      </w:r>
    </w:p>
    <w:p w14:paraId="470304DD" w14:textId="6B05E043" w:rsidR="0048341B" w:rsidRPr="00D77BC0" w:rsidRDefault="0048341B" w:rsidP="00467321">
      <w:pPr>
        <w:pStyle w:val="Lijstalinea"/>
        <w:numPr>
          <w:ilvl w:val="0"/>
          <w:numId w:val="11"/>
        </w:numPr>
      </w:pPr>
      <w:r w:rsidRPr="00D77BC0">
        <w:t>Boulettes à la sauce tomate (campagne 2017) : Le laboratoire avait constaté un taux de viande trop f</w:t>
      </w:r>
      <w:r w:rsidR="003D19AE">
        <w:t>ai</w:t>
      </w:r>
      <w:r w:rsidRPr="00D77BC0">
        <w:t>ble pour certains échantillons. La moyenne de tous les échantillons pris étant conforme</w:t>
      </w:r>
      <w:r w:rsidR="0005192A" w:rsidRPr="00D77BC0">
        <w:t xml:space="preserve">, il n’y a pas eu de sanction pour le soumissionnaire. </w:t>
      </w:r>
    </w:p>
    <w:p w14:paraId="4E3AA5F6" w14:textId="27899887" w:rsidR="002B6DDE" w:rsidRPr="00D77BC0" w:rsidRDefault="00467321" w:rsidP="002666E5">
      <w:pPr>
        <w:rPr>
          <w:lang w:val="fr-BE"/>
        </w:rPr>
      </w:pPr>
      <w:r w:rsidRPr="00D77BC0">
        <w:t xml:space="preserve">Les principaux problèmes constatés par l’AG lors des </w:t>
      </w:r>
      <w:proofErr w:type="spellStart"/>
      <w:r w:rsidRPr="00D77BC0">
        <w:t>cont</w:t>
      </w:r>
      <w:proofErr w:type="spellEnd"/>
      <w:r w:rsidRPr="00D77BC0">
        <w:rPr>
          <w:lang w:val="fr-BE"/>
        </w:rPr>
        <w:t>rôles de production restent identiques à ceux qui avaient été exposés dans nos précédents rapports annuels</w:t>
      </w:r>
      <w:r w:rsidR="003D19AE">
        <w:rPr>
          <w:lang w:val="fr-BE"/>
        </w:rPr>
        <w:t xml:space="preserve"> </w:t>
      </w:r>
      <w:r w:rsidRPr="00D77BC0">
        <w:rPr>
          <w:lang w:val="fr-BE"/>
        </w:rPr>
        <w:t>: des problèmes de palettisation, des palettes parfois mal empilées, etc. Dans de tels cas, le fabricant concerné a toujours été contacté dans les plus brefs délais afin de remédier à la situation. Si nécessaire, le contrôleur a refusé des quantités. Ces quantités n’ont, par conséquent, pas reçu d’autorisation d’être livrées – et n’ont donc pas été payées.</w:t>
      </w:r>
    </w:p>
    <w:p w14:paraId="56BC0BAA" w14:textId="77777777" w:rsidR="003E78A9" w:rsidRDefault="003E78A9" w:rsidP="002666E5">
      <w:pPr>
        <w:pStyle w:val="Kop4"/>
        <w:numPr>
          <w:ilvl w:val="3"/>
          <w:numId w:val="1"/>
        </w:numPr>
        <w:spacing w:after="240" w:line="276" w:lineRule="auto"/>
      </w:pPr>
      <w:r w:rsidRPr="00407488">
        <w:t>Contrôles des factures</w:t>
      </w:r>
    </w:p>
    <w:p w14:paraId="32881033" w14:textId="77777777" w:rsidR="0005192A" w:rsidRPr="00A40FE4" w:rsidRDefault="0005192A" w:rsidP="0005192A">
      <w:pPr>
        <w:rPr>
          <w:lang w:val="fr-BE"/>
        </w:rPr>
      </w:pPr>
      <w:r w:rsidRPr="00A40FE4">
        <w:rPr>
          <w:lang w:val="fr-BE"/>
        </w:rPr>
        <w:t>Le contrôle des factures s’est fait sur 100 % des factures reçues.</w:t>
      </w:r>
    </w:p>
    <w:p w14:paraId="28E24B99" w14:textId="3930219B" w:rsidR="0005192A" w:rsidRDefault="0005192A" w:rsidP="0005192A">
      <w:pPr>
        <w:rPr>
          <w:color w:val="1F497D"/>
          <w:lang w:val="fr-BE"/>
        </w:rPr>
      </w:pPr>
      <w:r w:rsidRPr="00A40FE4">
        <w:rPr>
          <w:lang w:val="fr-BE"/>
        </w:rPr>
        <w:t>À l’instar des autres années, pour chaque livraison facturée, l'adjudicataire du marché doit présenter un document justificatif de la livraison (</w:t>
      </w:r>
      <w:r w:rsidR="00A40FE4">
        <w:rPr>
          <w:lang w:val="fr-BE"/>
        </w:rPr>
        <w:t>b</w:t>
      </w:r>
      <w:r w:rsidRPr="00A40FE4">
        <w:rPr>
          <w:lang w:val="fr-BE"/>
        </w:rPr>
        <w:t>on de livraison)</w:t>
      </w:r>
      <w:r w:rsidR="00A40FE4">
        <w:rPr>
          <w:lang w:val="fr-BE"/>
        </w:rPr>
        <w:t>.</w:t>
      </w:r>
      <w:r w:rsidRPr="00A40FE4">
        <w:rPr>
          <w:lang w:val="fr-BE"/>
        </w:rPr>
        <w:t xml:space="preserve"> Ce document doit être signé par la personne qui réceptionne les produits. Les factures et les documents justificatifs correspondants ont également été contrôlés à 100%. Lorsque cela s'est avéré nécessaire, les documents justificatifs imprécis ont été vérifiés et les documents justificatifs manquants ont été réclamés. Si nécessaire, l'adjudicataire du marché a été invité à fournir une note de crédit</w:t>
      </w:r>
      <w:r>
        <w:rPr>
          <w:color w:val="1F497D"/>
          <w:lang w:val="fr-BE"/>
        </w:rPr>
        <w:t>.</w:t>
      </w:r>
    </w:p>
    <w:p w14:paraId="0C7AE29C" w14:textId="77777777" w:rsidR="0005192A" w:rsidRPr="00A40FE4" w:rsidRDefault="0005192A" w:rsidP="0005192A">
      <w:pPr>
        <w:rPr>
          <w:lang w:val="fr-BE"/>
        </w:rPr>
      </w:pPr>
      <w:r w:rsidRPr="00A40FE4">
        <w:rPr>
          <w:lang w:val="fr-BE"/>
        </w:rPr>
        <w:t xml:space="preserve">Les conclusions du contrôle sont ensuite notées dans le tableau de suivi et le PV de réception est rédigé. </w:t>
      </w:r>
    </w:p>
    <w:p w14:paraId="61542CB9" w14:textId="7594592D" w:rsidR="0005192A" w:rsidRPr="00A40FE4" w:rsidRDefault="0005192A" w:rsidP="0005192A">
      <w:pPr>
        <w:rPr>
          <w:lang w:val="fr-BE"/>
        </w:rPr>
      </w:pPr>
      <w:r w:rsidRPr="00A40FE4">
        <w:rPr>
          <w:lang w:val="fr-BE"/>
        </w:rPr>
        <w:t>Les dates de livraisons ont également été scrupuleusement vérifiées (pour un suivi des éventuels dépassements de délais de livraison). Nous avons constaté que le nombre de livraison hors délais est beaucoup moins important que celui de l’année 2017 et que dans la plupart des cas, il s’agissait également de cas justifiés, c’est-à-dire de livraisons tardives à la demande des bénéficiaires. Pour les livraisons tardives qui ne pouvaient pas être justifiées, des pénalités de retard ont été appliquées pour un montant total de 1.946,40 euros.</w:t>
      </w:r>
    </w:p>
    <w:p w14:paraId="39F74CAA" w14:textId="64AD4563" w:rsidR="00A40FE4" w:rsidRPr="00A40FE4" w:rsidRDefault="0005192A" w:rsidP="002666E5">
      <w:pPr>
        <w:rPr>
          <w:lang w:val="fr-BE"/>
        </w:rPr>
      </w:pPr>
      <w:r w:rsidRPr="00A40FE4">
        <w:rPr>
          <w:lang w:val="fr-BE"/>
        </w:rPr>
        <w:t xml:space="preserve">Afin de s’assurer que l’adjudicataire </w:t>
      </w:r>
      <w:r w:rsidR="003D19AE">
        <w:rPr>
          <w:lang w:val="fr-BE"/>
        </w:rPr>
        <w:t>a</w:t>
      </w:r>
      <w:r w:rsidRPr="00A40FE4">
        <w:rPr>
          <w:lang w:val="fr-BE"/>
        </w:rPr>
        <w:t xml:space="preserve"> bien respecté les dotations prévues pour chaque entrepôt, un contrôle général en deux étapes est effectué pour chaque lot. D’abord les quantités convenues de livrer pour chaque entrepôt sont comparées aux quantités réellement livrées et facturée</w:t>
      </w:r>
      <w:r w:rsidR="003D19AE">
        <w:rPr>
          <w:lang w:val="fr-BE"/>
        </w:rPr>
        <w:t>s</w:t>
      </w:r>
      <w:r w:rsidRPr="00A40FE4">
        <w:rPr>
          <w:lang w:val="fr-BE"/>
        </w:rPr>
        <w:t>, ensuite un mail de confirmation des  quantités réellement livrées (reçues) est demandé à chaque entrepôt.</w:t>
      </w:r>
    </w:p>
    <w:p w14:paraId="1FBBA64E" w14:textId="77777777" w:rsidR="00A408F5" w:rsidRPr="00790648" w:rsidRDefault="00A408F5" w:rsidP="002666E5">
      <w:pPr>
        <w:pStyle w:val="Kop4"/>
        <w:numPr>
          <w:ilvl w:val="3"/>
          <w:numId w:val="1"/>
        </w:numPr>
        <w:spacing w:after="240" w:line="276" w:lineRule="auto"/>
      </w:pPr>
      <w:r w:rsidRPr="00790648">
        <w:lastRenderedPageBreak/>
        <w:t>Contrôles des livraisons</w:t>
      </w:r>
    </w:p>
    <w:p w14:paraId="39914702" w14:textId="77777777" w:rsidR="00757C75" w:rsidRDefault="00757C75" w:rsidP="00757C75">
      <w:pPr>
        <w:rPr>
          <w:rFonts w:ascii="Calibri" w:hAnsi="Calibri"/>
          <w:sz w:val="22"/>
          <w:lang w:val="fr-BE"/>
        </w:rPr>
      </w:pPr>
      <w:r>
        <w:rPr>
          <w:lang w:val="fr-BE"/>
        </w:rPr>
        <w:t xml:space="preserve">L’autorité de gestion a réalisé 25 contrôles de livraison dans le cadre de la campagne 2017. Suite à un retard du lancement de la campagne 2018, aucun contrôle n’a eu lieu pour ces lots durant l’année 2018. En effet, ces contrôles ont commencé en février 2019 et sont encore en cours à l’heure actuelle. </w:t>
      </w:r>
    </w:p>
    <w:p w14:paraId="155DF9A9" w14:textId="77777777" w:rsidR="00757C75" w:rsidRDefault="00757C75" w:rsidP="00757C75">
      <w:pPr>
        <w:rPr>
          <w:szCs w:val="24"/>
          <w:lang w:val="fr-BE"/>
        </w:rPr>
      </w:pPr>
      <w:r>
        <w:rPr>
          <w:lang w:val="fr-BE"/>
        </w:rPr>
        <w:t xml:space="preserve">Pour rappel, les contrôles de livraison qui ont eu lieu en 2018 avaient pour but de s’assurer de la conformité des lots  pour au minimum 5% des quantités totales attribuées et livrées. </w:t>
      </w:r>
    </w:p>
    <w:p w14:paraId="513F8B61" w14:textId="77777777" w:rsidR="00757C75" w:rsidRDefault="00757C75" w:rsidP="00757C75">
      <w:pPr>
        <w:rPr>
          <w:rFonts w:ascii="Calibri" w:hAnsi="Calibri"/>
          <w:sz w:val="22"/>
          <w:lang w:val="fr-BE"/>
        </w:rPr>
      </w:pPr>
      <w:r>
        <w:rPr>
          <w:lang w:val="fr-BE"/>
        </w:rPr>
        <w:t xml:space="preserve">Dans le cadre de la campagne 2017, plus de 5% des quantités livrées ont été contrôlées pour 7 lots sur les 22 prévus. Notre contrôleur a vérifié 6,09% des quantités livrées tout lot confondu. </w:t>
      </w:r>
    </w:p>
    <w:p w14:paraId="0DD2F0EB" w14:textId="77777777" w:rsidR="00757C75" w:rsidRDefault="00757C75" w:rsidP="00757C75">
      <w:pPr>
        <w:rPr>
          <w:lang w:val="fr-BE"/>
        </w:rPr>
      </w:pPr>
      <w:r>
        <w:rPr>
          <w:lang w:val="fr-BE"/>
        </w:rPr>
        <w:t>Les contrôles ont porté sur les mêmes sujets que ceux réalisés en 2017. Nous réalisons également depuis l’année 2017 une comparaison entre les quantités contrôlées sur le terrain et les bons de livraison joints à la facturation. Nous pouvons ainsi garantir la qualité des livraisons et lots contrôlés et prendre les mesures nécessaires en vue de corriger tout manquement au moment de la facturation.</w:t>
      </w:r>
    </w:p>
    <w:p w14:paraId="70711154" w14:textId="77777777" w:rsidR="00757C75" w:rsidRDefault="00757C75" w:rsidP="00757C75">
      <w:pPr>
        <w:rPr>
          <w:lang w:val="fr-BE"/>
        </w:rPr>
      </w:pPr>
      <w:r>
        <w:rPr>
          <w:lang w:val="fr-BE"/>
        </w:rPr>
        <w:t>Parmi les erreurs constatées lors des contrôles de livraison :</w:t>
      </w:r>
    </w:p>
    <w:p w14:paraId="3CB2B8EE" w14:textId="77777777" w:rsidR="00757C75" w:rsidRPr="00757C75" w:rsidRDefault="00757C75" w:rsidP="00757C75">
      <w:pPr>
        <w:pStyle w:val="Lijstalinea"/>
        <w:numPr>
          <w:ilvl w:val="0"/>
          <w:numId w:val="42"/>
        </w:numPr>
        <w:spacing w:after="0" w:line="240" w:lineRule="auto"/>
        <w:jc w:val="left"/>
        <w:rPr>
          <w:lang w:val="fr-BE"/>
        </w:rPr>
      </w:pPr>
      <w:r w:rsidRPr="00757C75">
        <w:rPr>
          <w:lang w:val="fr-BE"/>
        </w:rPr>
        <w:t>Nous avons constaté une erreur de palettisation (fromage fondu) qui a été rectifiée.</w:t>
      </w:r>
    </w:p>
    <w:p w14:paraId="2F6D4E37" w14:textId="77777777" w:rsidR="00757C75" w:rsidRPr="00757C75" w:rsidRDefault="00757C75" w:rsidP="00757C75">
      <w:pPr>
        <w:pStyle w:val="Lijstalinea"/>
        <w:numPr>
          <w:ilvl w:val="0"/>
          <w:numId w:val="42"/>
        </w:numPr>
        <w:spacing w:after="0" w:line="240" w:lineRule="auto"/>
        <w:jc w:val="left"/>
        <w:rPr>
          <w:lang w:val="fr-BE"/>
        </w:rPr>
      </w:pPr>
      <w:r w:rsidRPr="00757C75">
        <w:rPr>
          <w:lang w:val="fr-BE"/>
        </w:rPr>
        <w:t xml:space="preserve">Une unité de lait abimée durant le transport. </w:t>
      </w:r>
    </w:p>
    <w:p w14:paraId="0F5E5FF6" w14:textId="77777777" w:rsidR="00757C75" w:rsidRPr="00757C75" w:rsidRDefault="00757C75" w:rsidP="00757C75">
      <w:pPr>
        <w:pStyle w:val="Lijstalinea"/>
        <w:numPr>
          <w:ilvl w:val="0"/>
          <w:numId w:val="42"/>
        </w:numPr>
        <w:spacing w:after="0" w:line="240" w:lineRule="auto"/>
        <w:jc w:val="left"/>
        <w:rPr>
          <w:lang w:val="fr-BE"/>
        </w:rPr>
      </w:pPr>
      <w:r w:rsidRPr="00757C75">
        <w:rPr>
          <w:lang w:val="fr-BE"/>
        </w:rPr>
        <w:t>Deux bons de livraison sur lequel les quantités mentionnées ne correspondaient pas aux quantités livrées. Dans les deux cas, une correction manuelle a été apportée au bon afin d’attirer l’attention de l’agent en charge du paiement.</w:t>
      </w:r>
    </w:p>
    <w:p w14:paraId="67C1ADA2" w14:textId="77777777" w:rsidR="00EB579A" w:rsidRPr="00EB579A" w:rsidRDefault="00EB579A" w:rsidP="00EB579A">
      <w:pPr>
        <w:pStyle w:val="Lijstalinea"/>
        <w:spacing w:after="0" w:line="240" w:lineRule="auto"/>
        <w:contextualSpacing w:val="0"/>
        <w:jc w:val="left"/>
        <w:rPr>
          <w:lang w:val="fr-BE"/>
        </w:rPr>
      </w:pPr>
    </w:p>
    <w:p w14:paraId="627DE986" w14:textId="1714EDF2" w:rsidR="007D4615" w:rsidRPr="00A40FE4" w:rsidRDefault="007F467B" w:rsidP="002666E5">
      <w:pPr>
        <w:pStyle w:val="Kop4"/>
        <w:numPr>
          <w:ilvl w:val="3"/>
          <w:numId w:val="1"/>
        </w:numPr>
        <w:spacing w:after="240" w:line="276" w:lineRule="auto"/>
      </w:pPr>
      <w:r w:rsidRPr="00A40FE4">
        <w:t>Contrôles des organisations</w:t>
      </w:r>
    </w:p>
    <w:p w14:paraId="04FB0967" w14:textId="03BD2F7E" w:rsidR="00A40FE4" w:rsidRDefault="00A40FE4" w:rsidP="00141AF8">
      <w:pPr>
        <w:spacing w:after="0"/>
        <w:rPr>
          <w:lang w:val="fr-BE"/>
        </w:rPr>
      </w:pPr>
      <w:r>
        <w:rPr>
          <w:lang w:val="fr-BE"/>
        </w:rPr>
        <w:t>Durant l’année 2018, no</w:t>
      </w:r>
      <w:r w:rsidR="00EB579A">
        <w:rPr>
          <w:lang w:val="fr-BE"/>
        </w:rPr>
        <w:t xml:space="preserve">us avons réalisé 128 contrôles </w:t>
      </w:r>
      <w:r>
        <w:rPr>
          <w:lang w:val="fr-BE"/>
        </w:rPr>
        <w:t xml:space="preserve">de la campagne 2017. Nous comptabilisons ainsi un pourcentage d’organisations contrôlées de 17,09% [139 organisations contrôlées/749 commandes] durant l’année 2018. </w:t>
      </w:r>
    </w:p>
    <w:p w14:paraId="098AB92A" w14:textId="77777777" w:rsidR="001F0A02" w:rsidRDefault="001F0A02" w:rsidP="00141AF8">
      <w:pPr>
        <w:spacing w:after="0"/>
        <w:rPr>
          <w:rFonts w:ascii="Calibri" w:hAnsi="Calibri"/>
          <w:sz w:val="22"/>
          <w:lang w:val="fr-BE"/>
        </w:rPr>
      </w:pPr>
    </w:p>
    <w:p w14:paraId="2DA46233" w14:textId="4F04D24A" w:rsidR="00A40FE4" w:rsidRDefault="00EB579A" w:rsidP="00141AF8">
      <w:pPr>
        <w:spacing w:after="0"/>
        <w:rPr>
          <w:lang w:val="fr-BE"/>
        </w:rPr>
      </w:pPr>
      <w:r>
        <w:rPr>
          <w:lang w:val="fr-BE"/>
        </w:rPr>
        <w:t xml:space="preserve">Il est à noter que </w:t>
      </w:r>
      <w:r w:rsidR="00A40FE4">
        <w:rPr>
          <w:lang w:val="fr-BE"/>
        </w:rPr>
        <w:t xml:space="preserve">17 contrôles de la campagne 2017 ont été réalisés en 2019. </w:t>
      </w:r>
    </w:p>
    <w:p w14:paraId="29EE31AD" w14:textId="77777777" w:rsidR="001F0A02" w:rsidRDefault="001F0A02" w:rsidP="00141AF8">
      <w:pPr>
        <w:spacing w:after="0"/>
        <w:rPr>
          <w:lang w:val="fr-BE"/>
        </w:rPr>
      </w:pPr>
    </w:p>
    <w:p w14:paraId="165817B2" w14:textId="4698B089" w:rsidR="00A40FE4" w:rsidRDefault="00A40FE4" w:rsidP="00141AF8">
      <w:pPr>
        <w:spacing w:after="0"/>
        <w:rPr>
          <w:lang w:val="fr-BE"/>
        </w:rPr>
      </w:pPr>
      <w:r>
        <w:rPr>
          <w:lang w:val="fr-BE"/>
        </w:rPr>
        <w:t>Le pourcentage de répartition des contrôles par risqu</w:t>
      </w:r>
      <w:r w:rsidR="00EB579A">
        <w:rPr>
          <w:lang w:val="fr-BE"/>
        </w:rPr>
        <w:t>e est le suivant</w:t>
      </w:r>
      <w:r>
        <w:rPr>
          <w:lang w:val="fr-BE"/>
        </w:rPr>
        <w:t>:</w:t>
      </w:r>
    </w:p>
    <w:p w14:paraId="4C91C0FC" w14:textId="27996946" w:rsidR="00A40FE4" w:rsidRDefault="00EB579A" w:rsidP="00141AF8">
      <w:pPr>
        <w:pStyle w:val="Lijstalinea"/>
        <w:numPr>
          <w:ilvl w:val="0"/>
          <w:numId w:val="41"/>
        </w:numPr>
        <w:spacing w:after="0"/>
        <w:contextualSpacing w:val="0"/>
        <w:jc w:val="left"/>
        <w:rPr>
          <w:lang w:val="fr-BE"/>
        </w:rPr>
      </w:pPr>
      <w:r>
        <w:rPr>
          <w:lang w:val="fr-BE"/>
        </w:rPr>
        <w:t>Plus grandes organisations: 36</w:t>
      </w:r>
    </w:p>
    <w:p w14:paraId="0EA55BAA" w14:textId="76DB32DC" w:rsidR="00A40FE4" w:rsidRDefault="00EB579A" w:rsidP="00141AF8">
      <w:pPr>
        <w:pStyle w:val="Lijstalinea"/>
        <w:numPr>
          <w:ilvl w:val="0"/>
          <w:numId w:val="41"/>
        </w:numPr>
        <w:spacing w:after="0"/>
        <w:contextualSpacing w:val="0"/>
        <w:jc w:val="left"/>
        <w:rPr>
          <w:lang w:val="fr-BE"/>
        </w:rPr>
      </w:pPr>
      <w:r>
        <w:rPr>
          <w:lang w:val="fr-BE"/>
        </w:rPr>
        <w:t>Nouveaux agréments: 12</w:t>
      </w:r>
    </w:p>
    <w:p w14:paraId="78BA539C" w14:textId="42E6685F" w:rsidR="00A40FE4" w:rsidRDefault="00EB579A" w:rsidP="00141AF8">
      <w:pPr>
        <w:pStyle w:val="Lijstalinea"/>
        <w:numPr>
          <w:ilvl w:val="0"/>
          <w:numId w:val="41"/>
        </w:numPr>
        <w:spacing w:after="0"/>
        <w:contextualSpacing w:val="0"/>
        <w:jc w:val="left"/>
        <w:rPr>
          <w:lang w:val="fr-BE"/>
        </w:rPr>
      </w:pPr>
      <w:r>
        <w:rPr>
          <w:lang w:val="fr-BE"/>
        </w:rPr>
        <w:t>Contrôle de suivi</w:t>
      </w:r>
      <w:r w:rsidR="00A40FE4">
        <w:rPr>
          <w:lang w:val="fr-BE"/>
        </w:rPr>
        <w:t>: 19</w:t>
      </w:r>
    </w:p>
    <w:p w14:paraId="1F26731F" w14:textId="3138A7A3" w:rsidR="00A40FE4" w:rsidRDefault="00EB579A" w:rsidP="00141AF8">
      <w:pPr>
        <w:pStyle w:val="Lijstalinea"/>
        <w:numPr>
          <w:ilvl w:val="0"/>
          <w:numId w:val="41"/>
        </w:numPr>
        <w:spacing w:after="0"/>
        <w:contextualSpacing w:val="0"/>
        <w:jc w:val="left"/>
        <w:rPr>
          <w:lang w:val="fr-BE"/>
        </w:rPr>
      </w:pPr>
      <w:r>
        <w:rPr>
          <w:lang w:val="fr-BE"/>
        </w:rPr>
        <w:t>Révision d’agréments</w:t>
      </w:r>
      <w:r w:rsidR="00A40FE4">
        <w:rPr>
          <w:lang w:val="fr-BE"/>
        </w:rPr>
        <w:t>: 15</w:t>
      </w:r>
    </w:p>
    <w:p w14:paraId="211B3206" w14:textId="11E13526" w:rsidR="00A40FE4" w:rsidRDefault="00EB579A" w:rsidP="00141AF8">
      <w:pPr>
        <w:pStyle w:val="Lijstalinea"/>
        <w:numPr>
          <w:ilvl w:val="0"/>
          <w:numId w:val="41"/>
        </w:numPr>
        <w:spacing w:after="0"/>
        <w:contextualSpacing w:val="0"/>
        <w:jc w:val="left"/>
        <w:rPr>
          <w:lang w:val="fr-BE"/>
        </w:rPr>
      </w:pPr>
      <w:r>
        <w:rPr>
          <w:lang w:val="fr-BE"/>
        </w:rPr>
        <w:t>Aléatoire</w:t>
      </w:r>
      <w:r w:rsidR="00A40FE4">
        <w:rPr>
          <w:lang w:val="fr-BE"/>
        </w:rPr>
        <w:t>: 46 (total = 128)</w:t>
      </w:r>
    </w:p>
    <w:p w14:paraId="07C0B233" w14:textId="77777777" w:rsidR="00EB579A" w:rsidRPr="00EB579A" w:rsidRDefault="00EB579A" w:rsidP="00141AF8">
      <w:pPr>
        <w:spacing w:after="0"/>
        <w:jc w:val="left"/>
        <w:rPr>
          <w:lang w:val="fr-BE"/>
        </w:rPr>
      </w:pPr>
    </w:p>
    <w:p w14:paraId="5603F3C4" w14:textId="71D60C88" w:rsidR="00A40FE4" w:rsidRDefault="00A40FE4" w:rsidP="00141AF8">
      <w:pPr>
        <w:spacing w:after="0"/>
        <w:rPr>
          <w:lang w:val="fr-BE"/>
        </w:rPr>
      </w:pPr>
      <w:r>
        <w:rPr>
          <w:lang w:val="fr-BE"/>
        </w:rPr>
        <w:t>Pour réaliser cette répartition, nous avons optimalisé à nouveau notre analyse de risque.</w:t>
      </w:r>
      <w:r w:rsidR="001F0A02">
        <w:rPr>
          <w:lang w:val="fr-BE"/>
        </w:rPr>
        <w:t xml:space="preserve"> </w:t>
      </w:r>
      <w:r>
        <w:rPr>
          <w:lang w:val="fr-BE"/>
        </w:rPr>
        <w:t xml:space="preserve">Comme pour les campagnes précédentes, nous avons contrôlé toutes les organisations qui ont introduit une demande d’agrément. En effet, il est primordial que nous nous assurions que </w:t>
      </w:r>
      <w:r>
        <w:rPr>
          <w:lang w:val="fr-BE"/>
        </w:rPr>
        <w:lastRenderedPageBreak/>
        <w:t>le règlement FEAD soit correctement appliqué dès le début de la collaboration. De plus, ce premier contact nous permet de rencontrer nos nouveaux partenaires et répondre à leurs questions en direct concernant le fonctionnement du FEAD.</w:t>
      </w:r>
    </w:p>
    <w:p w14:paraId="70AB8908" w14:textId="77777777" w:rsidR="00A40FE4" w:rsidRPr="001F0A02" w:rsidRDefault="00A40FE4" w:rsidP="00141AF8">
      <w:pPr>
        <w:pStyle w:val="Letter"/>
        <w:spacing w:line="276" w:lineRule="auto"/>
        <w:jc w:val="both"/>
        <w:rPr>
          <w:rFonts w:ascii="Gill Sans MT" w:eastAsiaTheme="majorEastAsia" w:hAnsi="Gill Sans MT" w:cstheme="majorBidi"/>
          <w:sz w:val="24"/>
          <w:szCs w:val="22"/>
          <w:lang w:val="fr-BE" w:eastAsia="fr-FR" w:bidi="fr-FR"/>
        </w:rPr>
      </w:pPr>
      <w:r w:rsidRPr="001F0A02">
        <w:rPr>
          <w:rFonts w:ascii="Gill Sans MT" w:eastAsiaTheme="majorEastAsia" w:hAnsi="Gill Sans MT" w:cstheme="majorBidi"/>
          <w:sz w:val="24"/>
          <w:szCs w:val="22"/>
          <w:lang w:val="fr-BE" w:eastAsia="fr-FR" w:bidi="fr-FR"/>
        </w:rPr>
        <w:t xml:space="preserve">Concernant les 50 plus grandes organisations, nous avons sélectionné les 50 organisations responsables des plus grands stocks financiers en valeur totale, tout lot confondu. </w:t>
      </w:r>
    </w:p>
    <w:p w14:paraId="7FB4E825" w14:textId="77777777" w:rsidR="00A40FE4" w:rsidRDefault="00A40FE4" w:rsidP="00141AF8">
      <w:pPr>
        <w:spacing w:after="0"/>
        <w:rPr>
          <w:rFonts w:ascii="Calibri" w:hAnsi="Calibri"/>
          <w:lang w:val="fr-BE"/>
        </w:rPr>
      </w:pPr>
    </w:p>
    <w:p w14:paraId="5A3AD78A" w14:textId="77777777" w:rsidR="00A40FE4" w:rsidRDefault="00A40FE4" w:rsidP="00141AF8">
      <w:pPr>
        <w:spacing w:after="0"/>
        <w:rPr>
          <w:lang w:val="fr-BE"/>
        </w:rPr>
      </w:pPr>
      <w:r>
        <w:rPr>
          <w:lang w:val="fr-BE"/>
        </w:rPr>
        <w:t>Nous contrôlons ainsi les 50 organisations travaillant avec le montant le plus élevé de produits FEAD ce qui correspond à environ 36% de la valeur des produits FEAD pour la campagne 2017.</w:t>
      </w:r>
    </w:p>
    <w:p w14:paraId="1E6BABF7" w14:textId="77777777" w:rsidR="00A40FE4" w:rsidRDefault="00A40FE4" w:rsidP="00141AF8">
      <w:pPr>
        <w:spacing w:after="0"/>
        <w:rPr>
          <w:lang w:val="fr-BE"/>
        </w:rPr>
      </w:pPr>
    </w:p>
    <w:p w14:paraId="23B0EC9D" w14:textId="22066385" w:rsidR="00A40FE4" w:rsidRDefault="00A40FE4" w:rsidP="00141AF8">
      <w:pPr>
        <w:spacing w:after="0"/>
        <w:rPr>
          <w:lang w:val="fr-BE"/>
        </w:rPr>
      </w:pPr>
      <w:r>
        <w:rPr>
          <w:lang w:val="fr-BE"/>
        </w:rPr>
        <w:t xml:space="preserve">Toutes les organisations qui ont reçu un avertissement en 2016 (contrôle de suivi demandé) </w:t>
      </w:r>
      <w:r w:rsidRPr="00A21080">
        <w:rPr>
          <w:lang w:val="fr-BE"/>
        </w:rPr>
        <w:t>seront vérifiées à nouveau</w:t>
      </w:r>
      <w:r>
        <w:rPr>
          <w:lang w:val="fr-BE"/>
        </w:rPr>
        <w:t xml:space="preserve"> en même temps que les contrôles de la campagne 2017 afin de s’assurer que les recommandations formulées et notifiées par courrier ont bien été appliquées. Les lettres ayant été réalisées  tardivement, les contrôles de suivi ont eu lieu pour la majorité </w:t>
      </w:r>
      <w:r w:rsidR="00A21080">
        <w:rPr>
          <w:lang w:val="fr-BE"/>
        </w:rPr>
        <w:t>en 2019</w:t>
      </w:r>
      <w:r>
        <w:rPr>
          <w:lang w:val="fr-BE"/>
        </w:rPr>
        <w:t>.</w:t>
      </w:r>
    </w:p>
    <w:p w14:paraId="5571FA42" w14:textId="77777777" w:rsidR="00A40FE4" w:rsidRDefault="00A40FE4" w:rsidP="00141AF8">
      <w:pPr>
        <w:spacing w:after="0"/>
        <w:rPr>
          <w:lang w:val="fr-BE"/>
        </w:rPr>
      </w:pPr>
    </w:p>
    <w:p w14:paraId="109A8ACC" w14:textId="77777777" w:rsidR="00A40FE4" w:rsidRDefault="00A40FE4" w:rsidP="00141AF8">
      <w:pPr>
        <w:spacing w:after="0"/>
        <w:rPr>
          <w:lang w:val="fr-BE"/>
        </w:rPr>
      </w:pPr>
      <w:r>
        <w:rPr>
          <w:lang w:val="fr-BE"/>
        </w:rPr>
        <w:t xml:space="preserve">L’augmentation d’agrément constitue également un risque. En effet, cette augmentation a un impact direct sur la gestion physique et administrative des produits FEAD. Nous avons donc contrôlé l’ensemble des organisations ayant vu leur demande d’augmentation d’agrément acceptée. </w:t>
      </w:r>
    </w:p>
    <w:p w14:paraId="13CB7F44" w14:textId="77777777" w:rsidR="00A40FE4" w:rsidRDefault="00A40FE4" w:rsidP="00141AF8">
      <w:pPr>
        <w:spacing w:after="0"/>
        <w:rPr>
          <w:lang w:val="fr-BE"/>
        </w:rPr>
      </w:pPr>
    </w:p>
    <w:p w14:paraId="00DE0E4D" w14:textId="77777777" w:rsidR="00A40FE4" w:rsidRDefault="00A40FE4" w:rsidP="00141AF8">
      <w:pPr>
        <w:spacing w:after="0"/>
        <w:rPr>
          <w:lang w:val="fr-BE"/>
        </w:rPr>
      </w:pPr>
      <w:r>
        <w:rPr>
          <w:lang w:val="fr-BE"/>
        </w:rPr>
        <w:t xml:space="preserve">Cet échantillon a été complété par des organisations choisies parmi celles n’ayant jamais été contrôlées. Pour la campagne 2017, nous avons choisi ces organisations par ordre décroissant de la valeur des produits FEAD à leur disposition. </w:t>
      </w:r>
    </w:p>
    <w:p w14:paraId="61D75518" w14:textId="77777777" w:rsidR="00A40FE4" w:rsidRDefault="00A40FE4" w:rsidP="00141AF8">
      <w:pPr>
        <w:spacing w:after="0"/>
        <w:rPr>
          <w:lang w:val="fr-BE"/>
        </w:rPr>
      </w:pPr>
    </w:p>
    <w:p w14:paraId="1C5B1E3A" w14:textId="51485EF4" w:rsidR="00A40FE4" w:rsidRPr="00141AF8" w:rsidRDefault="00A40FE4" w:rsidP="00141AF8">
      <w:pPr>
        <w:spacing w:after="0"/>
        <w:rPr>
          <w:lang w:val="fr-BE"/>
        </w:rPr>
      </w:pPr>
      <w:r>
        <w:rPr>
          <w:lang w:val="fr-BE"/>
        </w:rPr>
        <w:t xml:space="preserve">Lors de ces choix, nous avons également pris en considération l’importance de la répartition du rôle linguistique lors des commandes. </w:t>
      </w:r>
    </w:p>
    <w:p w14:paraId="2C54237A" w14:textId="77777777" w:rsidR="005B6C30" w:rsidRDefault="005B6C30" w:rsidP="00141AF8">
      <w:pPr>
        <w:pStyle w:val="Kop3"/>
        <w:numPr>
          <w:ilvl w:val="2"/>
          <w:numId w:val="1"/>
        </w:numPr>
        <w:spacing w:after="240" w:line="276" w:lineRule="auto"/>
      </w:pPr>
      <w:bookmarkStart w:id="20" w:name="_Toc422390655"/>
      <w:bookmarkStart w:id="21" w:name="_Toc12629546"/>
      <w:r w:rsidRPr="00407488">
        <w:t>Information et communication</w:t>
      </w:r>
      <w:bookmarkEnd w:id="20"/>
      <w:bookmarkEnd w:id="21"/>
    </w:p>
    <w:p w14:paraId="32E1D26B" w14:textId="0332FA4C" w:rsidR="004E1C90" w:rsidRPr="00436AD0" w:rsidRDefault="004E1C90" w:rsidP="002666E5">
      <w:r w:rsidRPr="00436AD0">
        <w:t>Durant l'année 201</w:t>
      </w:r>
      <w:r w:rsidR="00436AD0" w:rsidRPr="00436AD0">
        <w:t>8</w:t>
      </w:r>
      <w:r w:rsidRPr="00436AD0">
        <w:t xml:space="preserve">, les </w:t>
      </w:r>
      <w:r w:rsidR="00F925DF" w:rsidRPr="00436AD0">
        <w:t>actions</w:t>
      </w:r>
      <w:r w:rsidRPr="00436AD0">
        <w:t xml:space="preserve"> suivantes ont été </w:t>
      </w:r>
      <w:r w:rsidR="00F925DF" w:rsidRPr="00436AD0">
        <w:t>mises en place</w:t>
      </w:r>
      <w:r w:rsidRPr="00436AD0">
        <w:t xml:space="preserve"> dans le cadre de l'article 19 du règlement (UE) 223/2014 relatif à l'information et à la communication.</w:t>
      </w:r>
    </w:p>
    <w:p w14:paraId="1C521735" w14:textId="38FDFD5F" w:rsidR="004E1C90" w:rsidRPr="00436AD0" w:rsidRDefault="004E1C90" w:rsidP="002666E5">
      <w:pPr>
        <w:pStyle w:val="Lijstalinea"/>
        <w:numPr>
          <w:ilvl w:val="0"/>
          <w:numId w:val="5"/>
        </w:numPr>
      </w:pPr>
      <w:r w:rsidRPr="00436AD0">
        <w:t>Le règlement 201</w:t>
      </w:r>
      <w:r w:rsidR="00436AD0" w:rsidRPr="00436AD0">
        <w:t>8</w:t>
      </w:r>
      <w:r w:rsidRPr="00436AD0">
        <w:t>, présenté simultanément à la demande des commandes, stipule que le drapeau européen doit être affiché à tous les stades de la distribution. Le format minimal A3 a bien été mentionné.</w:t>
      </w:r>
      <w:r w:rsidR="00F737E8" w:rsidRPr="00436AD0">
        <w:t xml:space="preserve"> Cet aspect a également été contrôlé lors de chaque contrôle sur place (voir point 2.1.6.4.). </w:t>
      </w:r>
    </w:p>
    <w:p w14:paraId="462A60F6" w14:textId="308FFB2C" w:rsidR="004E1C90" w:rsidRPr="00436AD0" w:rsidRDefault="004E1C90" w:rsidP="002666E5">
      <w:pPr>
        <w:pStyle w:val="Lijstalinea"/>
        <w:numPr>
          <w:ilvl w:val="0"/>
          <w:numId w:val="5"/>
        </w:numPr>
      </w:pPr>
      <w:r w:rsidRPr="00436AD0">
        <w:t>Le logo de l'Union européenne a été représenté sur toutes les communications, avec la mention «</w:t>
      </w:r>
      <w:r w:rsidR="001B7D89">
        <w:t xml:space="preserve"> </w:t>
      </w:r>
      <w:r w:rsidRPr="00436AD0">
        <w:t>Avec le soutien de l'Union européenne – le Fonds pour l'aide européenne aux plus démunis</w:t>
      </w:r>
      <w:r w:rsidR="001B7D89">
        <w:t xml:space="preserve"> </w:t>
      </w:r>
      <w:r w:rsidRPr="00436AD0">
        <w:t xml:space="preserve">». </w:t>
      </w:r>
    </w:p>
    <w:p w14:paraId="4A109CE1" w14:textId="77777777" w:rsidR="002B70BC" w:rsidRPr="002B70BC" w:rsidRDefault="004E1C90" w:rsidP="0005192A">
      <w:pPr>
        <w:pStyle w:val="Lijstalinea"/>
        <w:numPr>
          <w:ilvl w:val="0"/>
          <w:numId w:val="5"/>
        </w:numPr>
        <w:rPr>
          <w:rStyle w:val="Hyperlink"/>
          <w:color w:val="auto"/>
          <w:u w:val="none"/>
        </w:rPr>
      </w:pPr>
      <w:r w:rsidRPr="00436AD0">
        <w:t>Une liste de toutes les organisations qui ont bénéficié de l'aide du Fonds en</w:t>
      </w:r>
      <w:r w:rsidR="00DB7249" w:rsidRPr="00436AD0">
        <w:t xml:space="preserve"> 2</w:t>
      </w:r>
      <w:r w:rsidR="003055E4" w:rsidRPr="00436AD0">
        <w:t>01</w:t>
      </w:r>
      <w:r w:rsidR="000D6C49" w:rsidRPr="00436AD0">
        <w:t>4</w:t>
      </w:r>
      <w:r w:rsidR="003055E4" w:rsidRPr="00436AD0">
        <w:t xml:space="preserve"> </w:t>
      </w:r>
      <w:r w:rsidR="00DB7249" w:rsidRPr="00436AD0">
        <w:t>en</w:t>
      </w:r>
      <w:r w:rsidRPr="00436AD0">
        <w:t xml:space="preserve"> 2015</w:t>
      </w:r>
      <w:r w:rsidR="000D6C49" w:rsidRPr="00436AD0">
        <w:t>, 2016</w:t>
      </w:r>
      <w:r w:rsidR="00436AD0" w:rsidRPr="00436AD0">
        <w:t xml:space="preserve"> et 2017</w:t>
      </w:r>
      <w:r w:rsidR="003055E4" w:rsidRPr="00436AD0">
        <w:t xml:space="preserve"> </w:t>
      </w:r>
      <w:r w:rsidRPr="00436AD0">
        <w:t>a été publiée s</w:t>
      </w:r>
      <w:r w:rsidR="000A07C5" w:rsidRPr="00436AD0">
        <w:t>ur le site Internet du SPP IS</w:t>
      </w:r>
      <w:r w:rsidR="00320F94" w:rsidRPr="00436AD0">
        <w:t xml:space="preserve"> – e</w:t>
      </w:r>
      <w:r w:rsidR="004627C7" w:rsidRPr="00436AD0">
        <w:t>n vertu de l’artic</w:t>
      </w:r>
      <w:r w:rsidR="00320F94" w:rsidRPr="00436AD0">
        <w:t>le 19, §2 du règlement.</w:t>
      </w:r>
      <w:r w:rsidR="00535565" w:rsidRPr="00436AD0">
        <w:t xml:space="preserve"> </w:t>
      </w:r>
      <w:r w:rsidR="00C71CC7" w:rsidRPr="00436AD0">
        <w:t xml:space="preserve">Cette liste est téléchargeable en suivant ce lien : </w:t>
      </w:r>
      <w:hyperlink r:id="rId12" w:history="1">
        <w:r w:rsidR="002B70BC" w:rsidRPr="00AC659E">
          <w:rPr>
            <w:rStyle w:val="Hyperlink"/>
          </w:rPr>
          <w:t>https://www.mi-</w:t>
        </w:r>
        <w:r w:rsidR="002B70BC" w:rsidRPr="00AC659E">
          <w:rPr>
            <w:rStyle w:val="Hyperlink"/>
          </w:rPr>
          <w:lastRenderedPageBreak/>
          <w:t>is.be/sites/default/files/documents/liste_des_associations_et_quantites_de_produits_recus_2014_-_2015_-_2016_2017_0.xlsx</w:t>
        </w:r>
      </w:hyperlink>
      <w:r w:rsidR="002B70BC">
        <w:rPr>
          <w:rStyle w:val="Hyperlink"/>
          <w:color w:val="auto"/>
        </w:rPr>
        <w:t xml:space="preserve"> </w:t>
      </w:r>
    </w:p>
    <w:p w14:paraId="5D53FF59" w14:textId="53C71CB7" w:rsidR="000A07C5" w:rsidRPr="001B7527" w:rsidRDefault="00D84DCF" w:rsidP="002B70BC">
      <w:pPr>
        <w:pStyle w:val="Lijstalinea"/>
      </w:pPr>
      <w:r w:rsidRPr="001B7527">
        <w:t>Les chiffres de</w:t>
      </w:r>
      <w:r w:rsidR="002B70BC" w:rsidRPr="001B7527">
        <w:t xml:space="preserve"> la campagne</w:t>
      </w:r>
      <w:r w:rsidRPr="001B7527">
        <w:t xml:space="preserve"> 201</w:t>
      </w:r>
      <w:r w:rsidR="00436AD0" w:rsidRPr="001B7527">
        <w:t>8</w:t>
      </w:r>
      <w:r w:rsidRPr="001B7527">
        <w:t xml:space="preserve"> seront publiés </w:t>
      </w:r>
      <w:r w:rsidR="002B70BC" w:rsidRPr="001B7527">
        <w:t>en 2019.</w:t>
      </w:r>
    </w:p>
    <w:p w14:paraId="17FFCED7" w14:textId="6C482971" w:rsidR="005D4117" w:rsidRPr="00436AD0" w:rsidRDefault="000A07C5" w:rsidP="002666E5">
      <w:pPr>
        <w:pStyle w:val="Lijstalinea"/>
        <w:numPr>
          <w:ilvl w:val="0"/>
          <w:numId w:val="5"/>
        </w:numPr>
      </w:pPr>
      <w:r w:rsidRPr="00436AD0">
        <w:t xml:space="preserve">L’AG a </w:t>
      </w:r>
      <w:r w:rsidR="0020110D" w:rsidRPr="00436AD0">
        <w:t>continué d’envoyer u</w:t>
      </w:r>
      <w:r w:rsidRPr="00436AD0">
        <w:t>n</w:t>
      </w:r>
      <w:r w:rsidR="006603A6" w:rsidRPr="00436AD0">
        <w:t>e</w:t>
      </w:r>
      <w:r w:rsidRPr="00436AD0">
        <w:t xml:space="preserve"> </w:t>
      </w:r>
      <w:r w:rsidR="006603A6" w:rsidRPr="00436AD0">
        <w:t>lettre d’information mensuelle</w:t>
      </w:r>
      <w:r w:rsidR="00AE5F00" w:rsidRPr="00436AD0">
        <w:t xml:space="preserve"> </w:t>
      </w:r>
      <w:r w:rsidRPr="00436AD0">
        <w:t>dans le cadre du FEAD.</w:t>
      </w:r>
      <w:r w:rsidR="000D6C49" w:rsidRPr="00436AD0">
        <w:t xml:space="preserve"> Comme l’année passée, notre lettre d’information a été envoyée à plus de 1700 adresse</w:t>
      </w:r>
      <w:r w:rsidR="00436AD0">
        <w:t>s</w:t>
      </w:r>
      <w:r w:rsidR="000D6C49" w:rsidRPr="00436AD0">
        <w:t xml:space="preserve"> chaque mois.</w:t>
      </w:r>
    </w:p>
    <w:p w14:paraId="6345C441" w14:textId="51F31E1A" w:rsidR="00065432" w:rsidRPr="007279F0" w:rsidRDefault="0020110D" w:rsidP="00065432">
      <w:pPr>
        <w:pStyle w:val="Lijstalinea"/>
        <w:numPr>
          <w:ilvl w:val="0"/>
          <w:numId w:val="5"/>
        </w:numPr>
        <w:rPr>
          <w:lang w:val="fr-BE"/>
        </w:rPr>
      </w:pPr>
      <w:r w:rsidRPr="007279F0">
        <w:t>L’AG a été active dans le cadre du FEAD Network</w:t>
      </w:r>
      <w:r w:rsidR="00436AD0" w:rsidRPr="007279F0">
        <w:t xml:space="preserve"> et une</w:t>
      </w:r>
      <w:r w:rsidR="005E058D" w:rsidRPr="007279F0">
        <w:t xml:space="preserve"> bonne pratique belge </w:t>
      </w:r>
      <w:r w:rsidR="001B7D89">
        <w:t>a</w:t>
      </w:r>
      <w:r w:rsidR="001B7D89" w:rsidRPr="007279F0">
        <w:t xml:space="preserve"> </w:t>
      </w:r>
      <w:r w:rsidR="00535565" w:rsidRPr="007279F0">
        <w:t>été publiée dans la brochure «</w:t>
      </w:r>
      <w:r w:rsidR="001B7D89">
        <w:t xml:space="preserve"> </w:t>
      </w:r>
      <w:r w:rsidR="00535565" w:rsidRPr="007279F0">
        <w:t xml:space="preserve">FEAD case </w:t>
      </w:r>
      <w:proofErr w:type="spellStart"/>
      <w:r w:rsidR="00535565" w:rsidRPr="007279F0">
        <w:t>studies</w:t>
      </w:r>
      <w:proofErr w:type="spellEnd"/>
      <w:r w:rsidR="001B7D89">
        <w:t xml:space="preserve"> </w:t>
      </w:r>
      <w:r w:rsidR="00065432" w:rsidRPr="007279F0">
        <w:t xml:space="preserve">» : le projet </w:t>
      </w:r>
      <w:r w:rsidR="00436AD0" w:rsidRPr="007279F0">
        <w:t>Soupe</w:t>
      </w:r>
      <w:r w:rsidR="00065432" w:rsidRPr="007279F0">
        <w:t xml:space="preserve"> (</w:t>
      </w:r>
      <w:proofErr w:type="spellStart"/>
      <w:r w:rsidR="00436AD0" w:rsidRPr="007279F0">
        <w:t>Distributing</w:t>
      </w:r>
      <w:proofErr w:type="spellEnd"/>
      <w:r w:rsidR="00436AD0" w:rsidRPr="007279F0">
        <w:t xml:space="preserve"> </w:t>
      </w:r>
      <w:proofErr w:type="spellStart"/>
      <w:r w:rsidR="00436AD0" w:rsidRPr="007279F0">
        <w:t>freshly</w:t>
      </w:r>
      <w:proofErr w:type="spellEnd"/>
      <w:r w:rsidR="00436AD0" w:rsidRPr="007279F0">
        <w:t xml:space="preserve"> made </w:t>
      </w:r>
      <w:proofErr w:type="spellStart"/>
      <w:r w:rsidR="00436AD0" w:rsidRPr="007279F0">
        <w:t>soup</w:t>
      </w:r>
      <w:proofErr w:type="spellEnd"/>
      <w:r w:rsidR="00436AD0" w:rsidRPr="007279F0">
        <w:t xml:space="preserve"> </w:t>
      </w:r>
      <w:proofErr w:type="spellStart"/>
      <w:r w:rsidR="00436AD0" w:rsidRPr="007279F0">
        <w:t>using</w:t>
      </w:r>
      <w:proofErr w:type="spellEnd"/>
      <w:r w:rsidR="00436AD0" w:rsidRPr="007279F0">
        <w:t xml:space="preserve"> </w:t>
      </w:r>
      <w:proofErr w:type="spellStart"/>
      <w:r w:rsidR="00436AD0" w:rsidRPr="007279F0">
        <w:t>unsold</w:t>
      </w:r>
      <w:proofErr w:type="spellEnd"/>
      <w:r w:rsidR="00436AD0" w:rsidRPr="007279F0">
        <w:t xml:space="preserve"> </w:t>
      </w:r>
      <w:proofErr w:type="spellStart"/>
      <w:r w:rsidR="00A21080">
        <w:t>products</w:t>
      </w:r>
      <w:proofErr w:type="spellEnd"/>
      <w:r w:rsidR="00065432" w:rsidRPr="007279F0">
        <w:t xml:space="preserve">) </w:t>
      </w:r>
    </w:p>
    <w:p w14:paraId="44BD1D0F" w14:textId="5B61C827" w:rsidR="00436AD0" w:rsidRPr="00141AF8" w:rsidRDefault="000D6C49" w:rsidP="003528EA">
      <w:pPr>
        <w:pStyle w:val="Lijstalinea"/>
        <w:numPr>
          <w:ilvl w:val="0"/>
          <w:numId w:val="5"/>
        </w:numPr>
      </w:pPr>
      <w:r w:rsidRPr="007279F0">
        <w:t xml:space="preserve">L’AG </w:t>
      </w:r>
      <w:r w:rsidR="007279F0" w:rsidRPr="007279F0">
        <w:t xml:space="preserve">a organisé un colloque </w:t>
      </w:r>
      <w:r w:rsidR="007279F0">
        <w:t xml:space="preserve">à mi-parcours </w:t>
      </w:r>
      <w:r w:rsidR="007279F0" w:rsidRPr="007279F0">
        <w:t>en octobre 2018</w:t>
      </w:r>
      <w:r w:rsidR="007279F0">
        <w:t xml:space="preserve">. L’AG a pu compter sur la présence de  </w:t>
      </w:r>
      <w:r w:rsidR="007279F0" w:rsidRPr="007279F0">
        <w:t>Monsieur le Ministre Denis Ducarme  ainsi que celle de Madame Marianne Thyssen.</w:t>
      </w:r>
      <w:r w:rsidR="007279F0">
        <w:t xml:space="preserve">  </w:t>
      </w:r>
      <w:r w:rsidR="007279F0" w:rsidRPr="007279F0">
        <w:t>Monsieur le Ministre a profité de l’occasion pour souligner l’attention apportée à la qualité des produits FEAD ainsi que les nombreuses initiatives du FEAD en Belgique comme : le projet pilote de la soupe à base d’invendus, l’appel à projet de la Loterie Nationale destiné</w:t>
      </w:r>
      <w:r w:rsidR="001B7D89">
        <w:t xml:space="preserve"> à soutenir les aspects logistiques de la distribution de l’aide alimentaire</w:t>
      </w:r>
      <w:r w:rsidR="007279F0" w:rsidRPr="007279F0">
        <w:t xml:space="preserve">, l’assouplissement des règles de l’AFSCA, l’aide matérielle aux plus démunis (langes, kits hygiènes,), … </w:t>
      </w:r>
      <w:r w:rsidR="007279F0">
        <w:t xml:space="preserve">Le colloque a aussi été l’occasion de donner un aperçu de l’évaluation à mi-parcours de la programmation FEAD et de présenter les résultats de l’enquête structurée de 2017. </w:t>
      </w:r>
      <w:r w:rsidR="007279F0" w:rsidRPr="00D70F25">
        <w:t>Madame</w:t>
      </w:r>
      <w:r w:rsidR="007279F0" w:rsidRPr="007279F0">
        <w:rPr>
          <w:sz w:val="20"/>
          <w:szCs w:val="20"/>
        </w:rPr>
        <w:t xml:space="preserve"> </w:t>
      </w:r>
      <w:r w:rsidR="007279F0" w:rsidRPr="00D70F25">
        <w:t xml:space="preserve">Marianne Thyssen, Commissaire européenne à l’Emploi aux affaires sociales, aux compétences et à la mobilité des travailleurs a </w:t>
      </w:r>
      <w:r w:rsidR="00D70F25">
        <w:t xml:space="preserve">quant à elle </w:t>
      </w:r>
      <w:r w:rsidR="007279F0" w:rsidRPr="00D70F25">
        <w:t>présenté les nouvelles orientations de la commission concernant le FEAD. Elle a également souligné le fait que le FEAD se porte bien en Belgique : « les remerciements sont d’application, mais les félicitations le sont aussi. Le FEAD se porte bien en Belgique. Chaque Euro disponible est utilisé pour aider les personnes dans le besoin ».</w:t>
      </w:r>
    </w:p>
    <w:p w14:paraId="34CFA411" w14:textId="27A20D95" w:rsidR="008617D4" w:rsidRDefault="00302054" w:rsidP="002666E5">
      <w:pPr>
        <w:pStyle w:val="Kop3"/>
        <w:numPr>
          <w:ilvl w:val="2"/>
          <w:numId w:val="1"/>
        </w:numPr>
        <w:spacing w:after="240" w:line="276" w:lineRule="auto"/>
      </w:pPr>
      <w:bookmarkStart w:id="22" w:name="_Toc422390656"/>
      <w:bookmarkStart w:id="23" w:name="_Toc12629547"/>
      <w:r w:rsidRPr="00407488">
        <w:t>Optimisation du système actuel et préparations pour l'année 201</w:t>
      </w:r>
      <w:bookmarkEnd w:id="22"/>
      <w:r w:rsidR="003528EA">
        <w:t>9</w:t>
      </w:r>
      <w:bookmarkEnd w:id="23"/>
    </w:p>
    <w:p w14:paraId="61AF6793" w14:textId="600D0CEF" w:rsidR="00CB581B" w:rsidRPr="00EF50C5" w:rsidRDefault="00EB59BC" w:rsidP="002666E5">
      <w:pPr>
        <w:rPr>
          <w:lang w:val="fr-BE"/>
        </w:rPr>
      </w:pPr>
      <w:r w:rsidRPr="00EF50C5">
        <w:rPr>
          <w:lang w:val="fr-BE"/>
        </w:rPr>
        <w:t>Comme les années précédentes, l</w:t>
      </w:r>
      <w:r w:rsidR="00CB581B" w:rsidRPr="00EF50C5">
        <w:rPr>
          <w:lang w:val="fr-BE"/>
        </w:rPr>
        <w:t xml:space="preserve">e processus de consultation avec les principaux secteurs de l’aide alimentaire </w:t>
      </w:r>
      <w:r w:rsidR="004269B1" w:rsidRPr="00EF50C5">
        <w:rPr>
          <w:lang w:val="fr-BE"/>
        </w:rPr>
        <w:t>a</w:t>
      </w:r>
      <w:r w:rsidR="006B1DE2" w:rsidRPr="00EF50C5">
        <w:rPr>
          <w:lang w:val="fr-BE"/>
        </w:rPr>
        <w:t xml:space="preserve"> conti</w:t>
      </w:r>
      <w:r w:rsidRPr="00EF50C5">
        <w:rPr>
          <w:lang w:val="fr-BE"/>
        </w:rPr>
        <w:t>nué tout au long de l’année 201</w:t>
      </w:r>
      <w:r w:rsidR="00EF50C5" w:rsidRPr="00EF50C5">
        <w:rPr>
          <w:lang w:val="fr-BE"/>
        </w:rPr>
        <w:t>8</w:t>
      </w:r>
      <w:r w:rsidR="00CB581B" w:rsidRPr="00EF50C5">
        <w:rPr>
          <w:lang w:val="fr-BE"/>
        </w:rPr>
        <w:t xml:space="preserve">. </w:t>
      </w:r>
      <w:r w:rsidRPr="00EF50C5">
        <w:rPr>
          <w:lang w:val="fr-BE"/>
        </w:rPr>
        <w:t>C</w:t>
      </w:r>
      <w:r w:rsidR="00CB581B" w:rsidRPr="00EF50C5">
        <w:rPr>
          <w:lang w:val="fr-BE"/>
        </w:rPr>
        <w:t>es consultations ont été organisées tous les deux/trois mois invitant tous les principaux acteurs de</w:t>
      </w:r>
      <w:r w:rsidR="009E402C" w:rsidRPr="00EF50C5">
        <w:rPr>
          <w:lang w:val="fr-BE"/>
        </w:rPr>
        <w:t xml:space="preserve"> l’aide alimentaire en Belgique</w:t>
      </w:r>
      <w:r w:rsidR="00CB581B" w:rsidRPr="00EF50C5">
        <w:rPr>
          <w:lang w:val="fr-BE"/>
        </w:rPr>
        <w:t>:</w:t>
      </w:r>
      <w:r w:rsidR="007D60E8" w:rsidRPr="00EF50C5">
        <w:rPr>
          <w:lang w:val="fr-BE"/>
        </w:rPr>
        <w:t xml:space="preserve"> la Fédération belge des Banques alimentaires, la Croix-Rouge, la Fédération des Services Sociaux (FDSS), le Réseau belge de Lutte contre la Pauvreté (BAPN), les associations des villes et communes</w:t>
      </w:r>
      <w:r w:rsidR="00BB6C89" w:rsidRPr="00EF50C5">
        <w:rPr>
          <w:lang w:val="fr-BE"/>
        </w:rPr>
        <w:t xml:space="preserve">, </w:t>
      </w:r>
      <w:proofErr w:type="spellStart"/>
      <w:r w:rsidR="00BB6C89" w:rsidRPr="00EF50C5">
        <w:rPr>
          <w:lang w:val="fr-BE"/>
        </w:rPr>
        <w:t>Komosie</w:t>
      </w:r>
      <w:proofErr w:type="spellEnd"/>
      <w:r w:rsidR="00BB6C89" w:rsidRPr="00EF50C5">
        <w:rPr>
          <w:lang w:val="fr-BE"/>
        </w:rPr>
        <w:t xml:space="preserve">, </w:t>
      </w:r>
      <w:proofErr w:type="spellStart"/>
      <w:r w:rsidR="00BB6C89" w:rsidRPr="00EF50C5">
        <w:rPr>
          <w:lang w:val="fr-BE"/>
        </w:rPr>
        <w:t>Level</w:t>
      </w:r>
      <w:proofErr w:type="spellEnd"/>
      <w:r w:rsidR="00BB6C89" w:rsidRPr="00EF50C5">
        <w:rPr>
          <w:lang w:val="fr-BE"/>
        </w:rPr>
        <w:t xml:space="preserve"> IT</w:t>
      </w:r>
      <w:r w:rsidR="007D60E8" w:rsidRPr="00EF50C5">
        <w:rPr>
          <w:lang w:val="fr-BE"/>
        </w:rPr>
        <w:t xml:space="preserve"> et plusieurs experts du vécu de la pauvreté et de l'exclusion sociale.</w:t>
      </w:r>
      <w:r w:rsidR="00CB581B" w:rsidRPr="00EF50C5">
        <w:rPr>
          <w:lang w:val="fr-BE"/>
        </w:rPr>
        <w:t xml:space="preserve"> </w:t>
      </w:r>
    </w:p>
    <w:p w14:paraId="2125633F" w14:textId="4387DFF1" w:rsidR="00CB581B" w:rsidRPr="00225DF2" w:rsidRDefault="006B1DE2" w:rsidP="002666E5">
      <w:pPr>
        <w:rPr>
          <w:lang w:val="fr-BE"/>
        </w:rPr>
      </w:pPr>
      <w:r w:rsidRPr="00225DF2">
        <w:rPr>
          <w:lang w:val="fr-BE"/>
        </w:rPr>
        <w:t>En 201</w:t>
      </w:r>
      <w:r w:rsidR="00EF50C5" w:rsidRPr="00225DF2">
        <w:rPr>
          <w:lang w:val="fr-BE"/>
        </w:rPr>
        <w:t>8</w:t>
      </w:r>
      <w:r w:rsidR="00EB59BC" w:rsidRPr="00225DF2">
        <w:rPr>
          <w:lang w:val="fr-BE"/>
        </w:rPr>
        <w:t>, les</w:t>
      </w:r>
      <w:r w:rsidR="00CB581B" w:rsidRPr="00225DF2">
        <w:rPr>
          <w:lang w:val="fr-BE"/>
        </w:rPr>
        <w:t xml:space="preserve"> réunions du groupe de </w:t>
      </w:r>
      <w:r w:rsidR="001B7D89">
        <w:rPr>
          <w:lang w:val="fr-BE"/>
        </w:rPr>
        <w:t>concertation</w:t>
      </w:r>
      <w:r w:rsidR="001B7D89" w:rsidRPr="00225DF2">
        <w:rPr>
          <w:lang w:val="fr-BE"/>
        </w:rPr>
        <w:t xml:space="preserve"> </w:t>
      </w:r>
      <w:r w:rsidR="00CB581B" w:rsidRPr="00225DF2">
        <w:rPr>
          <w:lang w:val="fr-BE"/>
        </w:rPr>
        <w:t>ont eu lieu aux dates s</w:t>
      </w:r>
      <w:r w:rsidR="00AE5F00" w:rsidRPr="00225DF2">
        <w:rPr>
          <w:lang w:val="fr-BE"/>
        </w:rPr>
        <w:t>uivantes</w:t>
      </w:r>
      <w:r w:rsidR="001B7D89">
        <w:rPr>
          <w:lang w:val="fr-BE"/>
        </w:rPr>
        <w:t xml:space="preserve"> </w:t>
      </w:r>
      <w:r w:rsidR="00CB581B" w:rsidRPr="00225DF2">
        <w:rPr>
          <w:lang w:val="fr-BE"/>
        </w:rPr>
        <w:t>:</w:t>
      </w:r>
      <w:r w:rsidR="00D8552D" w:rsidRPr="00225DF2">
        <w:rPr>
          <w:lang w:val="fr-BE"/>
        </w:rPr>
        <w:t xml:space="preserve"> </w:t>
      </w:r>
      <w:r w:rsidR="00225DF2">
        <w:rPr>
          <w:lang w:val="fr-BE"/>
        </w:rPr>
        <w:t>27/03/2018</w:t>
      </w:r>
      <w:r w:rsidR="00EB59BC" w:rsidRPr="00225DF2">
        <w:rPr>
          <w:lang w:val="fr-BE"/>
        </w:rPr>
        <w:t>, 0</w:t>
      </w:r>
      <w:r w:rsidR="00225DF2">
        <w:rPr>
          <w:lang w:val="fr-BE"/>
        </w:rPr>
        <w:t>1</w:t>
      </w:r>
      <w:r w:rsidR="00EB59BC" w:rsidRPr="00225DF2">
        <w:rPr>
          <w:lang w:val="fr-BE"/>
        </w:rPr>
        <w:t>/06/201</w:t>
      </w:r>
      <w:r w:rsidR="00225DF2">
        <w:rPr>
          <w:lang w:val="fr-BE"/>
        </w:rPr>
        <w:t>6</w:t>
      </w:r>
      <w:r w:rsidR="00EB59BC" w:rsidRPr="00225DF2">
        <w:rPr>
          <w:lang w:val="fr-BE"/>
        </w:rPr>
        <w:t>, 1</w:t>
      </w:r>
      <w:r w:rsidR="00225DF2">
        <w:rPr>
          <w:lang w:val="fr-BE"/>
        </w:rPr>
        <w:t>3</w:t>
      </w:r>
      <w:r w:rsidR="00EB59BC" w:rsidRPr="00225DF2">
        <w:rPr>
          <w:lang w:val="fr-BE"/>
        </w:rPr>
        <w:t xml:space="preserve">/09/2017 et </w:t>
      </w:r>
      <w:r w:rsidR="00225DF2">
        <w:rPr>
          <w:lang w:val="fr-BE"/>
        </w:rPr>
        <w:t>le 13</w:t>
      </w:r>
      <w:r w:rsidR="00EB59BC" w:rsidRPr="00225DF2">
        <w:rPr>
          <w:lang w:val="fr-BE"/>
        </w:rPr>
        <w:t>/12/2017</w:t>
      </w:r>
      <w:r w:rsidR="00CB581B" w:rsidRPr="00225DF2">
        <w:rPr>
          <w:lang w:val="fr-BE"/>
        </w:rPr>
        <w:t>.</w:t>
      </w:r>
    </w:p>
    <w:p w14:paraId="4EADF527" w14:textId="521D49FA" w:rsidR="000A5DE6" w:rsidRPr="00225DF2" w:rsidRDefault="00CB581B" w:rsidP="002666E5">
      <w:pPr>
        <w:rPr>
          <w:lang w:val="fr-BE"/>
        </w:rPr>
      </w:pPr>
      <w:r w:rsidRPr="00225DF2">
        <w:rPr>
          <w:lang w:val="fr-BE"/>
        </w:rPr>
        <w:t xml:space="preserve">Le but de ces réunions </w:t>
      </w:r>
      <w:r w:rsidR="00EB59BC" w:rsidRPr="00225DF2">
        <w:rPr>
          <w:lang w:val="fr-BE"/>
        </w:rPr>
        <w:t xml:space="preserve">reste inchangé : </w:t>
      </w:r>
      <w:r w:rsidRPr="00225DF2">
        <w:rPr>
          <w:lang w:val="fr-BE"/>
        </w:rPr>
        <w:t>partage</w:t>
      </w:r>
      <w:r w:rsidR="00EB59BC" w:rsidRPr="00225DF2">
        <w:rPr>
          <w:lang w:val="fr-BE"/>
        </w:rPr>
        <w:t>r</w:t>
      </w:r>
      <w:r w:rsidR="00D8552D" w:rsidRPr="00225DF2">
        <w:rPr>
          <w:lang w:val="fr-BE"/>
        </w:rPr>
        <w:t xml:space="preserve"> </w:t>
      </w:r>
      <w:r w:rsidR="00EB59BC" w:rsidRPr="00225DF2">
        <w:rPr>
          <w:lang w:val="fr-BE"/>
        </w:rPr>
        <w:t>l’</w:t>
      </w:r>
      <w:r w:rsidRPr="00225DF2">
        <w:rPr>
          <w:lang w:val="fr-BE"/>
        </w:rPr>
        <w:t xml:space="preserve">information concernant les principales activités menées dans le cadre du FEAD. </w:t>
      </w:r>
    </w:p>
    <w:p w14:paraId="59E9D886" w14:textId="18A57612" w:rsidR="006775E8" w:rsidRDefault="00EB59BC" w:rsidP="002666E5">
      <w:pPr>
        <w:rPr>
          <w:lang w:val="fr-BE"/>
        </w:rPr>
      </w:pPr>
      <w:r w:rsidRPr="00225DF2">
        <w:rPr>
          <w:lang w:val="fr-BE"/>
        </w:rPr>
        <w:t>En 201</w:t>
      </w:r>
      <w:r w:rsidR="00225DF2" w:rsidRPr="00225DF2">
        <w:rPr>
          <w:lang w:val="fr-BE"/>
        </w:rPr>
        <w:t>8</w:t>
      </w:r>
      <w:r w:rsidRPr="00225DF2">
        <w:rPr>
          <w:lang w:val="fr-BE"/>
        </w:rPr>
        <w:t xml:space="preserve"> nous avons continué le travail entamé en 2016</w:t>
      </w:r>
      <w:r w:rsidR="006775E8">
        <w:rPr>
          <w:lang w:val="fr-BE"/>
        </w:rPr>
        <w:t xml:space="preserve"> et 2017</w:t>
      </w:r>
      <w:r w:rsidRPr="00225DF2">
        <w:rPr>
          <w:lang w:val="fr-BE"/>
        </w:rPr>
        <w:t xml:space="preserve"> avec les représentants de la g</w:t>
      </w:r>
      <w:r w:rsidR="006775E8">
        <w:rPr>
          <w:lang w:val="fr-BE"/>
        </w:rPr>
        <w:t>rande distribution. Pour rappel dans le rapport de l’année dernière, nous écrivions : « </w:t>
      </w:r>
      <w:r w:rsidRPr="00225DF2">
        <w:rPr>
          <w:lang w:val="fr-BE"/>
        </w:rPr>
        <w:t xml:space="preserve">à partir de 2016 et partant du constat que les problématiques sont identiques pour tout le monde et </w:t>
      </w:r>
      <w:r w:rsidRPr="00225DF2">
        <w:rPr>
          <w:lang w:val="fr-BE"/>
        </w:rPr>
        <w:lastRenderedPageBreak/>
        <w:t xml:space="preserve">dans une optique d’aide alimentaire cohérente et concertée, l’AG a réuni tout au long de l’année 2017 tous les acteurs de la grande distribution et de l’aide alimentaire pour essayer de faire </w:t>
      </w:r>
      <w:r w:rsidR="00A132A0" w:rsidRPr="00225DF2">
        <w:rPr>
          <w:lang w:val="fr-BE"/>
        </w:rPr>
        <w:t>émerger des solutions communes</w:t>
      </w:r>
      <w:r w:rsidR="006775E8">
        <w:rPr>
          <w:lang w:val="fr-BE"/>
        </w:rPr>
        <w:t> »</w:t>
      </w:r>
      <w:r w:rsidR="00A132A0" w:rsidRPr="00225DF2">
        <w:rPr>
          <w:lang w:val="fr-BE"/>
        </w:rPr>
        <w:t>.</w:t>
      </w:r>
      <w:r w:rsidR="006775E8">
        <w:rPr>
          <w:lang w:val="fr-BE"/>
        </w:rPr>
        <w:t xml:space="preserve"> Ce travail s’est poursuivi pendant toute l’année 2018 (avec 3 réunions parallèles uniquement dirigées à la grande distribution : le 25/01/2018, le 14/06/2018 et le 04/10/2018), et portera ses fruits en 2019 avec la signature d’un</w:t>
      </w:r>
      <w:r w:rsidR="00205059">
        <w:rPr>
          <w:lang w:val="fr-BE"/>
        </w:rPr>
        <w:t>e charte sur l’aide alimentaire élaborée conjointement au secteur et acceptée par tous (en ce qui concerne les distributions gratuites d’invendus)</w:t>
      </w:r>
    </w:p>
    <w:p w14:paraId="3C1A2BFD" w14:textId="3C243257" w:rsidR="00302054" w:rsidRPr="00CE1DEE" w:rsidRDefault="0028522B" w:rsidP="002666E5">
      <w:pPr>
        <w:pStyle w:val="Kop4"/>
        <w:numPr>
          <w:ilvl w:val="3"/>
          <w:numId w:val="1"/>
        </w:numPr>
        <w:spacing w:after="240" w:line="276" w:lineRule="auto"/>
      </w:pPr>
      <w:r w:rsidRPr="00CE1DEE">
        <w:t>La liste des produits</w:t>
      </w:r>
    </w:p>
    <w:p w14:paraId="10FEBD52" w14:textId="1EAF3EFF" w:rsidR="00205059" w:rsidRPr="00F33940" w:rsidRDefault="00FB44F8" w:rsidP="002666E5">
      <w:pPr>
        <w:rPr>
          <w:lang w:val="fr-BE"/>
        </w:rPr>
      </w:pPr>
      <w:r w:rsidRPr="00F33940">
        <w:rPr>
          <w:lang w:val="fr-BE"/>
        </w:rPr>
        <w:t>Un grand travail a été effectué</w:t>
      </w:r>
      <w:r w:rsidR="00302054" w:rsidRPr="00F33940">
        <w:rPr>
          <w:lang w:val="fr-BE"/>
        </w:rPr>
        <w:t xml:space="preserve"> afin d'améliorer la liste des produits pour l'année 201</w:t>
      </w:r>
      <w:r w:rsidR="00CB42C7">
        <w:rPr>
          <w:lang w:val="fr-BE"/>
        </w:rPr>
        <w:t>8</w:t>
      </w:r>
      <w:r w:rsidR="00302054" w:rsidRPr="00F33940">
        <w:rPr>
          <w:lang w:val="fr-BE"/>
        </w:rPr>
        <w:t xml:space="preserve">. Voir le </w:t>
      </w:r>
      <w:r w:rsidR="00302054" w:rsidRPr="00D84DCF">
        <w:rPr>
          <w:lang w:val="fr-BE"/>
        </w:rPr>
        <w:t>point 2.2.3.</w:t>
      </w:r>
      <w:r w:rsidR="00411D00">
        <w:rPr>
          <w:lang w:val="fr-BE"/>
        </w:rPr>
        <w:t xml:space="preserve"> </w:t>
      </w:r>
    </w:p>
    <w:p w14:paraId="53A74EAE" w14:textId="77777777" w:rsidR="00302054" w:rsidRDefault="00302054" w:rsidP="002666E5">
      <w:pPr>
        <w:pStyle w:val="Kop4"/>
        <w:numPr>
          <w:ilvl w:val="3"/>
          <w:numId w:val="1"/>
        </w:numPr>
        <w:spacing w:after="240" w:line="276" w:lineRule="auto"/>
      </w:pPr>
      <w:r w:rsidRPr="00407488">
        <w:t>Les frais de transport</w:t>
      </w:r>
    </w:p>
    <w:p w14:paraId="1562CA6F" w14:textId="71516F88" w:rsidR="006D55FF" w:rsidRPr="00205059" w:rsidRDefault="00205059" w:rsidP="006D55FF">
      <w:pPr>
        <w:rPr>
          <w:lang w:val="fr-BE"/>
        </w:rPr>
      </w:pPr>
      <w:r w:rsidRPr="00205059">
        <w:t>Comme expliqué dans nos rapports précédent</w:t>
      </w:r>
      <w:r w:rsidR="007A3D7C">
        <w:t>s</w:t>
      </w:r>
      <w:r w:rsidRPr="00205059">
        <w:t xml:space="preserve">, </w:t>
      </w:r>
      <w:r w:rsidR="006D55FF" w:rsidRPr="00205059">
        <w:rPr>
          <w:lang w:val="fr-BE"/>
        </w:rPr>
        <w:t xml:space="preserve">les frais de transport élevés </w:t>
      </w:r>
      <w:r w:rsidR="00AF7973" w:rsidRPr="00205059">
        <w:rPr>
          <w:lang w:val="fr-BE"/>
        </w:rPr>
        <w:t xml:space="preserve">ont été le talon </w:t>
      </w:r>
      <w:proofErr w:type="spellStart"/>
      <w:r w:rsidR="00AF7973" w:rsidRPr="00205059">
        <w:rPr>
          <w:lang w:val="fr-BE"/>
        </w:rPr>
        <w:t>d’achille</w:t>
      </w:r>
      <w:proofErr w:type="spellEnd"/>
      <w:r w:rsidR="00AF7973" w:rsidRPr="00205059">
        <w:rPr>
          <w:lang w:val="fr-BE"/>
        </w:rPr>
        <w:t xml:space="preserve"> de la mise</w:t>
      </w:r>
      <w:r>
        <w:rPr>
          <w:lang w:val="fr-BE"/>
        </w:rPr>
        <w:t xml:space="preserve"> en œuvre du FEAD en Belgique.</w:t>
      </w:r>
      <w:r w:rsidR="006D55FF" w:rsidRPr="00205059">
        <w:rPr>
          <w:lang w:val="fr-BE"/>
        </w:rPr>
        <w:t xml:space="preserve"> </w:t>
      </w:r>
    </w:p>
    <w:p w14:paraId="09FCCC7C" w14:textId="5BC3A69D" w:rsidR="006D55FF" w:rsidRPr="00205059" w:rsidRDefault="00205059" w:rsidP="006D55FF">
      <w:pPr>
        <w:rPr>
          <w:lang w:val="fr-BE"/>
        </w:rPr>
      </w:pPr>
      <w:r w:rsidRPr="00205059">
        <w:rPr>
          <w:lang w:val="fr-BE"/>
        </w:rPr>
        <w:t>En Belgique</w:t>
      </w:r>
      <w:r w:rsidR="006D55FF" w:rsidRPr="00205059">
        <w:rPr>
          <w:lang w:val="fr-BE"/>
        </w:rPr>
        <w:t xml:space="preserve">, les frais de transport sont repris dans l’appel d’offres pour l’achat de denrées alimentaires (ils sont inclus dans le prix proposé par les fabricants). </w:t>
      </w:r>
    </w:p>
    <w:p w14:paraId="47D05FA7" w14:textId="4C531CBD" w:rsidR="006D55FF" w:rsidRPr="00205059" w:rsidRDefault="00205059" w:rsidP="006D55FF">
      <w:pPr>
        <w:rPr>
          <w:lang w:val="fr-BE"/>
        </w:rPr>
      </w:pPr>
      <w:r w:rsidRPr="00205059">
        <w:rPr>
          <w:lang w:val="fr-BE"/>
        </w:rPr>
        <w:t xml:space="preserve">En 2017, </w:t>
      </w:r>
      <w:r w:rsidR="006D55FF" w:rsidRPr="00205059">
        <w:rPr>
          <w:lang w:val="fr-BE"/>
        </w:rPr>
        <w:t>afin de trouver une vraie solution structurelle</w:t>
      </w:r>
      <w:r>
        <w:rPr>
          <w:lang w:val="fr-BE"/>
        </w:rPr>
        <w:t xml:space="preserve"> au problème</w:t>
      </w:r>
      <w:r w:rsidR="006D55FF" w:rsidRPr="00205059">
        <w:rPr>
          <w:lang w:val="fr-BE"/>
        </w:rPr>
        <w:t>, il a été décidé, en concertation avec le</w:t>
      </w:r>
      <w:r w:rsidR="00AF7973" w:rsidRPr="00205059">
        <w:rPr>
          <w:lang w:val="fr-BE"/>
        </w:rPr>
        <w:t>s</w:t>
      </w:r>
      <w:r w:rsidR="006D55FF" w:rsidRPr="00205059">
        <w:rPr>
          <w:lang w:val="fr-BE"/>
        </w:rPr>
        <w:t xml:space="preserve"> partenaires, de modifier le programme opérationnel afin de pouvoir utiliser le forfait prévu dans l’article 26, § 2 c du Règlement (UE) n° 223/2014 du Parlement européen et du Conseil du 11 mars 2014 relatif au Fonds européen d’aide aux plus démunis.</w:t>
      </w:r>
    </w:p>
    <w:p w14:paraId="2B963F47" w14:textId="56B603A8" w:rsidR="001878B5" w:rsidRDefault="006D55FF" w:rsidP="002666E5">
      <w:pPr>
        <w:rPr>
          <w:lang w:val="fr-BE"/>
        </w:rPr>
      </w:pPr>
      <w:r w:rsidRPr="00205059">
        <w:rPr>
          <w:lang w:val="fr-BE"/>
        </w:rPr>
        <w:t xml:space="preserve">En utilisant ce forfait, l’AG </w:t>
      </w:r>
      <w:r w:rsidR="00AF7973" w:rsidRPr="00205059">
        <w:rPr>
          <w:lang w:val="fr-BE"/>
        </w:rPr>
        <w:t>a souhaité</w:t>
      </w:r>
      <w:r w:rsidRPr="00205059">
        <w:rPr>
          <w:lang w:val="fr-BE"/>
        </w:rPr>
        <w:t xml:space="preserve"> mettre en place des points centraux de stockage géré par des organisations relai</w:t>
      </w:r>
      <w:r w:rsidR="00AF7973" w:rsidRPr="00205059">
        <w:rPr>
          <w:lang w:val="fr-BE"/>
        </w:rPr>
        <w:t>s et ainsi diminuer les couts de transport et optimaliser les livraisons.</w:t>
      </w:r>
      <w:r w:rsidR="00205059">
        <w:rPr>
          <w:lang w:val="fr-BE"/>
        </w:rPr>
        <w:t xml:space="preserve"> En 2018, aucun changement n’a été fait à ce système et les 4 grands entrepôts définis ont continué à jouer leur rôle.</w:t>
      </w:r>
    </w:p>
    <w:p w14:paraId="5DFBA2F9" w14:textId="0B73BA43" w:rsidR="00011F50" w:rsidRDefault="0087680D" w:rsidP="002666E5">
      <w:pPr>
        <w:pStyle w:val="Kop3"/>
        <w:numPr>
          <w:ilvl w:val="1"/>
          <w:numId w:val="1"/>
        </w:numPr>
        <w:spacing w:line="276" w:lineRule="auto"/>
      </w:pPr>
      <w:bookmarkStart w:id="24" w:name="_Toc422390657"/>
      <w:bookmarkStart w:id="25" w:name="_Toc12629548"/>
      <w:r w:rsidRPr="00407488">
        <w:t>Information sur l'évaluation des actions en tenant compte des articles 5(6), 5 (11), et le cas échéant</w:t>
      </w:r>
      <w:r w:rsidR="002A3D1E">
        <w:t>, 5(13) du règlement (UE) n</w:t>
      </w:r>
      <w:r w:rsidRPr="00407488">
        <w:t> 223/2014.</w:t>
      </w:r>
      <w:bookmarkEnd w:id="24"/>
      <w:bookmarkEnd w:id="25"/>
    </w:p>
    <w:p w14:paraId="19A8233E" w14:textId="156A0EAC" w:rsidR="00011F50" w:rsidRPr="00407488" w:rsidRDefault="00011F50" w:rsidP="002666E5">
      <w:pPr>
        <w:pStyle w:val="Kop3"/>
        <w:numPr>
          <w:ilvl w:val="2"/>
          <w:numId w:val="1"/>
        </w:numPr>
        <w:spacing w:after="240" w:line="276" w:lineRule="auto"/>
      </w:pPr>
      <w:bookmarkStart w:id="26" w:name="_Toc12629549"/>
      <w:r w:rsidRPr="00407488">
        <w:t>Article 5 (6) – Le risque de double financement</w:t>
      </w:r>
      <w:bookmarkEnd w:id="26"/>
    </w:p>
    <w:p w14:paraId="625CD3DE" w14:textId="29B26E9E" w:rsidR="00C40D5C" w:rsidRPr="001479D3" w:rsidRDefault="00C40D5C" w:rsidP="002666E5">
      <w:r w:rsidRPr="001479D3">
        <w:t xml:space="preserve">Il n'existe aucun risque de double financement avec le Fonds </w:t>
      </w:r>
      <w:r w:rsidR="001B7D89">
        <w:t>S</w:t>
      </w:r>
      <w:r w:rsidRPr="001479D3">
        <w:t xml:space="preserve">ocial </w:t>
      </w:r>
      <w:r w:rsidR="001B7D89">
        <w:t>E</w:t>
      </w:r>
      <w:r w:rsidRPr="001479D3">
        <w:t>uropéen. En effet, comme cela est stipulé dans le programme op</w:t>
      </w:r>
      <w:r w:rsidR="000824C7" w:rsidRPr="001479D3">
        <w:t>érationnel, le financement de 5</w:t>
      </w:r>
      <w:r w:rsidRPr="001479D3">
        <w:t>% prévu pour les mesures d'accompagnement n'est pas utilisé.</w:t>
      </w:r>
    </w:p>
    <w:p w14:paraId="79C5EEA2" w14:textId="789A9C2E" w:rsidR="001479D3" w:rsidRDefault="00C40D5C" w:rsidP="002666E5">
      <w:r w:rsidRPr="001479D3">
        <w:t>Quant aux autres mesures d'accompagnement pertinentes, le risque de double finan</w:t>
      </w:r>
      <w:r w:rsidR="00A450BC" w:rsidRPr="001479D3">
        <w:t>cement est également inexistant</w:t>
      </w:r>
      <w:r w:rsidRPr="001479D3">
        <w:t>.</w:t>
      </w:r>
      <w:r w:rsidR="00A450BC" w:rsidRPr="001479D3">
        <w:t xml:space="preserve"> En effet, il n’y a pas d’autre utilisation des fonds que</w:t>
      </w:r>
      <w:r w:rsidR="00A33B32" w:rsidRPr="001479D3">
        <w:t xml:space="preserve"> celle de </w:t>
      </w:r>
      <w:r w:rsidR="00A450BC" w:rsidRPr="001479D3">
        <w:t>l’achat de denrées alimentaires (l’achat é</w:t>
      </w:r>
      <w:r w:rsidR="000824C7" w:rsidRPr="001479D3">
        <w:t>tant géré exclusivement par l’AG) et l’assistance t</w:t>
      </w:r>
      <w:r w:rsidR="00A450BC" w:rsidRPr="001479D3">
        <w:t xml:space="preserve">echnique. Il n’y a pas </w:t>
      </w:r>
      <w:r w:rsidR="000824C7" w:rsidRPr="001479D3">
        <w:t xml:space="preserve">de transfert d’argent entre l’AG </w:t>
      </w:r>
      <w:r w:rsidR="00A450BC" w:rsidRPr="001479D3">
        <w:t xml:space="preserve">et les organisations partenaires agréées. </w:t>
      </w:r>
    </w:p>
    <w:p w14:paraId="22B3302B" w14:textId="77777777" w:rsidR="002D5FCD" w:rsidRDefault="002D5FCD" w:rsidP="002666E5"/>
    <w:p w14:paraId="4F4B9971" w14:textId="77777777" w:rsidR="002D5FCD" w:rsidRPr="001479D3" w:rsidRDefault="002D5FCD" w:rsidP="002666E5"/>
    <w:p w14:paraId="069214D5" w14:textId="77777777" w:rsidR="00E82B11" w:rsidRPr="00DA0446" w:rsidRDefault="00E82B11" w:rsidP="002666E5">
      <w:pPr>
        <w:pStyle w:val="Kop3"/>
        <w:numPr>
          <w:ilvl w:val="2"/>
          <w:numId w:val="1"/>
        </w:numPr>
        <w:spacing w:after="240" w:line="276" w:lineRule="auto"/>
      </w:pPr>
      <w:bookmarkStart w:id="27" w:name="_Toc12629550"/>
      <w:r w:rsidRPr="00DA0446">
        <w:lastRenderedPageBreak/>
        <w:t>Article 5 (11) – Égalité entre les hommes et les femmes</w:t>
      </w:r>
      <w:bookmarkEnd w:id="27"/>
    </w:p>
    <w:p w14:paraId="367CCE5D" w14:textId="05B378F7" w:rsidR="0018748E" w:rsidRDefault="0018748E" w:rsidP="0018748E">
      <w:pPr>
        <w:rPr>
          <w:lang w:val="fr-BE"/>
        </w:rPr>
      </w:pPr>
      <w:r w:rsidRPr="0018748E">
        <w:rPr>
          <w:lang w:val="fr-BE"/>
        </w:rPr>
        <w:t>L’AG rappel</w:t>
      </w:r>
      <w:r>
        <w:rPr>
          <w:lang w:val="fr-BE"/>
        </w:rPr>
        <w:t>le régulièrement</w:t>
      </w:r>
      <w:r w:rsidRPr="0018748E">
        <w:rPr>
          <w:lang w:val="fr-BE"/>
        </w:rPr>
        <w:t xml:space="preserve"> que l’égalité entre les femmes et les hommes constitue l’un des principes fondateurs de l’Union européenne: « </w:t>
      </w:r>
      <w:r w:rsidRPr="0018748E">
        <w:rPr>
          <w:i/>
          <w:lang w:val="fr-BE"/>
        </w:rPr>
        <w:t>L’égalité est l’une des cinq valeurs sur lesquelles l’Union européenne est fondée. L’Union est tenue de promouvoir l’égalité entre les hommes et les femmes dans toutes ses actions (Articles 2 et 3 TUE, article 8 TFUE.). La Charte des droits fondamentaux de l’Union européenne institue cette égalité et interdit toute discrimination fondée sur le sexe</w:t>
      </w:r>
      <w:r w:rsidRPr="0018748E">
        <w:rPr>
          <w:lang w:val="fr-BE"/>
        </w:rPr>
        <w:t>.</w:t>
      </w:r>
      <w:r w:rsidR="001B7D89">
        <w:rPr>
          <w:lang w:val="fr-BE"/>
        </w:rPr>
        <w:t xml:space="preserve"> </w:t>
      </w:r>
      <w:r w:rsidRPr="0018748E">
        <w:rPr>
          <w:lang w:val="fr-BE"/>
        </w:rPr>
        <w:t xml:space="preserve">»  (Source: </w:t>
      </w:r>
      <w:hyperlink r:id="rId13" w:history="1">
        <w:r w:rsidRPr="0018748E">
          <w:rPr>
            <w:lang w:val="fr-BE"/>
          </w:rPr>
          <w:t>http://ec.europa.eu/justice/gender-equality/files/strategy_equality_women_men_fr.pdf</w:t>
        </w:r>
      </w:hyperlink>
      <w:r w:rsidRPr="0018748E">
        <w:rPr>
          <w:lang w:val="fr-BE"/>
        </w:rPr>
        <w:t xml:space="preserve"> )</w:t>
      </w:r>
    </w:p>
    <w:p w14:paraId="6D05A95D" w14:textId="03C3F01F" w:rsidR="0018748E" w:rsidRPr="0018748E" w:rsidRDefault="0018748E" w:rsidP="0018748E">
      <w:pPr>
        <w:rPr>
          <w:lang w:val="fr-BE"/>
        </w:rPr>
      </w:pPr>
      <w:r>
        <w:rPr>
          <w:lang w:val="fr-BE"/>
        </w:rPr>
        <w:t>L’AG rappelle donc régulièrement</w:t>
      </w:r>
      <w:r w:rsidRPr="0018748E">
        <w:rPr>
          <w:lang w:val="fr-BE"/>
        </w:rPr>
        <w:t xml:space="preserve"> aux organisations et CPAS que la distribution de produits FEAD doit être accessible à toute personne vivant sous le seuil de pauvreté et que les organisations et CPAS doivent en prévenir toute discrimination et assurer l’égalité entre les hommes et les femmes.</w:t>
      </w:r>
    </w:p>
    <w:p w14:paraId="0812DB76" w14:textId="2BB9E238" w:rsidR="001B7527" w:rsidRPr="0075574F" w:rsidRDefault="0060562F" w:rsidP="002666E5">
      <w:pPr>
        <w:rPr>
          <w:lang w:val="fr-BE"/>
        </w:rPr>
      </w:pPr>
      <w:r>
        <w:rPr>
          <w:lang w:val="fr-BE"/>
        </w:rPr>
        <w:t>Nous rappelons par ailleurs que l</w:t>
      </w:r>
      <w:r w:rsidRPr="005B1999">
        <w:rPr>
          <w:lang w:val="fr-BE"/>
        </w:rPr>
        <w:t xml:space="preserve">es critères d’éligibilité à l’aide reposent sur le seuil de pauvreté et sont donc objectifs. Cela permet d’éviter toute discrimination liée au sexe ou à l’origine de la </w:t>
      </w:r>
      <w:r w:rsidR="0075574F">
        <w:rPr>
          <w:lang w:val="fr-BE"/>
        </w:rPr>
        <w:t>personne bénéficiant de l’aide.</w:t>
      </w:r>
    </w:p>
    <w:p w14:paraId="54A052B9" w14:textId="77777777" w:rsidR="00B917A1" w:rsidRDefault="00E82B11" w:rsidP="002666E5">
      <w:pPr>
        <w:pStyle w:val="Kop3"/>
        <w:numPr>
          <w:ilvl w:val="2"/>
          <w:numId w:val="1"/>
        </w:numPr>
        <w:spacing w:after="240" w:line="276" w:lineRule="auto"/>
      </w:pPr>
      <w:bookmarkStart w:id="28" w:name="_Toc12629551"/>
      <w:r w:rsidRPr="00407488">
        <w:t>Article 5 (13) – Critères objectifs / aspects climatiques et environnementaux dans le choix de l'aide alimentaire</w:t>
      </w:r>
      <w:bookmarkEnd w:id="28"/>
    </w:p>
    <w:p w14:paraId="0DC77402" w14:textId="69F913C0" w:rsidR="00573398" w:rsidRPr="00573398" w:rsidRDefault="00E450F9" w:rsidP="00E450F9">
      <w:r>
        <w:t>Nous renvoyons ici aux critères mis en place dans le marché 2018 et notamment le critère sur le lot farine (voir plus haut).</w:t>
      </w:r>
    </w:p>
    <w:p w14:paraId="25926E22" w14:textId="37A17865" w:rsidR="00BB3D93" w:rsidRPr="005B1999" w:rsidRDefault="001C158B" w:rsidP="002666E5">
      <w:pPr>
        <w:pStyle w:val="Kop4"/>
        <w:numPr>
          <w:ilvl w:val="3"/>
          <w:numId w:val="1"/>
        </w:numPr>
        <w:spacing w:after="240" w:line="276" w:lineRule="auto"/>
        <w:rPr>
          <w:lang w:val="fr-BE"/>
        </w:rPr>
      </w:pPr>
      <w:r>
        <w:rPr>
          <w:lang w:val="fr-BE"/>
        </w:rPr>
        <w:t>Liste de produits 201</w:t>
      </w:r>
      <w:r w:rsidR="007A3D7C">
        <w:rPr>
          <w:lang w:val="fr-BE"/>
        </w:rPr>
        <w:t>8</w:t>
      </w:r>
    </w:p>
    <w:p w14:paraId="173A492A" w14:textId="6918CCD5" w:rsidR="001C158B" w:rsidRPr="00B85DF7" w:rsidRDefault="000225C3" w:rsidP="002666E5">
      <w:pPr>
        <w:tabs>
          <w:tab w:val="num" w:pos="720"/>
        </w:tabs>
        <w:rPr>
          <w:lang w:val="fr-BE"/>
        </w:rPr>
      </w:pPr>
      <w:r w:rsidRPr="00B85DF7">
        <w:rPr>
          <w:lang w:val="fr-BE"/>
        </w:rPr>
        <w:t>Une nouvelle liste de produits a été élaborée pour l’année 201</w:t>
      </w:r>
      <w:r w:rsidR="007A3D7C">
        <w:rPr>
          <w:lang w:val="fr-BE"/>
        </w:rPr>
        <w:t>8</w:t>
      </w:r>
      <w:r w:rsidRPr="00B85DF7">
        <w:rPr>
          <w:lang w:val="fr-BE"/>
        </w:rPr>
        <w:t>.</w:t>
      </w:r>
      <w:r w:rsidR="00B85DF7" w:rsidRPr="00B85DF7">
        <w:rPr>
          <w:lang w:val="fr-BE"/>
        </w:rPr>
        <w:t xml:space="preserve"> Comme chaque année, e</w:t>
      </w:r>
      <w:r w:rsidR="001C158B" w:rsidRPr="00B85DF7">
        <w:rPr>
          <w:lang w:val="fr-BE"/>
        </w:rPr>
        <w:t>lle est le fruit d’un travail de fond réalisé en partenariat avec différents experts dans le but d’améliorer la qualité des produits proposés (au niveau nutritionnel tout en s’inscrivant dans le cadre d’une alimentation saine et durable).</w:t>
      </w:r>
      <w:r w:rsidR="005208D3" w:rsidRPr="00B85DF7">
        <w:rPr>
          <w:lang w:val="fr-BE"/>
        </w:rPr>
        <w:t xml:space="preserve"> Les améliorations apportées </w:t>
      </w:r>
      <w:r w:rsidR="007A3D7C">
        <w:rPr>
          <w:lang w:val="fr-BE"/>
        </w:rPr>
        <w:t xml:space="preserve">ont été décrites précédemment </w:t>
      </w:r>
      <w:r w:rsidR="005208D3" w:rsidRPr="00B85DF7">
        <w:rPr>
          <w:lang w:val="fr-BE"/>
        </w:rPr>
        <w:t>:</w:t>
      </w:r>
    </w:p>
    <w:p w14:paraId="25ED064A" w14:textId="4164E3E3" w:rsidR="004D23F2" w:rsidRDefault="007A3D7C" w:rsidP="002666E5">
      <w:pPr>
        <w:pStyle w:val="Lijstalinea"/>
        <w:numPr>
          <w:ilvl w:val="0"/>
          <w:numId w:val="7"/>
        </w:numPr>
        <w:spacing w:after="0"/>
        <w:contextualSpacing w:val="0"/>
        <w:rPr>
          <w:lang w:val="fr-BE"/>
        </w:rPr>
      </w:pPr>
      <w:r>
        <w:rPr>
          <w:lang w:val="fr-BE"/>
        </w:rPr>
        <w:t xml:space="preserve">Le café ayant été fort apprécié, il </w:t>
      </w:r>
      <w:r w:rsidR="004D23F2">
        <w:rPr>
          <w:lang w:val="fr-BE"/>
        </w:rPr>
        <w:t xml:space="preserve">a été décidé </w:t>
      </w:r>
      <w:r>
        <w:rPr>
          <w:lang w:val="fr-BE"/>
        </w:rPr>
        <w:t>de le garder</w:t>
      </w:r>
    </w:p>
    <w:p w14:paraId="398F1716" w14:textId="3DBD85BD" w:rsidR="004D23F2" w:rsidRDefault="004D23F2" w:rsidP="002666E5">
      <w:pPr>
        <w:pStyle w:val="Lijstalinea"/>
        <w:numPr>
          <w:ilvl w:val="0"/>
          <w:numId w:val="7"/>
        </w:numPr>
        <w:spacing w:after="0"/>
        <w:contextualSpacing w:val="0"/>
        <w:rPr>
          <w:lang w:val="fr-BE"/>
        </w:rPr>
      </w:pPr>
      <w:r>
        <w:rPr>
          <w:lang w:val="fr-BE"/>
        </w:rPr>
        <w:t xml:space="preserve">Il a été décidé </w:t>
      </w:r>
      <w:r w:rsidR="007A3D7C">
        <w:rPr>
          <w:lang w:val="fr-BE"/>
        </w:rPr>
        <w:t>de garder le produit</w:t>
      </w:r>
      <w:r>
        <w:rPr>
          <w:lang w:val="fr-BE"/>
        </w:rPr>
        <w:t xml:space="preserve"> BIO : les pâtes (spaghetti)</w:t>
      </w:r>
    </w:p>
    <w:p w14:paraId="55E855C8" w14:textId="63827A7D" w:rsidR="000225C3" w:rsidRDefault="000225C3" w:rsidP="002666E5">
      <w:pPr>
        <w:pStyle w:val="Lijstalinea"/>
        <w:numPr>
          <w:ilvl w:val="0"/>
          <w:numId w:val="7"/>
        </w:numPr>
        <w:spacing w:after="0"/>
        <w:contextualSpacing w:val="0"/>
        <w:rPr>
          <w:lang w:val="fr-BE"/>
        </w:rPr>
      </w:pPr>
      <w:r w:rsidRPr="00B85DF7">
        <w:rPr>
          <w:lang w:val="fr-BE"/>
        </w:rPr>
        <w:t>Il a été décidé d</w:t>
      </w:r>
      <w:r w:rsidR="001C158B" w:rsidRPr="00B85DF7">
        <w:rPr>
          <w:lang w:val="fr-BE"/>
        </w:rPr>
        <w:t xml:space="preserve">e continuer à </w:t>
      </w:r>
      <w:r w:rsidRPr="00B85DF7">
        <w:rPr>
          <w:lang w:val="fr-BE"/>
        </w:rPr>
        <w:t>intégrer des protéines végétales en proposant</w:t>
      </w:r>
      <w:r w:rsidR="001C158B" w:rsidRPr="00B85DF7">
        <w:rPr>
          <w:lang w:val="fr-BE"/>
        </w:rPr>
        <w:t xml:space="preserve"> cette année des </w:t>
      </w:r>
      <w:r w:rsidR="00B85DF7" w:rsidRPr="00B85DF7">
        <w:rPr>
          <w:lang w:val="fr-BE"/>
        </w:rPr>
        <w:t xml:space="preserve">haricots </w:t>
      </w:r>
      <w:r w:rsidR="007A3D7C">
        <w:rPr>
          <w:lang w:val="fr-BE"/>
        </w:rPr>
        <w:t>rouges</w:t>
      </w:r>
      <w:r w:rsidR="001C158B" w:rsidRPr="00B85DF7">
        <w:rPr>
          <w:lang w:val="fr-BE"/>
        </w:rPr>
        <w:t xml:space="preserve"> (en remplacement des lentilles en 2015</w:t>
      </w:r>
      <w:r w:rsidR="00B85DF7" w:rsidRPr="00B85DF7">
        <w:rPr>
          <w:lang w:val="fr-BE"/>
        </w:rPr>
        <w:t xml:space="preserve"> et des pois chiches en 2016</w:t>
      </w:r>
      <w:r w:rsidR="007A3D7C">
        <w:rPr>
          <w:lang w:val="fr-BE"/>
        </w:rPr>
        <w:t xml:space="preserve"> et des haricots blancs en 2017</w:t>
      </w:r>
      <w:r w:rsidR="001C158B" w:rsidRPr="00B85DF7">
        <w:rPr>
          <w:lang w:val="fr-BE"/>
        </w:rPr>
        <w:t>)</w:t>
      </w:r>
      <w:r w:rsidR="00A90DFB" w:rsidRPr="00B85DF7">
        <w:rPr>
          <w:lang w:val="fr-BE"/>
        </w:rPr>
        <w:t>.</w:t>
      </w:r>
    </w:p>
    <w:p w14:paraId="5465704A" w14:textId="7776EAA8" w:rsidR="00434CAE" w:rsidRPr="00B85DF7" w:rsidRDefault="007A3D7C" w:rsidP="002666E5">
      <w:pPr>
        <w:pStyle w:val="Lijstalinea"/>
        <w:numPr>
          <w:ilvl w:val="0"/>
          <w:numId w:val="7"/>
        </w:numPr>
        <w:spacing w:after="0"/>
        <w:contextualSpacing w:val="0"/>
        <w:rPr>
          <w:lang w:val="fr-BE"/>
        </w:rPr>
      </w:pPr>
      <w:r>
        <w:rPr>
          <w:lang w:val="fr-BE"/>
        </w:rPr>
        <w:t>Les céréales ont été remplacé</w:t>
      </w:r>
      <w:r w:rsidR="00BA52D0">
        <w:rPr>
          <w:lang w:val="fr-BE"/>
        </w:rPr>
        <w:t>e</w:t>
      </w:r>
      <w:r>
        <w:rPr>
          <w:lang w:val="fr-BE"/>
        </w:rPr>
        <w:t>s par des fruits secs</w:t>
      </w:r>
      <w:r w:rsidR="00434CAE">
        <w:rPr>
          <w:lang w:val="fr-BE"/>
        </w:rPr>
        <w:t>.</w:t>
      </w:r>
    </w:p>
    <w:p w14:paraId="0C2712DD" w14:textId="0789F63C" w:rsidR="000824C7" w:rsidRPr="00B85DF7" w:rsidRDefault="001C158B" w:rsidP="002666E5">
      <w:pPr>
        <w:pStyle w:val="Lijstalinea"/>
        <w:numPr>
          <w:ilvl w:val="0"/>
          <w:numId w:val="7"/>
        </w:numPr>
        <w:spacing w:after="0"/>
        <w:contextualSpacing w:val="0"/>
        <w:rPr>
          <w:lang w:val="fr-BE"/>
        </w:rPr>
      </w:pPr>
      <w:r w:rsidRPr="00B85DF7">
        <w:rPr>
          <w:lang w:val="fr-BE"/>
        </w:rPr>
        <w:t xml:space="preserve">De nouveau, cette année, </w:t>
      </w:r>
      <w:r w:rsidR="000225C3" w:rsidRPr="00B85DF7">
        <w:rPr>
          <w:lang w:val="fr-BE"/>
        </w:rPr>
        <w:t>les spécifications techniques</w:t>
      </w:r>
      <w:r w:rsidRPr="00B85DF7">
        <w:rPr>
          <w:lang w:val="fr-BE"/>
        </w:rPr>
        <w:t xml:space="preserve"> de certains produits</w:t>
      </w:r>
      <w:r w:rsidR="000225C3" w:rsidRPr="00B85DF7">
        <w:rPr>
          <w:lang w:val="fr-BE"/>
        </w:rPr>
        <w:t xml:space="preserve"> incluaient des critères durables</w:t>
      </w:r>
      <w:r w:rsidRPr="00B85DF7">
        <w:rPr>
          <w:lang w:val="fr-BE"/>
        </w:rPr>
        <w:t> : c’était le cas de la salade de riz au thon (issu de la pêche durable), des</w:t>
      </w:r>
      <w:r w:rsidR="000225C3" w:rsidRPr="00B85DF7">
        <w:rPr>
          <w:lang w:val="fr-BE"/>
        </w:rPr>
        <w:t xml:space="preserve"> cér</w:t>
      </w:r>
      <w:r w:rsidR="00035B57" w:rsidRPr="00B85DF7">
        <w:rPr>
          <w:lang w:val="fr-BE"/>
        </w:rPr>
        <w:t>éales (sans aucune trace d’OGM)</w:t>
      </w:r>
      <w:r w:rsidR="000225C3" w:rsidRPr="00B85DF7">
        <w:rPr>
          <w:lang w:val="fr-BE"/>
        </w:rPr>
        <w:t xml:space="preserve"> ou</w:t>
      </w:r>
      <w:r w:rsidRPr="00B85DF7">
        <w:rPr>
          <w:lang w:val="fr-BE"/>
        </w:rPr>
        <w:t xml:space="preserve"> de</w:t>
      </w:r>
      <w:r w:rsidR="000225C3" w:rsidRPr="00B85DF7">
        <w:rPr>
          <w:lang w:val="fr-BE"/>
        </w:rPr>
        <w:t xml:space="preserve"> l’huile d’olive qui devait être produite, transformée et élaborée dans le même pays.</w:t>
      </w:r>
    </w:p>
    <w:p w14:paraId="1706DFF6" w14:textId="7793E01A" w:rsidR="001D72F3" w:rsidRPr="00B85DF7" w:rsidRDefault="001D72F3" w:rsidP="002666E5">
      <w:pPr>
        <w:pStyle w:val="Lijstalinea"/>
        <w:numPr>
          <w:ilvl w:val="0"/>
          <w:numId w:val="7"/>
        </w:numPr>
        <w:contextualSpacing w:val="0"/>
        <w:rPr>
          <w:lang w:val="fr-BE"/>
        </w:rPr>
      </w:pPr>
      <w:r w:rsidRPr="00B85DF7">
        <w:rPr>
          <w:lang w:val="fr-BE"/>
        </w:rPr>
        <w:t>Tous</w:t>
      </w:r>
      <w:r w:rsidR="000824C7" w:rsidRPr="00B85DF7">
        <w:rPr>
          <w:lang w:val="fr-BE"/>
        </w:rPr>
        <w:t xml:space="preserve"> les produits proposés ont un «</w:t>
      </w:r>
      <w:r w:rsidRPr="00B85DF7">
        <w:rPr>
          <w:lang w:val="fr-BE"/>
        </w:rPr>
        <w:t>système d’ouvertur</w:t>
      </w:r>
      <w:r w:rsidR="000824C7" w:rsidRPr="00B85DF7">
        <w:rPr>
          <w:lang w:val="fr-BE"/>
        </w:rPr>
        <w:t>e facile</w:t>
      </w:r>
      <w:r w:rsidR="00035B57" w:rsidRPr="00B85DF7">
        <w:rPr>
          <w:lang w:val="fr-BE"/>
        </w:rPr>
        <w:t>» ne nécessitant pas d’ouvre-</w:t>
      </w:r>
      <w:r w:rsidRPr="00B85DF7">
        <w:rPr>
          <w:lang w:val="fr-BE"/>
        </w:rPr>
        <w:t>boite.</w:t>
      </w:r>
    </w:p>
    <w:p w14:paraId="2C189726" w14:textId="59B8871F" w:rsidR="00427D70" w:rsidRPr="004D23F2" w:rsidRDefault="00427D70" w:rsidP="002666E5">
      <w:pPr>
        <w:rPr>
          <w:lang w:val="fr-BE"/>
        </w:rPr>
      </w:pPr>
      <w:r w:rsidRPr="004D23F2">
        <w:rPr>
          <w:lang w:val="fr-BE"/>
        </w:rPr>
        <w:lastRenderedPageBreak/>
        <w:t>La liste de produits proposés en 201</w:t>
      </w:r>
      <w:r w:rsidR="007A3D7C">
        <w:rPr>
          <w:lang w:val="fr-BE"/>
        </w:rPr>
        <w:t>8</w:t>
      </w:r>
      <w:r w:rsidRPr="004D23F2">
        <w:rPr>
          <w:lang w:val="fr-BE"/>
        </w:rPr>
        <w:t xml:space="preserve"> comp</w:t>
      </w:r>
      <w:r w:rsidR="00A3247B" w:rsidRPr="004D23F2">
        <w:rPr>
          <w:lang w:val="fr-BE"/>
        </w:rPr>
        <w:t xml:space="preserve">renait les </w:t>
      </w:r>
      <w:r w:rsidR="002F24DE" w:rsidRPr="004D23F2">
        <w:rPr>
          <w:lang w:val="fr-BE"/>
        </w:rPr>
        <w:t>2</w:t>
      </w:r>
      <w:r w:rsidR="007A3D7C">
        <w:rPr>
          <w:lang w:val="fr-BE"/>
        </w:rPr>
        <w:t>0</w:t>
      </w:r>
      <w:r w:rsidR="00A3247B" w:rsidRPr="004D23F2">
        <w:rPr>
          <w:lang w:val="fr-BE"/>
        </w:rPr>
        <w:t xml:space="preserve"> produits suivants</w:t>
      </w:r>
      <w:r w:rsidRPr="004D23F2">
        <w:rPr>
          <w:lang w:val="fr-BE"/>
        </w:rPr>
        <w:t>:</w:t>
      </w:r>
    </w:p>
    <w:p w14:paraId="10B2B9DA" w14:textId="77777777" w:rsidR="004D23F2" w:rsidRPr="004D23F2" w:rsidRDefault="004D23F2" w:rsidP="004D23F2">
      <w:pPr>
        <w:spacing w:after="0"/>
        <w:rPr>
          <w:lang w:val="fr-BE"/>
        </w:rPr>
      </w:pPr>
      <w:r w:rsidRPr="004D23F2">
        <w:rPr>
          <w:lang w:val="fr-BE"/>
        </w:rPr>
        <w:t>Lot 1:</w:t>
      </w:r>
      <w:r w:rsidRPr="004D23F2">
        <w:rPr>
          <w:lang w:val="fr-BE"/>
        </w:rPr>
        <w:tab/>
        <w:t>Lait demi-écrémé UHT</w:t>
      </w:r>
    </w:p>
    <w:p w14:paraId="3390A85A" w14:textId="73CF4B34" w:rsidR="004D23F2" w:rsidRPr="004D23F2" w:rsidRDefault="004D23F2" w:rsidP="004D23F2">
      <w:pPr>
        <w:spacing w:after="0"/>
        <w:rPr>
          <w:lang w:val="fr-BE"/>
        </w:rPr>
      </w:pPr>
      <w:r w:rsidRPr="004D23F2">
        <w:rPr>
          <w:lang w:val="fr-BE"/>
        </w:rPr>
        <w:t>Lot 2:</w:t>
      </w:r>
      <w:r w:rsidRPr="004D23F2">
        <w:rPr>
          <w:lang w:val="fr-BE"/>
        </w:rPr>
        <w:tab/>
        <w:t xml:space="preserve">Maquereaux à l’huile </w:t>
      </w:r>
      <w:r w:rsidR="007A3D7C">
        <w:rPr>
          <w:lang w:val="fr-BE"/>
        </w:rPr>
        <w:t>de tournesol</w:t>
      </w:r>
    </w:p>
    <w:p w14:paraId="4F975B76" w14:textId="77777777" w:rsidR="004D23F2" w:rsidRPr="004D23F2" w:rsidRDefault="004D23F2" w:rsidP="004D23F2">
      <w:pPr>
        <w:spacing w:after="0"/>
        <w:rPr>
          <w:lang w:val="fr-BE"/>
        </w:rPr>
      </w:pPr>
      <w:r w:rsidRPr="004D23F2">
        <w:rPr>
          <w:lang w:val="fr-BE"/>
        </w:rPr>
        <w:t>Lot 3:</w:t>
      </w:r>
      <w:r w:rsidRPr="004D23F2">
        <w:rPr>
          <w:lang w:val="fr-BE"/>
        </w:rPr>
        <w:tab/>
        <w:t>Salade de riz au thon issu de la pêche durable</w:t>
      </w:r>
    </w:p>
    <w:p w14:paraId="7C9CA4BE" w14:textId="77777777" w:rsidR="004D23F2" w:rsidRPr="004D23F2" w:rsidRDefault="004D23F2" w:rsidP="004D23F2">
      <w:pPr>
        <w:spacing w:after="0"/>
        <w:rPr>
          <w:lang w:val="fr-BE"/>
        </w:rPr>
      </w:pPr>
      <w:r w:rsidRPr="004D23F2">
        <w:rPr>
          <w:lang w:val="fr-BE"/>
        </w:rPr>
        <w:t>Lot 4:</w:t>
      </w:r>
      <w:r w:rsidRPr="004D23F2">
        <w:rPr>
          <w:lang w:val="fr-BE"/>
        </w:rPr>
        <w:tab/>
        <w:t>Farine de blé</w:t>
      </w:r>
    </w:p>
    <w:p w14:paraId="2068F5ED" w14:textId="77777777" w:rsidR="004D23F2" w:rsidRPr="004D23F2" w:rsidRDefault="004D23F2" w:rsidP="004D23F2">
      <w:pPr>
        <w:spacing w:after="0"/>
        <w:rPr>
          <w:lang w:val="fr-BE"/>
        </w:rPr>
      </w:pPr>
      <w:r w:rsidRPr="004D23F2">
        <w:rPr>
          <w:lang w:val="fr-BE"/>
        </w:rPr>
        <w:t>Lot 5:</w:t>
      </w:r>
      <w:r w:rsidRPr="004D23F2">
        <w:rPr>
          <w:lang w:val="fr-BE"/>
        </w:rPr>
        <w:tab/>
        <w:t>Café moulu 100% arabica issu du commerce équitable</w:t>
      </w:r>
    </w:p>
    <w:p w14:paraId="75AF43F6" w14:textId="77777777" w:rsidR="004D23F2" w:rsidRPr="00356BF9" w:rsidRDefault="004D23F2" w:rsidP="004D23F2">
      <w:pPr>
        <w:spacing w:after="0"/>
        <w:rPr>
          <w:lang w:val="en-US"/>
        </w:rPr>
      </w:pPr>
      <w:r w:rsidRPr="00356BF9">
        <w:rPr>
          <w:lang w:val="en-US"/>
        </w:rPr>
        <w:t>Lot 6:</w:t>
      </w:r>
      <w:r w:rsidRPr="00356BF9">
        <w:rPr>
          <w:lang w:val="en-US"/>
        </w:rPr>
        <w:tab/>
        <w:t xml:space="preserve">Pâtes: spaghetti </w:t>
      </w:r>
      <w:proofErr w:type="spellStart"/>
      <w:r w:rsidRPr="00356BF9">
        <w:rPr>
          <w:lang w:val="en-US"/>
        </w:rPr>
        <w:t>biologiques</w:t>
      </w:r>
      <w:proofErr w:type="spellEnd"/>
    </w:p>
    <w:p w14:paraId="5FCF1D6A" w14:textId="74097616" w:rsidR="004D23F2" w:rsidRPr="00356BF9" w:rsidRDefault="004D23F2" w:rsidP="004D23F2">
      <w:pPr>
        <w:spacing w:after="0"/>
        <w:rPr>
          <w:lang w:val="en-US"/>
        </w:rPr>
      </w:pPr>
      <w:r w:rsidRPr="00356BF9">
        <w:rPr>
          <w:lang w:val="en-US"/>
        </w:rPr>
        <w:t>Lot 7:</w:t>
      </w:r>
      <w:r w:rsidRPr="00356BF9">
        <w:rPr>
          <w:lang w:val="en-US"/>
        </w:rPr>
        <w:tab/>
        <w:t xml:space="preserve">Pâtes: </w:t>
      </w:r>
      <w:r w:rsidR="007A3D7C" w:rsidRPr="00356BF9">
        <w:rPr>
          <w:lang w:val="en-US"/>
        </w:rPr>
        <w:t>proposition live</w:t>
      </w:r>
    </w:p>
    <w:p w14:paraId="27A85ED3" w14:textId="77777777" w:rsidR="004D23F2" w:rsidRPr="00356BF9" w:rsidRDefault="004D23F2" w:rsidP="004D23F2">
      <w:pPr>
        <w:spacing w:after="0"/>
        <w:rPr>
          <w:lang w:val="en-US"/>
        </w:rPr>
      </w:pPr>
      <w:r w:rsidRPr="00356BF9">
        <w:rPr>
          <w:lang w:val="en-US"/>
        </w:rPr>
        <w:t>Lot 8:</w:t>
      </w:r>
      <w:r w:rsidRPr="00356BF9">
        <w:rPr>
          <w:lang w:val="en-US"/>
        </w:rPr>
        <w:tab/>
      </w:r>
      <w:proofErr w:type="spellStart"/>
      <w:r w:rsidRPr="00356BF9">
        <w:rPr>
          <w:lang w:val="en-US"/>
        </w:rPr>
        <w:t>Riz</w:t>
      </w:r>
      <w:proofErr w:type="spellEnd"/>
    </w:p>
    <w:p w14:paraId="014A8D0A" w14:textId="77777777" w:rsidR="004D23F2" w:rsidRPr="004D23F2" w:rsidRDefault="004D23F2" w:rsidP="004D23F2">
      <w:pPr>
        <w:spacing w:after="0"/>
        <w:rPr>
          <w:lang w:val="fr-BE"/>
        </w:rPr>
      </w:pPr>
      <w:r w:rsidRPr="004D23F2">
        <w:rPr>
          <w:lang w:val="fr-BE"/>
        </w:rPr>
        <w:t>Lot 9:</w:t>
      </w:r>
      <w:r w:rsidRPr="004D23F2">
        <w:rPr>
          <w:lang w:val="fr-BE"/>
        </w:rPr>
        <w:tab/>
        <w:t>Tomates pelées concassées en cubes</w:t>
      </w:r>
    </w:p>
    <w:p w14:paraId="24115795" w14:textId="77777777" w:rsidR="004D23F2" w:rsidRPr="004D23F2" w:rsidRDefault="004D23F2" w:rsidP="004D23F2">
      <w:pPr>
        <w:spacing w:after="0"/>
        <w:rPr>
          <w:lang w:val="fr-BE"/>
        </w:rPr>
      </w:pPr>
      <w:r w:rsidRPr="004D23F2">
        <w:rPr>
          <w:lang w:val="fr-BE"/>
        </w:rPr>
        <w:t>Lot 10:</w:t>
      </w:r>
      <w:r w:rsidRPr="004D23F2">
        <w:rPr>
          <w:lang w:val="fr-BE"/>
        </w:rPr>
        <w:tab/>
        <w:t>Haricots verts entiers très fins</w:t>
      </w:r>
    </w:p>
    <w:p w14:paraId="4859A348" w14:textId="77777777" w:rsidR="004D23F2" w:rsidRPr="004D23F2" w:rsidRDefault="004D23F2" w:rsidP="004D23F2">
      <w:pPr>
        <w:spacing w:after="0"/>
        <w:rPr>
          <w:lang w:val="fr-BE"/>
        </w:rPr>
      </w:pPr>
      <w:r w:rsidRPr="004D23F2">
        <w:rPr>
          <w:lang w:val="fr-BE"/>
        </w:rPr>
        <w:t>Lot 11:</w:t>
      </w:r>
      <w:r w:rsidRPr="004D23F2">
        <w:rPr>
          <w:lang w:val="fr-BE"/>
        </w:rPr>
        <w:tab/>
        <w:t>Macédoine de légumes</w:t>
      </w:r>
    </w:p>
    <w:p w14:paraId="31D9D052" w14:textId="235F9058" w:rsidR="004D23F2" w:rsidRPr="004D23F2" w:rsidRDefault="004D23F2" w:rsidP="004D23F2">
      <w:pPr>
        <w:spacing w:after="0"/>
        <w:rPr>
          <w:lang w:val="fr-BE"/>
        </w:rPr>
      </w:pPr>
      <w:r w:rsidRPr="004D23F2">
        <w:rPr>
          <w:lang w:val="fr-BE"/>
        </w:rPr>
        <w:t>Lot 12:</w:t>
      </w:r>
      <w:r w:rsidRPr="004D23F2">
        <w:rPr>
          <w:lang w:val="fr-BE"/>
        </w:rPr>
        <w:tab/>
        <w:t xml:space="preserve">Haricots </w:t>
      </w:r>
      <w:r w:rsidR="006E0117">
        <w:rPr>
          <w:lang w:val="fr-BE"/>
        </w:rPr>
        <w:t>rouges</w:t>
      </w:r>
    </w:p>
    <w:p w14:paraId="0C199CC7" w14:textId="77777777" w:rsidR="004D23F2" w:rsidRPr="004D23F2" w:rsidRDefault="004D23F2" w:rsidP="004D23F2">
      <w:pPr>
        <w:spacing w:after="0"/>
        <w:rPr>
          <w:lang w:val="fr-BE"/>
        </w:rPr>
      </w:pPr>
      <w:r w:rsidRPr="004D23F2">
        <w:rPr>
          <w:lang w:val="fr-BE"/>
        </w:rPr>
        <w:t>Lot 13:</w:t>
      </w:r>
      <w:r w:rsidRPr="004D23F2">
        <w:rPr>
          <w:lang w:val="fr-BE"/>
        </w:rPr>
        <w:tab/>
        <w:t>Mousseline de pommes</w:t>
      </w:r>
    </w:p>
    <w:p w14:paraId="4DA0409B" w14:textId="77777777" w:rsidR="004D23F2" w:rsidRPr="004D23F2" w:rsidRDefault="004D23F2" w:rsidP="004D23F2">
      <w:pPr>
        <w:spacing w:after="0"/>
        <w:rPr>
          <w:lang w:val="fr-BE"/>
        </w:rPr>
      </w:pPr>
      <w:r w:rsidRPr="004D23F2">
        <w:rPr>
          <w:lang w:val="fr-BE"/>
        </w:rPr>
        <w:t>Lot 14:</w:t>
      </w:r>
      <w:r w:rsidRPr="004D23F2">
        <w:rPr>
          <w:lang w:val="fr-BE"/>
        </w:rPr>
        <w:tab/>
        <w:t>Fromage fondu à tartiner</w:t>
      </w:r>
    </w:p>
    <w:p w14:paraId="17DB4AA2" w14:textId="12793105" w:rsidR="004D23F2" w:rsidRPr="004D23F2" w:rsidRDefault="004D23F2" w:rsidP="004D23F2">
      <w:pPr>
        <w:spacing w:after="0"/>
        <w:rPr>
          <w:lang w:val="fr-BE"/>
        </w:rPr>
      </w:pPr>
      <w:r w:rsidRPr="004D23F2">
        <w:rPr>
          <w:lang w:val="fr-BE"/>
        </w:rPr>
        <w:t>Lot 15:</w:t>
      </w:r>
      <w:r w:rsidRPr="004D23F2">
        <w:rPr>
          <w:lang w:val="fr-BE"/>
        </w:rPr>
        <w:tab/>
        <w:t xml:space="preserve">Confiture </w:t>
      </w:r>
      <w:r w:rsidR="006E0117">
        <w:rPr>
          <w:lang w:val="fr-BE"/>
        </w:rPr>
        <w:t>de fraises</w:t>
      </w:r>
    </w:p>
    <w:p w14:paraId="52CAF7E6" w14:textId="77777777" w:rsidR="004D23F2" w:rsidRPr="004D23F2" w:rsidRDefault="004D23F2" w:rsidP="004D23F2">
      <w:pPr>
        <w:spacing w:after="0"/>
        <w:rPr>
          <w:lang w:val="fr-BE"/>
        </w:rPr>
      </w:pPr>
      <w:r w:rsidRPr="004D23F2">
        <w:rPr>
          <w:lang w:val="fr-BE"/>
        </w:rPr>
        <w:t>Lot 16:</w:t>
      </w:r>
      <w:r w:rsidRPr="004D23F2">
        <w:rPr>
          <w:lang w:val="fr-BE"/>
        </w:rPr>
        <w:tab/>
        <w:t>Huile d’olive</w:t>
      </w:r>
    </w:p>
    <w:p w14:paraId="27A9C698" w14:textId="77AD7B7D" w:rsidR="004D23F2" w:rsidRPr="004D23F2" w:rsidRDefault="004D23F2" w:rsidP="004D23F2">
      <w:pPr>
        <w:spacing w:after="0"/>
        <w:rPr>
          <w:lang w:val="fr-BE"/>
        </w:rPr>
      </w:pPr>
      <w:r w:rsidRPr="004D23F2">
        <w:rPr>
          <w:lang w:val="fr-BE"/>
        </w:rPr>
        <w:t>Lot 1</w:t>
      </w:r>
      <w:r w:rsidR="006E0117">
        <w:rPr>
          <w:lang w:val="fr-BE"/>
        </w:rPr>
        <w:t>7</w:t>
      </w:r>
      <w:r w:rsidRPr="004D23F2">
        <w:rPr>
          <w:lang w:val="fr-BE"/>
        </w:rPr>
        <w:t>:</w:t>
      </w:r>
      <w:r w:rsidRPr="004D23F2">
        <w:rPr>
          <w:lang w:val="fr-BE"/>
        </w:rPr>
        <w:tab/>
        <w:t>Chocolat noir issu du commerce équitable</w:t>
      </w:r>
    </w:p>
    <w:p w14:paraId="724D9310" w14:textId="2C56A3B6" w:rsidR="004D23F2" w:rsidRPr="004D23F2" w:rsidRDefault="004D23F2" w:rsidP="004D23F2">
      <w:pPr>
        <w:spacing w:after="0"/>
        <w:rPr>
          <w:lang w:val="fr-BE"/>
        </w:rPr>
      </w:pPr>
      <w:r w:rsidRPr="004D23F2">
        <w:rPr>
          <w:lang w:val="fr-BE"/>
        </w:rPr>
        <w:t xml:space="preserve">Lot </w:t>
      </w:r>
      <w:r w:rsidR="006E0117">
        <w:rPr>
          <w:lang w:val="fr-BE"/>
        </w:rPr>
        <w:t>18</w:t>
      </w:r>
      <w:r w:rsidRPr="004D23F2">
        <w:rPr>
          <w:lang w:val="fr-BE"/>
        </w:rPr>
        <w:t>:</w:t>
      </w:r>
      <w:r w:rsidRPr="004D23F2">
        <w:rPr>
          <w:lang w:val="fr-BE"/>
        </w:rPr>
        <w:tab/>
      </w:r>
      <w:r w:rsidR="006E0117">
        <w:rPr>
          <w:lang w:val="fr-BE"/>
        </w:rPr>
        <w:t>Muesli aux fruits secs</w:t>
      </w:r>
    </w:p>
    <w:p w14:paraId="250FCC58" w14:textId="1C73F0A6" w:rsidR="004D23F2" w:rsidRPr="004D23F2" w:rsidRDefault="004D23F2" w:rsidP="004D23F2">
      <w:pPr>
        <w:spacing w:after="0"/>
        <w:rPr>
          <w:lang w:val="fr-BE"/>
        </w:rPr>
      </w:pPr>
      <w:r w:rsidRPr="004D23F2">
        <w:rPr>
          <w:lang w:val="fr-BE"/>
        </w:rPr>
        <w:t xml:space="preserve">Lot </w:t>
      </w:r>
      <w:r w:rsidR="006E0117">
        <w:rPr>
          <w:lang w:val="fr-BE"/>
        </w:rPr>
        <w:t>19</w:t>
      </w:r>
      <w:r w:rsidRPr="004D23F2">
        <w:rPr>
          <w:lang w:val="fr-BE"/>
        </w:rPr>
        <w:t>:</w:t>
      </w:r>
      <w:r w:rsidRPr="004D23F2">
        <w:rPr>
          <w:lang w:val="fr-BE"/>
        </w:rPr>
        <w:tab/>
        <w:t>Poulet aux olives et citrons</w:t>
      </w:r>
    </w:p>
    <w:p w14:paraId="1B5D1B1A" w14:textId="1DDF7119" w:rsidR="00A90DFB" w:rsidRPr="004D23F2" w:rsidRDefault="004D23F2" w:rsidP="004D23F2">
      <w:pPr>
        <w:spacing w:after="0"/>
        <w:rPr>
          <w:lang w:val="fr-BE"/>
        </w:rPr>
      </w:pPr>
      <w:r w:rsidRPr="004D23F2">
        <w:rPr>
          <w:lang w:val="fr-BE"/>
        </w:rPr>
        <w:t>Lot 2</w:t>
      </w:r>
      <w:r w:rsidR="006E0117">
        <w:rPr>
          <w:lang w:val="fr-BE"/>
        </w:rPr>
        <w:t>0</w:t>
      </w:r>
      <w:r w:rsidRPr="004D23F2">
        <w:rPr>
          <w:lang w:val="fr-BE"/>
        </w:rPr>
        <w:t>:</w:t>
      </w:r>
      <w:r w:rsidRPr="004D23F2">
        <w:rPr>
          <w:lang w:val="fr-BE"/>
        </w:rPr>
        <w:tab/>
        <w:t>Boulettes sauce tomate</w:t>
      </w:r>
    </w:p>
    <w:p w14:paraId="43207FBD" w14:textId="77777777" w:rsidR="004D23F2" w:rsidRPr="0075574F" w:rsidRDefault="004D23F2" w:rsidP="004D23F2">
      <w:pPr>
        <w:spacing w:after="0"/>
        <w:rPr>
          <w:lang w:val="fr-BE"/>
        </w:rPr>
      </w:pPr>
    </w:p>
    <w:p w14:paraId="645AE6FA" w14:textId="2F878952" w:rsidR="006D6CA6" w:rsidRPr="00434CAE" w:rsidRDefault="006D6CA6" w:rsidP="002666E5">
      <w:r w:rsidRPr="00434CAE">
        <w:t>Pour</w:t>
      </w:r>
      <w:r w:rsidRPr="00300C46">
        <w:rPr>
          <w:color w:val="FF0000"/>
        </w:rPr>
        <w:t xml:space="preserve"> </w:t>
      </w:r>
      <w:r w:rsidRPr="00434CAE">
        <w:t xml:space="preserve">information, </w:t>
      </w:r>
      <w:r w:rsidR="002D381E" w:rsidRPr="00434CAE">
        <w:t>le tableau ci-dessous fournit</w:t>
      </w:r>
      <w:r w:rsidRPr="00434CAE">
        <w:t xml:space="preserve"> la comparaison de la liste des produits de</w:t>
      </w:r>
      <w:r w:rsidR="006E0117">
        <w:t>puis le début de la mise en œuvre du FEAD en</w:t>
      </w:r>
      <w:r w:rsidRPr="00434CAE">
        <w:t xml:space="preserve"> 201</w:t>
      </w:r>
      <w:r w:rsidR="00427D70" w:rsidRPr="00434CAE">
        <w:t>4</w:t>
      </w:r>
      <w:r w:rsidRPr="00434CAE">
        <w:t xml:space="preserve"> par rapport à la liste des produits de </w:t>
      </w:r>
      <w:r w:rsidR="006E0117">
        <w:t>2018</w:t>
      </w:r>
    </w:p>
    <w:tbl>
      <w:tblPr>
        <w:tblStyle w:val="Tabelraster"/>
        <w:tblW w:w="10065" w:type="dxa"/>
        <w:tblInd w:w="-714" w:type="dxa"/>
        <w:tblLook w:val="04A0" w:firstRow="1" w:lastRow="0" w:firstColumn="1" w:lastColumn="0" w:noHBand="0" w:noVBand="1"/>
      </w:tblPr>
      <w:tblGrid>
        <w:gridCol w:w="1843"/>
        <w:gridCol w:w="1843"/>
        <w:gridCol w:w="1985"/>
        <w:gridCol w:w="2126"/>
        <w:gridCol w:w="2268"/>
      </w:tblGrid>
      <w:tr w:rsidR="006E0117" w:rsidRPr="006E0117" w14:paraId="65762474" w14:textId="021818FC" w:rsidTr="006E0117">
        <w:tc>
          <w:tcPr>
            <w:tcW w:w="1843" w:type="dxa"/>
            <w:shd w:val="clear" w:color="auto" w:fill="A6A6A6" w:themeFill="background1" w:themeFillShade="A6"/>
          </w:tcPr>
          <w:p w14:paraId="0E5BFFA2" w14:textId="77777777" w:rsidR="006E0117" w:rsidRPr="006E0117" w:rsidRDefault="006E0117" w:rsidP="002666E5">
            <w:pPr>
              <w:spacing w:line="276" w:lineRule="auto"/>
              <w:rPr>
                <w:b/>
                <w:sz w:val="22"/>
              </w:rPr>
            </w:pPr>
            <w:r w:rsidRPr="006E0117">
              <w:rPr>
                <w:b/>
                <w:sz w:val="22"/>
              </w:rPr>
              <w:t>Produits 2014</w:t>
            </w:r>
          </w:p>
        </w:tc>
        <w:tc>
          <w:tcPr>
            <w:tcW w:w="1843" w:type="dxa"/>
            <w:shd w:val="clear" w:color="auto" w:fill="A6A6A6" w:themeFill="background1" w:themeFillShade="A6"/>
          </w:tcPr>
          <w:p w14:paraId="7A6A9229" w14:textId="77777777" w:rsidR="006E0117" w:rsidRPr="006E0117" w:rsidRDefault="006E0117" w:rsidP="002666E5">
            <w:pPr>
              <w:spacing w:line="276" w:lineRule="auto"/>
              <w:rPr>
                <w:b/>
                <w:sz w:val="22"/>
              </w:rPr>
            </w:pPr>
            <w:r w:rsidRPr="006E0117">
              <w:rPr>
                <w:b/>
                <w:sz w:val="22"/>
              </w:rPr>
              <w:t>Produits 2015</w:t>
            </w:r>
          </w:p>
        </w:tc>
        <w:tc>
          <w:tcPr>
            <w:tcW w:w="1985" w:type="dxa"/>
            <w:shd w:val="clear" w:color="auto" w:fill="A6A6A6" w:themeFill="background1" w:themeFillShade="A6"/>
          </w:tcPr>
          <w:p w14:paraId="76616124" w14:textId="531EF4D5" w:rsidR="006E0117" w:rsidRPr="006E0117" w:rsidRDefault="006E0117" w:rsidP="002666E5">
            <w:pPr>
              <w:spacing w:line="276" w:lineRule="auto"/>
              <w:rPr>
                <w:b/>
                <w:sz w:val="22"/>
              </w:rPr>
            </w:pPr>
            <w:r w:rsidRPr="006E0117">
              <w:rPr>
                <w:b/>
                <w:sz w:val="22"/>
              </w:rPr>
              <w:t>Produits 2016</w:t>
            </w:r>
          </w:p>
        </w:tc>
        <w:tc>
          <w:tcPr>
            <w:tcW w:w="2126" w:type="dxa"/>
            <w:shd w:val="clear" w:color="auto" w:fill="A6A6A6" w:themeFill="background1" w:themeFillShade="A6"/>
          </w:tcPr>
          <w:p w14:paraId="0AD418D5" w14:textId="08664285" w:rsidR="006E0117" w:rsidRPr="006E0117" w:rsidRDefault="006E0117" w:rsidP="002666E5">
            <w:pPr>
              <w:rPr>
                <w:b/>
                <w:sz w:val="22"/>
              </w:rPr>
            </w:pPr>
            <w:r w:rsidRPr="006E0117">
              <w:rPr>
                <w:b/>
                <w:sz w:val="22"/>
              </w:rPr>
              <w:t>Produits 2017</w:t>
            </w:r>
          </w:p>
        </w:tc>
        <w:tc>
          <w:tcPr>
            <w:tcW w:w="2268" w:type="dxa"/>
            <w:shd w:val="clear" w:color="auto" w:fill="A6A6A6" w:themeFill="background1" w:themeFillShade="A6"/>
          </w:tcPr>
          <w:p w14:paraId="71833AC9" w14:textId="23438D2B" w:rsidR="006E0117" w:rsidRPr="001B7527" w:rsidRDefault="006E0117" w:rsidP="002666E5">
            <w:pPr>
              <w:rPr>
                <w:b/>
                <w:sz w:val="22"/>
              </w:rPr>
            </w:pPr>
            <w:r w:rsidRPr="001B7527">
              <w:rPr>
                <w:b/>
                <w:sz w:val="22"/>
              </w:rPr>
              <w:t>Produits 2018</w:t>
            </w:r>
          </w:p>
        </w:tc>
      </w:tr>
      <w:tr w:rsidR="006E0117" w:rsidRPr="006E0117" w14:paraId="3DD49C30" w14:textId="5273168D" w:rsidTr="006E0117">
        <w:trPr>
          <w:trHeight w:val="392"/>
        </w:trPr>
        <w:tc>
          <w:tcPr>
            <w:tcW w:w="1843" w:type="dxa"/>
            <w:shd w:val="clear" w:color="auto" w:fill="auto"/>
          </w:tcPr>
          <w:p w14:paraId="00617633" w14:textId="77777777" w:rsidR="006E0117" w:rsidRPr="006E0117" w:rsidRDefault="006E0117" w:rsidP="00434CAE">
            <w:pPr>
              <w:spacing w:before="100" w:beforeAutospacing="1" w:after="100" w:afterAutospacing="1" w:line="276" w:lineRule="auto"/>
              <w:rPr>
                <w:sz w:val="22"/>
              </w:rPr>
            </w:pPr>
            <w:r w:rsidRPr="006E0117">
              <w:rPr>
                <w:sz w:val="22"/>
              </w:rPr>
              <w:t>Lait demi-écrémé</w:t>
            </w:r>
          </w:p>
        </w:tc>
        <w:tc>
          <w:tcPr>
            <w:tcW w:w="1843" w:type="dxa"/>
          </w:tcPr>
          <w:p w14:paraId="36001FE6" w14:textId="77777777" w:rsidR="006E0117" w:rsidRPr="006E0117" w:rsidRDefault="006E0117" w:rsidP="00434CAE">
            <w:pPr>
              <w:spacing w:before="100" w:beforeAutospacing="1" w:after="100" w:afterAutospacing="1" w:line="276" w:lineRule="auto"/>
              <w:rPr>
                <w:sz w:val="22"/>
              </w:rPr>
            </w:pPr>
            <w:r w:rsidRPr="006E0117">
              <w:rPr>
                <w:sz w:val="22"/>
              </w:rPr>
              <w:t>Lait demi-écrémé</w:t>
            </w:r>
          </w:p>
        </w:tc>
        <w:tc>
          <w:tcPr>
            <w:tcW w:w="1985" w:type="dxa"/>
          </w:tcPr>
          <w:p w14:paraId="628B8DD4" w14:textId="3D6CEB88" w:rsidR="006E0117" w:rsidRPr="006E0117" w:rsidRDefault="006E0117" w:rsidP="00434CAE">
            <w:pPr>
              <w:spacing w:before="100" w:beforeAutospacing="1" w:after="100" w:afterAutospacing="1" w:line="276" w:lineRule="auto"/>
              <w:rPr>
                <w:sz w:val="22"/>
              </w:rPr>
            </w:pPr>
            <w:r w:rsidRPr="006E0117">
              <w:rPr>
                <w:sz w:val="22"/>
              </w:rPr>
              <w:t>Lait demi-écrémé</w:t>
            </w:r>
          </w:p>
        </w:tc>
        <w:tc>
          <w:tcPr>
            <w:tcW w:w="2126" w:type="dxa"/>
            <w:shd w:val="clear" w:color="auto" w:fill="auto"/>
          </w:tcPr>
          <w:p w14:paraId="17A8A626" w14:textId="75E12972" w:rsidR="006E0117" w:rsidRPr="006E0117" w:rsidRDefault="006E0117" w:rsidP="00434CAE">
            <w:pPr>
              <w:spacing w:before="100" w:beforeAutospacing="1" w:after="100" w:afterAutospacing="1"/>
              <w:rPr>
                <w:sz w:val="22"/>
              </w:rPr>
            </w:pPr>
            <w:r w:rsidRPr="006E0117">
              <w:rPr>
                <w:sz w:val="22"/>
              </w:rPr>
              <w:t>Lait demi-écrémé</w:t>
            </w:r>
          </w:p>
        </w:tc>
        <w:tc>
          <w:tcPr>
            <w:tcW w:w="2268" w:type="dxa"/>
          </w:tcPr>
          <w:p w14:paraId="2434EE6D" w14:textId="67F828BC" w:rsidR="006E0117" w:rsidRPr="001B7527" w:rsidRDefault="006E0117" w:rsidP="00434CAE">
            <w:pPr>
              <w:spacing w:before="100" w:beforeAutospacing="1" w:after="100" w:afterAutospacing="1"/>
              <w:rPr>
                <w:sz w:val="22"/>
              </w:rPr>
            </w:pPr>
            <w:r w:rsidRPr="001B7527">
              <w:rPr>
                <w:sz w:val="22"/>
              </w:rPr>
              <w:t>Lait demi-écrémé</w:t>
            </w:r>
          </w:p>
        </w:tc>
      </w:tr>
      <w:tr w:rsidR="006E0117" w:rsidRPr="006E0117" w14:paraId="365209AB" w14:textId="1DAB7EDA" w:rsidTr="001B7527">
        <w:tc>
          <w:tcPr>
            <w:tcW w:w="1843" w:type="dxa"/>
            <w:shd w:val="clear" w:color="auto" w:fill="auto"/>
          </w:tcPr>
          <w:p w14:paraId="2078B94D" w14:textId="77777777" w:rsidR="006E0117" w:rsidRPr="006E0117" w:rsidRDefault="006E0117" w:rsidP="00434CAE">
            <w:pPr>
              <w:spacing w:before="100" w:beforeAutospacing="1" w:after="100" w:afterAutospacing="1" w:line="276" w:lineRule="auto"/>
              <w:rPr>
                <w:sz w:val="22"/>
              </w:rPr>
            </w:pPr>
            <w:r w:rsidRPr="006E0117">
              <w:rPr>
                <w:sz w:val="22"/>
              </w:rPr>
              <w:t>Saumon en conserve</w:t>
            </w:r>
          </w:p>
        </w:tc>
        <w:tc>
          <w:tcPr>
            <w:tcW w:w="1843" w:type="dxa"/>
            <w:shd w:val="clear" w:color="auto" w:fill="D9D9D9" w:themeFill="background1" w:themeFillShade="D9"/>
          </w:tcPr>
          <w:p w14:paraId="52698CF9" w14:textId="77777777" w:rsidR="006E0117" w:rsidRPr="006E0117" w:rsidRDefault="006E0117" w:rsidP="00434CAE">
            <w:pPr>
              <w:spacing w:before="100" w:beforeAutospacing="1" w:after="100" w:afterAutospacing="1" w:line="276" w:lineRule="auto"/>
              <w:rPr>
                <w:sz w:val="22"/>
              </w:rPr>
            </w:pPr>
            <w:r w:rsidRPr="006E0117">
              <w:rPr>
                <w:sz w:val="22"/>
              </w:rPr>
              <w:t>Sardines à l’huile d’olive</w:t>
            </w:r>
          </w:p>
        </w:tc>
        <w:tc>
          <w:tcPr>
            <w:tcW w:w="1985" w:type="dxa"/>
            <w:shd w:val="clear" w:color="auto" w:fill="D9D9D9" w:themeFill="background1" w:themeFillShade="D9"/>
          </w:tcPr>
          <w:p w14:paraId="36DD3790" w14:textId="09FF3AAD" w:rsidR="006E0117" w:rsidRPr="006E0117" w:rsidRDefault="006E0117" w:rsidP="00434CAE">
            <w:pPr>
              <w:spacing w:before="100" w:beforeAutospacing="1" w:after="100" w:afterAutospacing="1" w:line="276" w:lineRule="auto"/>
              <w:rPr>
                <w:sz w:val="22"/>
              </w:rPr>
            </w:pPr>
            <w:r w:rsidRPr="006E0117">
              <w:rPr>
                <w:sz w:val="22"/>
                <w:lang w:val="fr-BE"/>
              </w:rPr>
              <w:t>Maquereaux à l’huile d’olive</w:t>
            </w:r>
          </w:p>
        </w:tc>
        <w:tc>
          <w:tcPr>
            <w:tcW w:w="2126" w:type="dxa"/>
            <w:shd w:val="clear" w:color="auto" w:fill="auto"/>
          </w:tcPr>
          <w:p w14:paraId="1C241E2D" w14:textId="49A65CBB" w:rsidR="006E0117" w:rsidRPr="006E0117" w:rsidRDefault="006E0117" w:rsidP="00434CAE">
            <w:pPr>
              <w:spacing w:before="100" w:beforeAutospacing="1" w:after="100" w:afterAutospacing="1"/>
              <w:rPr>
                <w:sz w:val="22"/>
                <w:lang w:val="fr-BE"/>
              </w:rPr>
            </w:pPr>
            <w:r w:rsidRPr="006E0117">
              <w:rPr>
                <w:sz w:val="22"/>
                <w:lang w:val="fr-BE"/>
              </w:rPr>
              <w:t>Maquereaux à l’huile d’olive</w:t>
            </w:r>
          </w:p>
        </w:tc>
        <w:tc>
          <w:tcPr>
            <w:tcW w:w="2268" w:type="dxa"/>
            <w:shd w:val="clear" w:color="auto" w:fill="D9D9D9" w:themeFill="background1" w:themeFillShade="D9"/>
          </w:tcPr>
          <w:p w14:paraId="572E2DF6" w14:textId="7186A33D" w:rsidR="006E0117" w:rsidRPr="001B7527" w:rsidRDefault="006E0117" w:rsidP="00434CAE">
            <w:pPr>
              <w:spacing w:before="100" w:beforeAutospacing="1" w:after="100" w:afterAutospacing="1"/>
              <w:rPr>
                <w:sz w:val="22"/>
                <w:lang w:val="fr-BE"/>
              </w:rPr>
            </w:pPr>
            <w:r w:rsidRPr="001B7527">
              <w:rPr>
                <w:sz w:val="22"/>
                <w:lang w:val="fr-BE"/>
              </w:rPr>
              <w:t>Maquereaux à l’huile de tournesol</w:t>
            </w:r>
          </w:p>
        </w:tc>
      </w:tr>
      <w:tr w:rsidR="006E0117" w:rsidRPr="006E0117" w14:paraId="4FC0D435" w14:textId="21A61C1F" w:rsidTr="006E0117">
        <w:tc>
          <w:tcPr>
            <w:tcW w:w="1843" w:type="dxa"/>
            <w:shd w:val="clear" w:color="auto" w:fill="auto"/>
          </w:tcPr>
          <w:p w14:paraId="0449BD77" w14:textId="77777777" w:rsidR="006E0117" w:rsidRPr="006E0117" w:rsidRDefault="006E0117" w:rsidP="00434CAE">
            <w:pPr>
              <w:spacing w:before="100" w:beforeAutospacing="1" w:after="100" w:afterAutospacing="1" w:line="276" w:lineRule="auto"/>
              <w:rPr>
                <w:sz w:val="22"/>
              </w:rPr>
            </w:pPr>
            <w:r w:rsidRPr="006E0117">
              <w:rPr>
                <w:sz w:val="22"/>
              </w:rPr>
              <w:t>Filets de maquereau à la sauce tomate</w:t>
            </w:r>
          </w:p>
        </w:tc>
        <w:tc>
          <w:tcPr>
            <w:tcW w:w="1843" w:type="dxa"/>
            <w:shd w:val="clear" w:color="auto" w:fill="D9D9D9" w:themeFill="background1" w:themeFillShade="D9"/>
          </w:tcPr>
          <w:p w14:paraId="1BF637A1" w14:textId="77777777" w:rsidR="006E0117" w:rsidRPr="006E0117" w:rsidRDefault="006E0117" w:rsidP="00434CAE">
            <w:pPr>
              <w:spacing w:before="100" w:beforeAutospacing="1" w:after="100" w:afterAutospacing="1" w:line="276" w:lineRule="auto"/>
              <w:rPr>
                <w:sz w:val="22"/>
              </w:rPr>
            </w:pPr>
            <w:r w:rsidRPr="006E0117">
              <w:rPr>
                <w:sz w:val="22"/>
              </w:rPr>
              <w:t>Lentilles</w:t>
            </w:r>
          </w:p>
        </w:tc>
        <w:tc>
          <w:tcPr>
            <w:tcW w:w="1985" w:type="dxa"/>
            <w:shd w:val="clear" w:color="auto" w:fill="D9D9D9" w:themeFill="background1" w:themeFillShade="D9"/>
          </w:tcPr>
          <w:p w14:paraId="00733782" w14:textId="6B8B6C3F" w:rsidR="006E0117" w:rsidRPr="006E0117" w:rsidRDefault="006E0117" w:rsidP="00434CAE">
            <w:pPr>
              <w:spacing w:before="100" w:beforeAutospacing="1" w:after="100" w:afterAutospacing="1" w:line="276" w:lineRule="auto"/>
              <w:rPr>
                <w:sz w:val="22"/>
              </w:rPr>
            </w:pPr>
            <w:r w:rsidRPr="006E0117">
              <w:rPr>
                <w:sz w:val="22"/>
                <w:lang w:val="fr-BE"/>
              </w:rPr>
              <w:t>Pois chiches</w:t>
            </w:r>
          </w:p>
        </w:tc>
        <w:tc>
          <w:tcPr>
            <w:tcW w:w="2126" w:type="dxa"/>
            <w:shd w:val="clear" w:color="auto" w:fill="D9D9D9" w:themeFill="background1" w:themeFillShade="D9"/>
          </w:tcPr>
          <w:p w14:paraId="7936434E" w14:textId="0E405465" w:rsidR="006E0117" w:rsidRPr="006E0117" w:rsidRDefault="006E0117" w:rsidP="00434CAE">
            <w:pPr>
              <w:spacing w:before="100" w:beforeAutospacing="1" w:after="100" w:afterAutospacing="1"/>
              <w:rPr>
                <w:sz w:val="22"/>
                <w:lang w:val="fr-BE"/>
              </w:rPr>
            </w:pPr>
            <w:r w:rsidRPr="006E0117">
              <w:rPr>
                <w:sz w:val="22"/>
                <w:lang w:val="fr-BE"/>
              </w:rPr>
              <w:t>Haricots blancs</w:t>
            </w:r>
          </w:p>
        </w:tc>
        <w:tc>
          <w:tcPr>
            <w:tcW w:w="2268" w:type="dxa"/>
            <w:shd w:val="clear" w:color="auto" w:fill="D9D9D9" w:themeFill="background1" w:themeFillShade="D9"/>
          </w:tcPr>
          <w:p w14:paraId="7C919E5C" w14:textId="55315ECF" w:rsidR="006E0117" w:rsidRPr="001B7527" w:rsidRDefault="006E0117" w:rsidP="00434CAE">
            <w:pPr>
              <w:spacing w:before="100" w:beforeAutospacing="1" w:after="100" w:afterAutospacing="1"/>
              <w:rPr>
                <w:sz w:val="22"/>
                <w:lang w:val="fr-BE"/>
              </w:rPr>
            </w:pPr>
            <w:r w:rsidRPr="001B7527">
              <w:rPr>
                <w:sz w:val="22"/>
                <w:lang w:val="fr-BE"/>
              </w:rPr>
              <w:t>Haricots rouges</w:t>
            </w:r>
          </w:p>
        </w:tc>
      </w:tr>
      <w:tr w:rsidR="006E0117" w:rsidRPr="006E0117" w14:paraId="17152C9F" w14:textId="79752C19" w:rsidTr="0089287E">
        <w:tc>
          <w:tcPr>
            <w:tcW w:w="1843" w:type="dxa"/>
            <w:shd w:val="clear" w:color="auto" w:fill="auto"/>
          </w:tcPr>
          <w:p w14:paraId="3399E25A" w14:textId="77777777" w:rsidR="006E0117" w:rsidRPr="006E0117" w:rsidRDefault="006E0117" w:rsidP="00434CAE">
            <w:pPr>
              <w:spacing w:line="276" w:lineRule="auto"/>
              <w:rPr>
                <w:bCs/>
                <w:sz w:val="22"/>
              </w:rPr>
            </w:pPr>
            <w:r w:rsidRPr="006E0117">
              <w:rPr>
                <w:sz w:val="22"/>
              </w:rPr>
              <w:t>Carbonnades de bœuf</w:t>
            </w:r>
          </w:p>
        </w:tc>
        <w:tc>
          <w:tcPr>
            <w:tcW w:w="1843" w:type="dxa"/>
            <w:shd w:val="clear" w:color="auto" w:fill="D9D9D9" w:themeFill="background1" w:themeFillShade="D9"/>
          </w:tcPr>
          <w:p w14:paraId="318D5C28" w14:textId="77777777" w:rsidR="006E0117" w:rsidRPr="006E0117" w:rsidRDefault="006E0117" w:rsidP="00434CAE">
            <w:pPr>
              <w:spacing w:line="276" w:lineRule="auto"/>
              <w:rPr>
                <w:bCs/>
                <w:sz w:val="22"/>
              </w:rPr>
            </w:pPr>
            <w:r w:rsidRPr="006E0117">
              <w:rPr>
                <w:bCs/>
                <w:sz w:val="22"/>
              </w:rPr>
              <w:t>Poulet en sauce</w:t>
            </w:r>
          </w:p>
        </w:tc>
        <w:tc>
          <w:tcPr>
            <w:tcW w:w="1985" w:type="dxa"/>
            <w:shd w:val="clear" w:color="auto" w:fill="auto"/>
          </w:tcPr>
          <w:p w14:paraId="30CEC3C7" w14:textId="3A1FDDE1" w:rsidR="006E0117" w:rsidRPr="006E0117" w:rsidRDefault="006E0117" w:rsidP="00434CAE">
            <w:pPr>
              <w:spacing w:line="276" w:lineRule="auto"/>
              <w:rPr>
                <w:bCs/>
                <w:sz w:val="22"/>
              </w:rPr>
            </w:pPr>
            <w:r w:rsidRPr="006E0117">
              <w:rPr>
                <w:sz w:val="22"/>
                <w:lang w:val="fr-BE"/>
              </w:rPr>
              <w:t>Poulet en sauce</w:t>
            </w:r>
          </w:p>
        </w:tc>
        <w:tc>
          <w:tcPr>
            <w:tcW w:w="2126" w:type="dxa"/>
            <w:shd w:val="clear" w:color="auto" w:fill="D9D9D9" w:themeFill="background1" w:themeFillShade="D9"/>
          </w:tcPr>
          <w:p w14:paraId="516E375E" w14:textId="54F24DBA" w:rsidR="006E0117" w:rsidRPr="006E0117" w:rsidRDefault="006E0117" w:rsidP="00434CAE">
            <w:pPr>
              <w:rPr>
                <w:sz w:val="22"/>
                <w:lang w:val="fr-BE"/>
              </w:rPr>
            </w:pPr>
            <w:r w:rsidRPr="006E0117">
              <w:rPr>
                <w:sz w:val="22"/>
                <w:lang w:val="fr-BE"/>
              </w:rPr>
              <w:t>Poulet aux olives et citron</w:t>
            </w:r>
          </w:p>
        </w:tc>
        <w:tc>
          <w:tcPr>
            <w:tcW w:w="2268" w:type="dxa"/>
            <w:shd w:val="clear" w:color="auto" w:fill="FFFFFF" w:themeFill="background1"/>
          </w:tcPr>
          <w:p w14:paraId="1F29C4E1" w14:textId="620F0A95" w:rsidR="006E0117" w:rsidRPr="001B7527" w:rsidRDefault="006E0117" w:rsidP="00434CAE">
            <w:pPr>
              <w:rPr>
                <w:sz w:val="22"/>
                <w:lang w:val="fr-BE"/>
              </w:rPr>
            </w:pPr>
            <w:r w:rsidRPr="001B7527">
              <w:rPr>
                <w:sz w:val="22"/>
                <w:lang w:val="fr-BE"/>
              </w:rPr>
              <w:t>Poulet aux olives et citron</w:t>
            </w:r>
          </w:p>
        </w:tc>
      </w:tr>
      <w:tr w:rsidR="006E0117" w:rsidRPr="006E0117" w14:paraId="1FCF792E" w14:textId="2072A0B7" w:rsidTr="0089287E">
        <w:tc>
          <w:tcPr>
            <w:tcW w:w="1843" w:type="dxa"/>
            <w:shd w:val="clear" w:color="auto" w:fill="auto"/>
          </w:tcPr>
          <w:p w14:paraId="225D8B2F" w14:textId="77777777" w:rsidR="006E0117" w:rsidRPr="006E0117" w:rsidRDefault="006E0117" w:rsidP="006E0117">
            <w:pPr>
              <w:spacing w:line="276" w:lineRule="auto"/>
              <w:rPr>
                <w:bCs/>
                <w:sz w:val="22"/>
              </w:rPr>
            </w:pPr>
            <w:r w:rsidRPr="006E0117">
              <w:rPr>
                <w:sz w:val="22"/>
              </w:rPr>
              <w:t>Macaronis</w:t>
            </w:r>
          </w:p>
        </w:tc>
        <w:tc>
          <w:tcPr>
            <w:tcW w:w="1843" w:type="dxa"/>
            <w:shd w:val="clear" w:color="auto" w:fill="D9D9D9" w:themeFill="background1" w:themeFillShade="D9"/>
          </w:tcPr>
          <w:p w14:paraId="79B13F1F" w14:textId="77777777" w:rsidR="006E0117" w:rsidRPr="006E0117" w:rsidRDefault="006E0117" w:rsidP="006E0117">
            <w:pPr>
              <w:spacing w:line="276" w:lineRule="auto"/>
              <w:rPr>
                <w:bCs/>
                <w:sz w:val="22"/>
              </w:rPr>
            </w:pPr>
            <w:r w:rsidRPr="006E0117">
              <w:rPr>
                <w:bCs/>
                <w:sz w:val="22"/>
              </w:rPr>
              <w:t xml:space="preserve">2 types de pâtes: spaghetti et </w:t>
            </w:r>
            <w:proofErr w:type="spellStart"/>
            <w:r w:rsidRPr="006E0117">
              <w:rPr>
                <w:bCs/>
                <w:sz w:val="22"/>
              </w:rPr>
              <w:t>spirelli</w:t>
            </w:r>
            <w:proofErr w:type="spellEnd"/>
            <w:r w:rsidRPr="006E0117">
              <w:rPr>
                <w:bCs/>
                <w:sz w:val="22"/>
              </w:rPr>
              <w:t xml:space="preserve"> </w:t>
            </w:r>
          </w:p>
        </w:tc>
        <w:tc>
          <w:tcPr>
            <w:tcW w:w="1985" w:type="dxa"/>
            <w:shd w:val="clear" w:color="auto" w:fill="D9D9D9" w:themeFill="background1" w:themeFillShade="D9"/>
          </w:tcPr>
          <w:p w14:paraId="44E13B97" w14:textId="0CC25723" w:rsidR="006E0117" w:rsidRPr="006E0117" w:rsidRDefault="006E0117" w:rsidP="006E0117">
            <w:pPr>
              <w:spacing w:line="276" w:lineRule="auto"/>
              <w:rPr>
                <w:bCs/>
                <w:sz w:val="22"/>
              </w:rPr>
            </w:pPr>
            <w:r w:rsidRPr="006E0117">
              <w:rPr>
                <w:bCs/>
                <w:sz w:val="22"/>
              </w:rPr>
              <w:t>Pâtes : Penne</w:t>
            </w:r>
          </w:p>
        </w:tc>
        <w:tc>
          <w:tcPr>
            <w:tcW w:w="2126" w:type="dxa"/>
            <w:shd w:val="clear" w:color="auto" w:fill="D9D9D9" w:themeFill="background1" w:themeFillShade="D9"/>
          </w:tcPr>
          <w:p w14:paraId="4B4ED56F" w14:textId="7615D8BB" w:rsidR="006E0117" w:rsidRPr="006E0117" w:rsidRDefault="006E0117" w:rsidP="006E0117">
            <w:pPr>
              <w:rPr>
                <w:bCs/>
                <w:sz w:val="22"/>
              </w:rPr>
            </w:pPr>
            <w:r w:rsidRPr="006E0117">
              <w:rPr>
                <w:bCs/>
                <w:sz w:val="22"/>
              </w:rPr>
              <w:t>Pâtes : spag</w:t>
            </w:r>
            <w:r>
              <w:rPr>
                <w:bCs/>
                <w:sz w:val="22"/>
              </w:rPr>
              <w:t>h</w:t>
            </w:r>
            <w:r w:rsidRPr="006E0117">
              <w:rPr>
                <w:bCs/>
                <w:sz w:val="22"/>
              </w:rPr>
              <w:t>etti biologiques</w:t>
            </w:r>
          </w:p>
        </w:tc>
        <w:tc>
          <w:tcPr>
            <w:tcW w:w="2268" w:type="dxa"/>
            <w:shd w:val="clear" w:color="auto" w:fill="FFFFFF" w:themeFill="background1"/>
          </w:tcPr>
          <w:p w14:paraId="688C5010" w14:textId="1A6C4151" w:rsidR="006E0117" w:rsidRPr="001B7527" w:rsidRDefault="006E0117" w:rsidP="006E0117">
            <w:pPr>
              <w:rPr>
                <w:bCs/>
                <w:sz w:val="22"/>
              </w:rPr>
            </w:pPr>
            <w:r w:rsidRPr="001B7527">
              <w:rPr>
                <w:bCs/>
                <w:sz w:val="22"/>
              </w:rPr>
              <w:t>Pâtes : spaghetti biologiques</w:t>
            </w:r>
          </w:p>
        </w:tc>
      </w:tr>
      <w:tr w:rsidR="006E0117" w:rsidRPr="006E0117" w14:paraId="73635E99" w14:textId="69E86FDE" w:rsidTr="006E0117">
        <w:tc>
          <w:tcPr>
            <w:tcW w:w="1843" w:type="dxa"/>
            <w:shd w:val="clear" w:color="auto" w:fill="auto"/>
          </w:tcPr>
          <w:p w14:paraId="7568A95B" w14:textId="77777777" w:rsidR="006E0117" w:rsidRPr="006E0117" w:rsidRDefault="006E0117" w:rsidP="006E0117">
            <w:pPr>
              <w:spacing w:before="100" w:beforeAutospacing="1" w:after="100" w:afterAutospacing="1" w:line="276" w:lineRule="auto"/>
              <w:rPr>
                <w:sz w:val="22"/>
              </w:rPr>
            </w:pPr>
            <w:r w:rsidRPr="006E0117">
              <w:rPr>
                <w:sz w:val="22"/>
              </w:rPr>
              <w:t xml:space="preserve">Flocons de pommes de terre </w:t>
            </w:r>
          </w:p>
        </w:tc>
        <w:tc>
          <w:tcPr>
            <w:tcW w:w="1843" w:type="dxa"/>
            <w:shd w:val="clear" w:color="auto" w:fill="D9D9D9" w:themeFill="background1" w:themeFillShade="D9"/>
          </w:tcPr>
          <w:p w14:paraId="4B360B7C" w14:textId="77777777" w:rsidR="006E0117" w:rsidRPr="006E0117" w:rsidRDefault="006E0117" w:rsidP="006E0117">
            <w:pPr>
              <w:spacing w:before="100" w:beforeAutospacing="1" w:after="100" w:afterAutospacing="1" w:line="276" w:lineRule="auto"/>
              <w:rPr>
                <w:sz w:val="22"/>
              </w:rPr>
            </w:pPr>
            <w:r w:rsidRPr="006E0117">
              <w:rPr>
                <w:sz w:val="22"/>
              </w:rPr>
              <w:t>Semoule</w:t>
            </w:r>
          </w:p>
        </w:tc>
        <w:tc>
          <w:tcPr>
            <w:tcW w:w="1985" w:type="dxa"/>
            <w:shd w:val="clear" w:color="auto" w:fill="D9D9D9" w:themeFill="background1" w:themeFillShade="D9"/>
          </w:tcPr>
          <w:p w14:paraId="204A83C8" w14:textId="04E2E51F" w:rsidR="006E0117" w:rsidRPr="006E0117" w:rsidRDefault="006E0117" w:rsidP="006E0117">
            <w:pPr>
              <w:spacing w:before="100" w:beforeAutospacing="1" w:after="100" w:afterAutospacing="1" w:line="276" w:lineRule="auto"/>
              <w:rPr>
                <w:sz w:val="22"/>
              </w:rPr>
            </w:pPr>
            <w:r w:rsidRPr="006E0117">
              <w:rPr>
                <w:sz w:val="22"/>
              </w:rPr>
              <w:t>Pâtes Farfalle</w:t>
            </w:r>
          </w:p>
        </w:tc>
        <w:tc>
          <w:tcPr>
            <w:tcW w:w="2126" w:type="dxa"/>
            <w:shd w:val="clear" w:color="auto" w:fill="auto"/>
          </w:tcPr>
          <w:p w14:paraId="159C3752" w14:textId="5BA50D0F" w:rsidR="006E0117" w:rsidRPr="006E0117" w:rsidRDefault="006E0117" w:rsidP="006E0117">
            <w:pPr>
              <w:spacing w:before="100" w:beforeAutospacing="1" w:after="100" w:afterAutospacing="1"/>
              <w:rPr>
                <w:sz w:val="22"/>
              </w:rPr>
            </w:pPr>
            <w:r w:rsidRPr="006E0117">
              <w:rPr>
                <w:sz w:val="22"/>
              </w:rPr>
              <w:t>Pâtes : coquillettes</w:t>
            </w:r>
          </w:p>
        </w:tc>
        <w:tc>
          <w:tcPr>
            <w:tcW w:w="2268" w:type="dxa"/>
          </w:tcPr>
          <w:p w14:paraId="151893BC" w14:textId="309324F3" w:rsidR="006E0117" w:rsidRPr="001B7527" w:rsidRDefault="006E0117" w:rsidP="006E0117">
            <w:pPr>
              <w:spacing w:before="100" w:beforeAutospacing="1" w:after="100" w:afterAutospacing="1"/>
              <w:rPr>
                <w:sz w:val="22"/>
              </w:rPr>
            </w:pPr>
            <w:r w:rsidRPr="001B7527">
              <w:rPr>
                <w:sz w:val="22"/>
              </w:rPr>
              <w:t>Pâtes : proposition libre</w:t>
            </w:r>
          </w:p>
        </w:tc>
      </w:tr>
      <w:tr w:rsidR="006E0117" w:rsidRPr="006E0117" w14:paraId="5A468F69" w14:textId="6AE83EFA" w:rsidTr="006E0117">
        <w:tc>
          <w:tcPr>
            <w:tcW w:w="1843" w:type="dxa"/>
            <w:shd w:val="clear" w:color="auto" w:fill="auto"/>
          </w:tcPr>
          <w:p w14:paraId="46310985" w14:textId="77777777" w:rsidR="006E0117" w:rsidRPr="006E0117" w:rsidRDefault="006E0117" w:rsidP="006E0117">
            <w:pPr>
              <w:spacing w:before="100" w:beforeAutospacing="1" w:after="100" w:afterAutospacing="1" w:line="276" w:lineRule="auto"/>
              <w:rPr>
                <w:bCs/>
                <w:sz w:val="22"/>
              </w:rPr>
            </w:pPr>
            <w:r w:rsidRPr="006E0117">
              <w:rPr>
                <w:sz w:val="22"/>
              </w:rPr>
              <w:t xml:space="preserve">Tomates pelées </w:t>
            </w:r>
          </w:p>
        </w:tc>
        <w:tc>
          <w:tcPr>
            <w:tcW w:w="1843" w:type="dxa"/>
          </w:tcPr>
          <w:p w14:paraId="6247098F" w14:textId="77777777" w:rsidR="006E0117" w:rsidRPr="006E0117" w:rsidRDefault="006E0117" w:rsidP="006E0117">
            <w:pPr>
              <w:spacing w:before="100" w:beforeAutospacing="1" w:after="100" w:afterAutospacing="1" w:line="276" w:lineRule="auto"/>
              <w:rPr>
                <w:bCs/>
                <w:sz w:val="22"/>
              </w:rPr>
            </w:pPr>
            <w:r w:rsidRPr="006E0117">
              <w:rPr>
                <w:bCs/>
                <w:sz w:val="22"/>
              </w:rPr>
              <w:t>Tomates pelées</w:t>
            </w:r>
          </w:p>
        </w:tc>
        <w:tc>
          <w:tcPr>
            <w:tcW w:w="1985" w:type="dxa"/>
          </w:tcPr>
          <w:p w14:paraId="6DCA4D8D" w14:textId="3A407AB3" w:rsidR="006E0117" w:rsidRPr="006E0117" w:rsidRDefault="006E0117" w:rsidP="006E0117">
            <w:pPr>
              <w:spacing w:before="100" w:beforeAutospacing="1" w:after="100" w:afterAutospacing="1" w:line="276" w:lineRule="auto"/>
              <w:rPr>
                <w:bCs/>
                <w:sz w:val="22"/>
              </w:rPr>
            </w:pPr>
            <w:r w:rsidRPr="006E0117">
              <w:rPr>
                <w:bCs/>
                <w:sz w:val="22"/>
              </w:rPr>
              <w:t>Tomates pelées</w:t>
            </w:r>
          </w:p>
        </w:tc>
        <w:tc>
          <w:tcPr>
            <w:tcW w:w="2126" w:type="dxa"/>
            <w:shd w:val="clear" w:color="auto" w:fill="auto"/>
          </w:tcPr>
          <w:p w14:paraId="7D1DC454" w14:textId="3F6B220B" w:rsidR="006E0117" w:rsidRPr="006E0117" w:rsidRDefault="006E0117" w:rsidP="006E0117">
            <w:pPr>
              <w:spacing w:before="100" w:beforeAutospacing="1" w:after="100" w:afterAutospacing="1"/>
              <w:rPr>
                <w:bCs/>
                <w:sz w:val="22"/>
              </w:rPr>
            </w:pPr>
            <w:r w:rsidRPr="006E0117">
              <w:rPr>
                <w:bCs/>
                <w:sz w:val="22"/>
              </w:rPr>
              <w:t>Tomates pelées</w:t>
            </w:r>
          </w:p>
        </w:tc>
        <w:tc>
          <w:tcPr>
            <w:tcW w:w="2268" w:type="dxa"/>
          </w:tcPr>
          <w:p w14:paraId="6AC4F90D" w14:textId="143F194A" w:rsidR="006E0117" w:rsidRPr="001B7527" w:rsidRDefault="006E0117" w:rsidP="006E0117">
            <w:pPr>
              <w:spacing w:before="100" w:beforeAutospacing="1" w:after="100" w:afterAutospacing="1"/>
              <w:rPr>
                <w:bCs/>
                <w:sz w:val="22"/>
              </w:rPr>
            </w:pPr>
            <w:r w:rsidRPr="001B7527">
              <w:rPr>
                <w:bCs/>
                <w:sz w:val="22"/>
              </w:rPr>
              <w:t>Tomates pelées</w:t>
            </w:r>
          </w:p>
        </w:tc>
      </w:tr>
      <w:tr w:rsidR="006E0117" w:rsidRPr="006E0117" w14:paraId="2D78C2A5" w14:textId="219347DC" w:rsidTr="006E0117">
        <w:tc>
          <w:tcPr>
            <w:tcW w:w="1843" w:type="dxa"/>
            <w:shd w:val="clear" w:color="auto" w:fill="7F7F7F" w:themeFill="text1" w:themeFillTint="80"/>
          </w:tcPr>
          <w:p w14:paraId="5FF88E87" w14:textId="77777777" w:rsidR="006E0117" w:rsidRPr="006E0117" w:rsidRDefault="006E0117" w:rsidP="006E0117">
            <w:pPr>
              <w:spacing w:before="100" w:beforeAutospacing="1" w:after="100" w:afterAutospacing="1" w:line="276" w:lineRule="auto"/>
              <w:rPr>
                <w:bCs/>
                <w:sz w:val="22"/>
              </w:rPr>
            </w:pPr>
            <w:r w:rsidRPr="006E0117">
              <w:rPr>
                <w:sz w:val="22"/>
              </w:rPr>
              <w:t xml:space="preserve">Petits pois et carottes </w:t>
            </w:r>
          </w:p>
        </w:tc>
        <w:tc>
          <w:tcPr>
            <w:tcW w:w="1843" w:type="dxa"/>
            <w:shd w:val="clear" w:color="auto" w:fill="D9D9D9" w:themeFill="background1" w:themeFillShade="D9"/>
          </w:tcPr>
          <w:p w14:paraId="5D80B3A6" w14:textId="77777777" w:rsidR="006E0117" w:rsidRPr="006E0117" w:rsidRDefault="006E0117" w:rsidP="006E0117">
            <w:pPr>
              <w:spacing w:before="100" w:beforeAutospacing="1" w:after="100" w:afterAutospacing="1" w:line="276" w:lineRule="auto"/>
              <w:rPr>
                <w:bCs/>
                <w:sz w:val="22"/>
              </w:rPr>
            </w:pPr>
            <w:r w:rsidRPr="006E0117">
              <w:rPr>
                <w:sz w:val="22"/>
              </w:rPr>
              <w:t>Haricots verts très fins</w:t>
            </w:r>
          </w:p>
        </w:tc>
        <w:tc>
          <w:tcPr>
            <w:tcW w:w="1985" w:type="dxa"/>
            <w:shd w:val="clear" w:color="auto" w:fill="D9D9D9" w:themeFill="background1" w:themeFillShade="D9"/>
          </w:tcPr>
          <w:p w14:paraId="04B1CC0B" w14:textId="5A330FD0" w:rsidR="006E0117" w:rsidRPr="006E0117" w:rsidRDefault="006E0117" w:rsidP="006E0117">
            <w:pPr>
              <w:spacing w:before="100" w:beforeAutospacing="1" w:after="100" w:afterAutospacing="1" w:line="276" w:lineRule="auto"/>
              <w:rPr>
                <w:sz w:val="22"/>
              </w:rPr>
            </w:pPr>
            <w:r w:rsidRPr="006E0117">
              <w:rPr>
                <w:sz w:val="22"/>
              </w:rPr>
              <w:t>Haricots verts très fins</w:t>
            </w:r>
          </w:p>
        </w:tc>
        <w:tc>
          <w:tcPr>
            <w:tcW w:w="2126" w:type="dxa"/>
            <w:shd w:val="clear" w:color="auto" w:fill="auto"/>
          </w:tcPr>
          <w:p w14:paraId="33491551" w14:textId="0C05E826" w:rsidR="006E0117" w:rsidRPr="006E0117" w:rsidRDefault="006E0117" w:rsidP="006E0117">
            <w:pPr>
              <w:spacing w:before="100" w:beforeAutospacing="1" w:after="100" w:afterAutospacing="1"/>
              <w:rPr>
                <w:sz w:val="22"/>
              </w:rPr>
            </w:pPr>
            <w:r w:rsidRPr="006E0117">
              <w:rPr>
                <w:sz w:val="22"/>
              </w:rPr>
              <w:t>Haricots verts très fins</w:t>
            </w:r>
          </w:p>
        </w:tc>
        <w:tc>
          <w:tcPr>
            <w:tcW w:w="2268" w:type="dxa"/>
          </w:tcPr>
          <w:p w14:paraId="2A387833" w14:textId="53B9FA1B" w:rsidR="006E0117" w:rsidRPr="001B7527" w:rsidRDefault="006E0117" w:rsidP="006E0117">
            <w:pPr>
              <w:spacing w:before="100" w:beforeAutospacing="1" w:after="100" w:afterAutospacing="1"/>
              <w:rPr>
                <w:sz w:val="22"/>
              </w:rPr>
            </w:pPr>
            <w:r w:rsidRPr="001B7527">
              <w:rPr>
                <w:sz w:val="22"/>
              </w:rPr>
              <w:t>Haricots verts très fins</w:t>
            </w:r>
          </w:p>
        </w:tc>
      </w:tr>
      <w:tr w:rsidR="006E0117" w:rsidRPr="006E0117" w14:paraId="3FE32D61" w14:textId="5367F59F" w:rsidTr="006E0117">
        <w:tc>
          <w:tcPr>
            <w:tcW w:w="1843" w:type="dxa"/>
            <w:shd w:val="clear" w:color="auto" w:fill="auto"/>
          </w:tcPr>
          <w:p w14:paraId="0CCFF788" w14:textId="77777777" w:rsidR="006E0117" w:rsidRPr="006E0117" w:rsidRDefault="006E0117" w:rsidP="006E0117">
            <w:pPr>
              <w:spacing w:before="100" w:beforeAutospacing="1" w:after="100" w:afterAutospacing="1" w:line="276" w:lineRule="auto"/>
              <w:rPr>
                <w:bCs/>
                <w:sz w:val="22"/>
              </w:rPr>
            </w:pPr>
            <w:r w:rsidRPr="006E0117">
              <w:rPr>
                <w:sz w:val="22"/>
              </w:rPr>
              <w:t>Champignons</w:t>
            </w:r>
          </w:p>
        </w:tc>
        <w:tc>
          <w:tcPr>
            <w:tcW w:w="1843" w:type="dxa"/>
            <w:shd w:val="clear" w:color="auto" w:fill="D9D9D9" w:themeFill="background1" w:themeFillShade="D9"/>
          </w:tcPr>
          <w:p w14:paraId="2157C9BD" w14:textId="77777777" w:rsidR="006E0117" w:rsidRPr="006E0117" w:rsidRDefault="006E0117" w:rsidP="006E0117">
            <w:pPr>
              <w:spacing w:before="100" w:beforeAutospacing="1" w:after="100" w:afterAutospacing="1" w:line="276" w:lineRule="auto"/>
              <w:rPr>
                <w:bCs/>
                <w:sz w:val="22"/>
              </w:rPr>
            </w:pPr>
            <w:r w:rsidRPr="006E0117">
              <w:rPr>
                <w:bCs/>
                <w:sz w:val="22"/>
              </w:rPr>
              <w:t>Fromage fond de type vache qui rit</w:t>
            </w:r>
          </w:p>
        </w:tc>
        <w:tc>
          <w:tcPr>
            <w:tcW w:w="1985" w:type="dxa"/>
            <w:shd w:val="clear" w:color="auto" w:fill="D9D9D9" w:themeFill="background1" w:themeFillShade="D9"/>
          </w:tcPr>
          <w:p w14:paraId="395B8223" w14:textId="38BF908E" w:rsidR="006E0117" w:rsidRPr="006E0117" w:rsidRDefault="006E0117" w:rsidP="006E0117">
            <w:pPr>
              <w:spacing w:before="100" w:beforeAutospacing="1" w:after="100" w:afterAutospacing="1" w:line="276" w:lineRule="auto"/>
              <w:rPr>
                <w:bCs/>
                <w:sz w:val="22"/>
              </w:rPr>
            </w:pPr>
            <w:r w:rsidRPr="006E0117">
              <w:rPr>
                <w:bCs/>
                <w:sz w:val="22"/>
              </w:rPr>
              <w:t>Fromage fond de type vache qui rit</w:t>
            </w:r>
          </w:p>
        </w:tc>
        <w:tc>
          <w:tcPr>
            <w:tcW w:w="2126" w:type="dxa"/>
            <w:shd w:val="clear" w:color="auto" w:fill="auto"/>
          </w:tcPr>
          <w:p w14:paraId="0AE67C09" w14:textId="59A7BFB6" w:rsidR="006E0117" w:rsidRPr="006E0117" w:rsidRDefault="006E0117" w:rsidP="006E0117">
            <w:pPr>
              <w:spacing w:before="100" w:beforeAutospacing="1" w:after="100" w:afterAutospacing="1"/>
              <w:rPr>
                <w:bCs/>
                <w:sz w:val="22"/>
              </w:rPr>
            </w:pPr>
            <w:r w:rsidRPr="006E0117">
              <w:rPr>
                <w:bCs/>
                <w:sz w:val="22"/>
              </w:rPr>
              <w:t>Fromage fond de type vache qui rit</w:t>
            </w:r>
          </w:p>
        </w:tc>
        <w:tc>
          <w:tcPr>
            <w:tcW w:w="2268" w:type="dxa"/>
          </w:tcPr>
          <w:p w14:paraId="5646BE56" w14:textId="20BCCFED" w:rsidR="006E0117" w:rsidRPr="001B7527" w:rsidRDefault="006E0117" w:rsidP="006E0117">
            <w:pPr>
              <w:spacing w:before="100" w:beforeAutospacing="1" w:after="100" w:afterAutospacing="1"/>
              <w:rPr>
                <w:bCs/>
                <w:sz w:val="22"/>
              </w:rPr>
            </w:pPr>
            <w:r w:rsidRPr="001B7527">
              <w:rPr>
                <w:bCs/>
                <w:sz w:val="22"/>
              </w:rPr>
              <w:t>Fromage fond de type vache qui rit</w:t>
            </w:r>
          </w:p>
        </w:tc>
      </w:tr>
      <w:tr w:rsidR="006E0117" w:rsidRPr="006E0117" w14:paraId="2B63F7F3" w14:textId="7300C075" w:rsidTr="006E0117">
        <w:tc>
          <w:tcPr>
            <w:tcW w:w="1843" w:type="dxa"/>
            <w:shd w:val="clear" w:color="auto" w:fill="auto"/>
          </w:tcPr>
          <w:p w14:paraId="0950B44A" w14:textId="77777777" w:rsidR="006E0117" w:rsidRPr="006E0117" w:rsidRDefault="006E0117" w:rsidP="006E0117">
            <w:pPr>
              <w:spacing w:before="100" w:beforeAutospacing="1" w:after="100" w:afterAutospacing="1" w:line="276" w:lineRule="auto"/>
              <w:rPr>
                <w:bCs/>
                <w:sz w:val="22"/>
              </w:rPr>
            </w:pPr>
            <w:r w:rsidRPr="006E0117">
              <w:rPr>
                <w:sz w:val="22"/>
              </w:rPr>
              <w:lastRenderedPageBreak/>
              <w:t>Cocktail de fruit au sirop léger</w:t>
            </w:r>
          </w:p>
        </w:tc>
        <w:tc>
          <w:tcPr>
            <w:tcW w:w="1843" w:type="dxa"/>
            <w:shd w:val="clear" w:color="auto" w:fill="D9D9D9" w:themeFill="background1" w:themeFillShade="D9"/>
          </w:tcPr>
          <w:p w14:paraId="78212A62" w14:textId="77777777" w:rsidR="006E0117" w:rsidRPr="006E0117" w:rsidRDefault="006E0117" w:rsidP="006E0117">
            <w:pPr>
              <w:spacing w:before="100" w:beforeAutospacing="1" w:after="100" w:afterAutospacing="1" w:line="276" w:lineRule="auto"/>
              <w:rPr>
                <w:bCs/>
                <w:sz w:val="22"/>
              </w:rPr>
            </w:pPr>
            <w:r w:rsidRPr="006E0117">
              <w:rPr>
                <w:bCs/>
                <w:sz w:val="22"/>
              </w:rPr>
              <w:t>Mousseline de pommes</w:t>
            </w:r>
          </w:p>
        </w:tc>
        <w:tc>
          <w:tcPr>
            <w:tcW w:w="1985" w:type="dxa"/>
            <w:shd w:val="clear" w:color="auto" w:fill="D9D9D9" w:themeFill="background1" w:themeFillShade="D9"/>
          </w:tcPr>
          <w:p w14:paraId="33F2DBF6" w14:textId="1F18CF0B" w:rsidR="006E0117" w:rsidRPr="006E0117" w:rsidRDefault="006E0117" w:rsidP="006E0117">
            <w:pPr>
              <w:spacing w:before="100" w:beforeAutospacing="1" w:after="100" w:afterAutospacing="1" w:line="276" w:lineRule="auto"/>
              <w:rPr>
                <w:bCs/>
                <w:sz w:val="22"/>
              </w:rPr>
            </w:pPr>
            <w:r w:rsidRPr="006E0117">
              <w:rPr>
                <w:bCs/>
                <w:sz w:val="22"/>
              </w:rPr>
              <w:t>Mousseline de pommes</w:t>
            </w:r>
          </w:p>
        </w:tc>
        <w:tc>
          <w:tcPr>
            <w:tcW w:w="2126" w:type="dxa"/>
            <w:shd w:val="clear" w:color="auto" w:fill="auto"/>
          </w:tcPr>
          <w:p w14:paraId="4360D41C" w14:textId="2DCB8382" w:rsidR="006E0117" w:rsidRPr="006E0117" w:rsidRDefault="006E0117" w:rsidP="006E0117">
            <w:pPr>
              <w:spacing w:before="100" w:beforeAutospacing="1" w:after="100" w:afterAutospacing="1"/>
              <w:rPr>
                <w:bCs/>
                <w:sz w:val="22"/>
              </w:rPr>
            </w:pPr>
            <w:r w:rsidRPr="006E0117">
              <w:rPr>
                <w:bCs/>
                <w:sz w:val="22"/>
              </w:rPr>
              <w:t>Mousseline de pommes</w:t>
            </w:r>
          </w:p>
        </w:tc>
        <w:tc>
          <w:tcPr>
            <w:tcW w:w="2268" w:type="dxa"/>
          </w:tcPr>
          <w:p w14:paraId="7EE432D3" w14:textId="06818314" w:rsidR="006E0117" w:rsidRPr="001B7527" w:rsidRDefault="006E0117" w:rsidP="006E0117">
            <w:pPr>
              <w:spacing w:before="100" w:beforeAutospacing="1" w:after="100" w:afterAutospacing="1"/>
              <w:rPr>
                <w:bCs/>
                <w:sz w:val="22"/>
              </w:rPr>
            </w:pPr>
            <w:r w:rsidRPr="001B7527">
              <w:rPr>
                <w:bCs/>
                <w:sz w:val="22"/>
              </w:rPr>
              <w:t>Mousseline de pommes</w:t>
            </w:r>
          </w:p>
        </w:tc>
      </w:tr>
      <w:tr w:rsidR="006E0117" w:rsidRPr="006E0117" w14:paraId="358BFF24" w14:textId="137EBF44" w:rsidTr="006E0117">
        <w:tc>
          <w:tcPr>
            <w:tcW w:w="1843" w:type="dxa"/>
            <w:shd w:val="clear" w:color="auto" w:fill="auto"/>
          </w:tcPr>
          <w:p w14:paraId="352BF2FB" w14:textId="77777777" w:rsidR="006E0117" w:rsidRPr="006E0117" w:rsidRDefault="006E0117" w:rsidP="006E0117">
            <w:pPr>
              <w:spacing w:line="276" w:lineRule="auto"/>
              <w:rPr>
                <w:sz w:val="22"/>
              </w:rPr>
            </w:pPr>
            <w:r w:rsidRPr="006E0117">
              <w:rPr>
                <w:sz w:val="22"/>
              </w:rPr>
              <w:t>Huile d'arachide</w:t>
            </w:r>
          </w:p>
        </w:tc>
        <w:tc>
          <w:tcPr>
            <w:tcW w:w="1843" w:type="dxa"/>
            <w:shd w:val="clear" w:color="auto" w:fill="D9D9D9" w:themeFill="background1" w:themeFillShade="D9"/>
          </w:tcPr>
          <w:p w14:paraId="72154885" w14:textId="77777777" w:rsidR="006E0117" w:rsidRPr="006E0117" w:rsidRDefault="006E0117" w:rsidP="006E0117">
            <w:pPr>
              <w:spacing w:line="276" w:lineRule="auto"/>
              <w:rPr>
                <w:sz w:val="22"/>
              </w:rPr>
            </w:pPr>
            <w:r w:rsidRPr="006E0117">
              <w:rPr>
                <w:sz w:val="22"/>
              </w:rPr>
              <w:t>Huile d’olive</w:t>
            </w:r>
          </w:p>
        </w:tc>
        <w:tc>
          <w:tcPr>
            <w:tcW w:w="1985" w:type="dxa"/>
            <w:shd w:val="clear" w:color="auto" w:fill="D9D9D9" w:themeFill="background1" w:themeFillShade="D9"/>
          </w:tcPr>
          <w:p w14:paraId="54D3F1A5" w14:textId="5AD564CD" w:rsidR="006E0117" w:rsidRPr="006E0117" w:rsidRDefault="006E0117" w:rsidP="006E0117">
            <w:pPr>
              <w:spacing w:line="276" w:lineRule="auto"/>
              <w:rPr>
                <w:sz w:val="22"/>
              </w:rPr>
            </w:pPr>
            <w:r w:rsidRPr="006E0117">
              <w:rPr>
                <w:sz w:val="22"/>
              </w:rPr>
              <w:t>Huile d’olive</w:t>
            </w:r>
          </w:p>
        </w:tc>
        <w:tc>
          <w:tcPr>
            <w:tcW w:w="2126" w:type="dxa"/>
            <w:shd w:val="clear" w:color="auto" w:fill="auto"/>
          </w:tcPr>
          <w:p w14:paraId="052FB02F" w14:textId="220C8BB9" w:rsidR="006E0117" w:rsidRPr="006E0117" w:rsidRDefault="006E0117" w:rsidP="006E0117">
            <w:pPr>
              <w:rPr>
                <w:sz w:val="22"/>
              </w:rPr>
            </w:pPr>
            <w:r w:rsidRPr="006E0117">
              <w:rPr>
                <w:sz w:val="22"/>
              </w:rPr>
              <w:t>Huile d’olive</w:t>
            </w:r>
          </w:p>
        </w:tc>
        <w:tc>
          <w:tcPr>
            <w:tcW w:w="2268" w:type="dxa"/>
          </w:tcPr>
          <w:p w14:paraId="007C5BDD" w14:textId="318E50C9" w:rsidR="006E0117" w:rsidRPr="001B7527" w:rsidRDefault="006E0117" w:rsidP="006E0117">
            <w:pPr>
              <w:rPr>
                <w:sz w:val="22"/>
              </w:rPr>
            </w:pPr>
            <w:r w:rsidRPr="001B7527">
              <w:rPr>
                <w:sz w:val="22"/>
              </w:rPr>
              <w:t>Huile d’olive</w:t>
            </w:r>
          </w:p>
        </w:tc>
      </w:tr>
      <w:tr w:rsidR="006E0117" w:rsidRPr="006E0117" w14:paraId="08653ED4" w14:textId="3DDCDDB0" w:rsidTr="006E0117">
        <w:tc>
          <w:tcPr>
            <w:tcW w:w="1843" w:type="dxa"/>
            <w:shd w:val="clear" w:color="auto" w:fill="auto"/>
          </w:tcPr>
          <w:p w14:paraId="56C7E669" w14:textId="77777777" w:rsidR="006E0117" w:rsidRPr="006E0117" w:rsidRDefault="006E0117" w:rsidP="006E0117">
            <w:pPr>
              <w:spacing w:line="276" w:lineRule="auto"/>
              <w:rPr>
                <w:bCs/>
                <w:sz w:val="22"/>
              </w:rPr>
            </w:pPr>
            <w:r w:rsidRPr="006E0117">
              <w:rPr>
                <w:sz w:val="22"/>
              </w:rPr>
              <w:t>Confiture extra aux quatre fruits rouges</w:t>
            </w:r>
          </w:p>
        </w:tc>
        <w:tc>
          <w:tcPr>
            <w:tcW w:w="1843" w:type="dxa"/>
            <w:shd w:val="clear" w:color="auto" w:fill="D9D9D9" w:themeFill="background1" w:themeFillShade="D9"/>
          </w:tcPr>
          <w:p w14:paraId="4DDF3E48" w14:textId="77777777" w:rsidR="006E0117" w:rsidRPr="006E0117" w:rsidRDefault="006E0117" w:rsidP="006E0117">
            <w:pPr>
              <w:spacing w:line="276" w:lineRule="auto"/>
              <w:rPr>
                <w:bCs/>
                <w:sz w:val="22"/>
              </w:rPr>
            </w:pPr>
            <w:r w:rsidRPr="006E0117">
              <w:rPr>
                <w:bCs/>
                <w:sz w:val="22"/>
              </w:rPr>
              <w:t>Confiture de fraises</w:t>
            </w:r>
          </w:p>
        </w:tc>
        <w:tc>
          <w:tcPr>
            <w:tcW w:w="1985" w:type="dxa"/>
            <w:shd w:val="clear" w:color="auto" w:fill="D9D9D9" w:themeFill="background1" w:themeFillShade="D9"/>
          </w:tcPr>
          <w:p w14:paraId="6EECBF55" w14:textId="26966BE4" w:rsidR="006E0117" w:rsidRPr="006E0117" w:rsidRDefault="006E0117" w:rsidP="006E0117">
            <w:pPr>
              <w:spacing w:line="276" w:lineRule="auto"/>
              <w:rPr>
                <w:bCs/>
                <w:sz w:val="22"/>
              </w:rPr>
            </w:pPr>
            <w:r w:rsidRPr="006E0117">
              <w:rPr>
                <w:bCs/>
                <w:sz w:val="22"/>
              </w:rPr>
              <w:t>Confiture de fraises</w:t>
            </w:r>
          </w:p>
        </w:tc>
        <w:tc>
          <w:tcPr>
            <w:tcW w:w="2126" w:type="dxa"/>
            <w:shd w:val="clear" w:color="auto" w:fill="auto"/>
          </w:tcPr>
          <w:p w14:paraId="758A3869" w14:textId="5658FA25" w:rsidR="006E0117" w:rsidRPr="006E0117" w:rsidRDefault="006E0117" w:rsidP="006E0117">
            <w:pPr>
              <w:rPr>
                <w:bCs/>
                <w:sz w:val="22"/>
              </w:rPr>
            </w:pPr>
            <w:r w:rsidRPr="006E0117">
              <w:rPr>
                <w:bCs/>
                <w:sz w:val="22"/>
              </w:rPr>
              <w:t>Confiture aux 4 fruits rouges</w:t>
            </w:r>
          </w:p>
        </w:tc>
        <w:tc>
          <w:tcPr>
            <w:tcW w:w="2268" w:type="dxa"/>
          </w:tcPr>
          <w:p w14:paraId="5D318FD0" w14:textId="3BBE038A" w:rsidR="006E0117" w:rsidRPr="001B7527" w:rsidRDefault="006E0117" w:rsidP="006E0117">
            <w:pPr>
              <w:rPr>
                <w:bCs/>
                <w:sz w:val="22"/>
              </w:rPr>
            </w:pPr>
            <w:r w:rsidRPr="001B7527">
              <w:rPr>
                <w:bCs/>
                <w:sz w:val="22"/>
              </w:rPr>
              <w:t>Confiture de fraises</w:t>
            </w:r>
          </w:p>
        </w:tc>
      </w:tr>
      <w:tr w:rsidR="006E0117" w:rsidRPr="006E0117" w14:paraId="2F025DF3" w14:textId="516712ED" w:rsidTr="006E0117">
        <w:tc>
          <w:tcPr>
            <w:tcW w:w="1843" w:type="dxa"/>
            <w:shd w:val="clear" w:color="auto" w:fill="auto"/>
          </w:tcPr>
          <w:p w14:paraId="2F28095B" w14:textId="77777777" w:rsidR="006E0117" w:rsidRPr="006E0117" w:rsidRDefault="006E0117" w:rsidP="006E0117">
            <w:pPr>
              <w:spacing w:line="276" w:lineRule="auto"/>
              <w:rPr>
                <w:bCs/>
                <w:sz w:val="22"/>
              </w:rPr>
            </w:pPr>
            <w:r w:rsidRPr="006E0117">
              <w:rPr>
                <w:sz w:val="22"/>
              </w:rPr>
              <w:t>Céréales pour petit-déjeuner (blé soufflé enrobé de miel)</w:t>
            </w:r>
          </w:p>
        </w:tc>
        <w:tc>
          <w:tcPr>
            <w:tcW w:w="1843" w:type="dxa"/>
            <w:shd w:val="clear" w:color="auto" w:fill="D9D9D9" w:themeFill="background1" w:themeFillShade="D9"/>
          </w:tcPr>
          <w:p w14:paraId="2DFBC6B2" w14:textId="77777777" w:rsidR="006E0117" w:rsidRPr="006E0117" w:rsidRDefault="006E0117" w:rsidP="006E0117">
            <w:pPr>
              <w:spacing w:line="276" w:lineRule="auto"/>
              <w:rPr>
                <w:bCs/>
                <w:sz w:val="22"/>
              </w:rPr>
            </w:pPr>
            <w:r w:rsidRPr="006E0117">
              <w:rPr>
                <w:bCs/>
                <w:sz w:val="22"/>
              </w:rPr>
              <w:t>Pétales de mais sucrés</w:t>
            </w:r>
          </w:p>
        </w:tc>
        <w:tc>
          <w:tcPr>
            <w:tcW w:w="1985" w:type="dxa"/>
            <w:shd w:val="clear" w:color="auto" w:fill="FFFFFF" w:themeFill="background1"/>
          </w:tcPr>
          <w:p w14:paraId="268AC0E5" w14:textId="09A8E50F" w:rsidR="006E0117" w:rsidRPr="006E0117" w:rsidRDefault="006E0117" w:rsidP="006E0117">
            <w:pPr>
              <w:spacing w:line="276" w:lineRule="auto"/>
              <w:rPr>
                <w:bCs/>
                <w:sz w:val="22"/>
              </w:rPr>
            </w:pPr>
            <w:r w:rsidRPr="006E0117">
              <w:rPr>
                <w:bCs/>
                <w:sz w:val="22"/>
              </w:rPr>
              <w:t>Farine de blé</w:t>
            </w:r>
          </w:p>
        </w:tc>
        <w:tc>
          <w:tcPr>
            <w:tcW w:w="2126" w:type="dxa"/>
            <w:shd w:val="clear" w:color="auto" w:fill="auto"/>
          </w:tcPr>
          <w:p w14:paraId="549E3419" w14:textId="2E81314A" w:rsidR="006E0117" w:rsidRPr="006E0117" w:rsidRDefault="006E0117" w:rsidP="006E0117">
            <w:pPr>
              <w:rPr>
                <w:bCs/>
                <w:sz w:val="22"/>
              </w:rPr>
            </w:pPr>
            <w:r w:rsidRPr="006E0117">
              <w:rPr>
                <w:bCs/>
                <w:sz w:val="22"/>
              </w:rPr>
              <w:t>Farine de blé</w:t>
            </w:r>
          </w:p>
        </w:tc>
        <w:tc>
          <w:tcPr>
            <w:tcW w:w="2268" w:type="dxa"/>
          </w:tcPr>
          <w:p w14:paraId="7A4DEB4E" w14:textId="4EC03B23" w:rsidR="006E0117" w:rsidRPr="001B7527" w:rsidRDefault="006E0117" w:rsidP="006E0117">
            <w:pPr>
              <w:rPr>
                <w:bCs/>
                <w:sz w:val="22"/>
              </w:rPr>
            </w:pPr>
            <w:r w:rsidRPr="001B7527">
              <w:rPr>
                <w:bCs/>
                <w:sz w:val="22"/>
              </w:rPr>
              <w:t>Farine de blé</w:t>
            </w:r>
          </w:p>
        </w:tc>
      </w:tr>
      <w:tr w:rsidR="006E0117" w:rsidRPr="006E0117" w14:paraId="5DD6FD16" w14:textId="1A490E0B" w:rsidTr="006E0117">
        <w:tc>
          <w:tcPr>
            <w:tcW w:w="1843" w:type="dxa"/>
          </w:tcPr>
          <w:p w14:paraId="08DB1177" w14:textId="77777777" w:rsidR="006E0117" w:rsidRPr="006E0117" w:rsidRDefault="006E0117" w:rsidP="006E0117">
            <w:pPr>
              <w:spacing w:line="276" w:lineRule="auto"/>
              <w:rPr>
                <w:sz w:val="22"/>
              </w:rPr>
            </w:pPr>
            <w:r w:rsidRPr="006E0117">
              <w:rPr>
                <w:sz w:val="22"/>
              </w:rPr>
              <w:t>Poudre de pudding à la vanille</w:t>
            </w:r>
          </w:p>
        </w:tc>
        <w:tc>
          <w:tcPr>
            <w:tcW w:w="1843" w:type="dxa"/>
            <w:shd w:val="clear" w:color="auto" w:fill="D9D9D9" w:themeFill="background1" w:themeFillShade="D9"/>
          </w:tcPr>
          <w:p w14:paraId="5739C211" w14:textId="77777777" w:rsidR="006E0117" w:rsidRPr="006E0117" w:rsidRDefault="006E0117" w:rsidP="006E0117">
            <w:pPr>
              <w:spacing w:line="276" w:lineRule="auto"/>
              <w:rPr>
                <w:bCs/>
                <w:sz w:val="22"/>
              </w:rPr>
            </w:pPr>
            <w:r w:rsidRPr="006E0117">
              <w:rPr>
                <w:bCs/>
                <w:sz w:val="22"/>
              </w:rPr>
              <w:t>Pétales de blé au chocolat</w:t>
            </w:r>
          </w:p>
        </w:tc>
        <w:tc>
          <w:tcPr>
            <w:tcW w:w="1985" w:type="dxa"/>
            <w:shd w:val="clear" w:color="auto" w:fill="FFFFFF" w:themeFill="background1"/>
          </w:tcPr>
          <w:p w14:paraId="69A038FD" w14:textId="1A41EEF4" w:rsidR="006E0117" w:rsidRPr="006E0117" w:rsidRDefault="006E0117" w:rsidP="006E0117">
            <w:pPr>
              <w:spacing w:line="276" w:lineRule="auto"/>
              <w:rPr>
                <w:bCs/>
                <w:sz w:val="22"/>
              </w:rPr>
            </w:pPr>
            <w:r w:rsidRPr="006E0117">
              <w:rPr>
                <w:sz w:val="22"/>
                <w:lang w:val="fr-BE"/>
              </w:rPr>
              <w:t>Pétales de blé au chocolat</w:t>
            </w:r>
          </w:p>
        </w:tc>
        <w:tc>
          <w:tcPr>
            <w:tcW w:w="2126" w:type="dxa"/>
            <w:shd w:val="clear" w:color="auto" w:fill="D9D9D9" w:themeFill="background1" w:themeFillShade="D9"/>
          </w:tcPr>
          <w:p w14:paraId="6E6826A8" w14:textId="4A54FEC5" w:rsidR="006E0117" w:rsidRPr="006E0117" w:rsidRDefault="006E0117" w:rsidP="006E0117">
            <w:pPr>
              <w:rPr>
                <w:sz w:val="22"/>
                <w:lang w:val="fr-BE"/>
              </w:rPr>
            </w:pPr>
            <w:r w:rsidRPr="006E0117">
              <w:rPr>
                <w:sz w:val="22"/>
                <w:lang w:val="fr-BE"/>
              </w:rPr>
              <w:t>Pétales de blé aux copeaux de chocolat</w:t>
            </w:r>
          </w:p>
        </w:tc>
        <w:tc>
          <w:tcPr>
            <w:tcW w:w="2268" w:type="dxa"/>
            <w:shd w:val="clear" w:color="auto" w:fill="D9D9D9" w:themeFill="background1" w:themeFillShade="D9"/>
          </w:tcPr>
          <w:p w14:paraId="7FAC7576" w14:textId="3FA99258" w:rsidR="006E0117" w:rsidRPr="001B7527" w:rsidRDefault="006E0117" w:rsidP="006E0117">
            <w:pPr>
              <w:rPr>
                <w:sz w:val="22"/>
                <w:lang w:val="fr-BE"/>
              </w:rPr>
            </w:pPr>
            <w:r w:rsidRPr="001B7527">
              <w:rPr>
                <w:sz w:val="22"/>
                <w:lang w:val="fr-BE"/>
              </w:rPr>
              <w:t>Muesli aux fruits secs</w:t>
            </w:r>
          </w:p>
        </w:tc>
      </w:tr>
      <w:tr w:rsidR="006E0117" w:rsidRPr="006E0117" w14:paraId="5D584A5A" w14:textId="16233C49" w:rsidTr="006E0117">
        <w:tc>
          <w:tcPr>
            <w:tcW w:w="1843" w:type="dxa"/>
            <w:vMerge w:val="restart"/>
            <w:shd w:val="clear" w:color="auto" w:fill="7F7F7F" w:themeFill="text1" w:themeFillTint="80"/>
          </w:tcPr>
          <w:p w14:paraId="1BB818F3" w14:textId="77777777" w:rsidR="006E0117" w:rsidRPr="006E0117" w:rsidRDefault="006E0117" w:rsidP="006E0117">
            <w:pPr>
              <w:spacing w:line="276" w:lineRule="auto"/>
              <w:rPr>
                <w:bCs/>
                <w:sz w:val="22"/>
              </w:rPr>
            </w:pPr>
          </w:p>
        </w:tc>
        <w:tc>
          <w:tcPr>
            <w:tcW w:w="1843" w:type="dxa"/>
            <w:shd w:val="clear" w:color="auto" w:fill="D9D9D9" w:themeFill="background1" w:themeFillShade="D9"/>
          </w:tcPr>
          <w:p w14:paraId="00A1E199" w14:textId="77777777" w:rsidR="006E0117" w:rsidRPr="006E0117" w:rsidRDefault="006E0117" w:rsidP="006E0117">
            <w:pPr>
              <w:spacing w:line="276" w:lineRule="auto"/>
              <w:rPr>
                <w:bCs/>
                <w:sz w:val="22"/>
              </w:rPr>
            </w:pPr>
            <w:r w:rsidRPr="006E0117">
              <w:rPr>
                <w:bCs/>
                <w:sz w:val="22"/>
              </w:rPr>
              <w:t>Chocolat au lait (tablettes)</w:t>
            </w:r>
          </w:p>
        </w:tc>
        <w:tc>
          <w:tcPr>
            <w:tcW w:w="1985" w:type="dxa"/>
            <w:shd w:val="clear" w:color="auto" w:fill="FFFFFF" w:themeFill="background1"/>
          </w:tcPr>
          <w:p w14:paraId="07B8AF05" w14:textId="79DA6D75" w:rsidR="006E0117" w:rsidRPr="006E0117" w:rsidRDefault="006E0117" w:rsidP="006E0117">
            <w:pPr>
              <w:spacing w:line="276" w:lineRule="auto"/>
              <w:rPr>
                <w:bCs/>
                <w:sz w:val="22"/>
              </w:rPr>
            </w:pPr>
            <w:r w:rsidRPr="006E0117">
              <w:rPr>
                <w:sz w:val="22"/>
                <w:lang w:val="fr-BE"/>
              </w:rPr>
              <w:t>Chocolat noir issu du commerce équitable </w:t>
            </w:r>
          </w:p>
        </w:tc>
        <w:tc>
          <w:tcPr>
            <w:tcW w:w="2126" w:type="dxa"/>
            <w:shd w:val="clear" w:color="auto" w:fill="auto"/>
          </w:tcPr>
          <w:p w14:paraId="0CA1CAB9" w14:textId="0A901A26" w:rsidR="006E0117" w:rsidRPr="006E0117" w:rsidRDefault="006E0117" w:rsidP="006E0117">
            <w:pPr>
              <w:rPr>
                <w:sz w:val="22"/>
                <w:lang w:val="fr-BE"/>
              </w:rPr>
            </w:pPr>
            <w:r w:rsidRPr="006E0117">
              <w:rPr>
                <w:sz w:val="22"/>
                <w:lang w:val="fr-BE"/>
              </w:rPr>
              <w:t>Chocolat noir issu du commerce équitable </w:t>
            </w:r>
          </w:p>
        </w:tc>
        <w:tc>
          <w:tcPr>
            <w:tcW w:w="2268" w:type="dxa"/>
          </w:tcPr>
          <w:p w14:paraId="60CC7F47" w14:textId="45B8F6CB" w:rsidR="006E0117" w:rsidRPr="001B7527" w:rsidRDefault="006E0117" w:rsidP="006E0117">
            <w:pPr>
              <w:rPr>
                <w:sz w:val="22"/>
                <w:lang w:val="fr-BE"/>
              </w:rPr>
            </w:pPr>
            <w:r w:rsidRPr="001B7527">
              <w:rPr>
                <w:sz w:val="22"/>
                <w:lang w:val="fr-BE"/>
              </w:rPr>
              <w:t>Chocolat noir issu du commerce équitable </w:t>
            </w:r>
          </w:p>
        </w:tc>
      </w:tr>
      <w:tr w:rsidR="006E0117" w:rsidRPr="006E0117" w14:paraId="5EFE1FC8" w14:textId="203BC0EE" w:rsidTr="006E0117">
        <w:tc>
          <w:tcPr>
            <w:tcW w:w="1843" w:type="dxa"/>
            <w:vMerge/>
            <w:shd w:val="clear" w:color="auto" w:fill="7F7F7F" w:themeFill="text1" w:themeFillTint="80"/>
          </w:tcPr>
          <w:p w14:paraId="6AE4E9CF" w14:textId="77777777" w:rsidR="006E0117" w:rsidRPr="006E0117" w:rsidRDefault="006E0117" w:rsidP="006E0117">
            <w:pPr>
              <w:spacing w:line="276" w:lineRule="auto"/>
              <w:rPr>
                <w:bCs/>
                <w:sz w:val="22"/>
              </w:rPr>
            </w:pPr>
          </w:p>
        </w:tc>
        <w:tc>
          <w:tcPr>
            <w:tcW w:w="1843" w:type="dxa"/>
            <w:vMerge w:val="restart"/>
            <w:shd w:val="clear" w:color="auto" w:fill="7F7F7F" w:themeFill="text1" w:themeFillTint="80"/>
          </w:tcPr>
          <w:p w14:paraId="6AEAA9A6" w14:textId="77777777" w:rsidR="006E0117" w:rsidRPr="006E0117" w:rsidRDefault="006E0117" w:rsidP="006E0117">
            <w:pPr>
              <w:spacing w:line="276" w:lineRule="auto"/>
              <w:rPr>
                <w:bCs/>
                <w:sz w:val="22"/>
              </w:rPr>
            </w:pPr>
          </w:p>
        </w:tc>
        <w:tc>
          <w:tcPr>
            <w:tcW w:w="1985" w:type="dxa"/>
            <w:shd w:val="clear" w:color="auto" w:fill="FFFFFF" w:themeFill="background1"/>
          </w:tcPr>
          <w:p w14:paraId="477B4475" w14:textId="35095E90" w:rsidR="006E0117" w:rsidRPr="006E0117" w:rsidRDefault="006E0117" w:rsidP="006E0117">
            <w:pPr>
              <w:spacing w:line="276" w:lineRule="auto"/>
              <w:rPr>
                <w:sz w:val="22"/>
                <w:lang w:val="fr-BE"/>
              </w:rPr>
            </w:pPr>
            <w:r w:rsidRPr="006E0117">
              <w:rPr>
                <w:bCs/>
                <w:sz w:val="22"/>
              </w:rPr>
              <w:t>Soupe de tomates-légumes au bouillon de légumes</w:t>
            </w:r>
          </w:p>
        </w:tc>
        <w:tc>
          <w:tcPr>
            <w:tcW w:w="2126" w:type="dxa"/>
            <w:shd w:val="clear" w:color="auto" w:fill="D9D9D9" w:themeFill="background1" w:themeFillShade="D9"/>
          </w:tcPr>
          <w:p w14:paraId="0BEE026A" w14:textId="5547E1EB" w:rsidR="006E0117" w:rsidRPr="006E0117" w:rsidRDefault="006E0117" w:rsidP="006E0117">
            <w:pPr>
              <w:rPr>
                <w:bCs/>
                <w:sz w:val="22"/>
              </w:rPr>
            </w:pPr>
            <w:r w:rsidRPr="006E0117">
              <w:rPr>
                <w:bCs/>
                <w:sz w:val="22"/>
              </w:rPr>
              <w:t>Boulettes sauce tomate</w:t>
            </w:r>
          </w:p>
        </w:tc>
        <w:tc>
          <w:tcPr>
            <w:tcW w:w="2268" w:type="dxa"/>
            <w:shd w:val="clear" w:color="auto" w:fill="D9D9D9" w:themeFill="background1" w:themeFillShade="D9"/>
          </w:tcPr>
          <w:p w14:paraId="2F6520C9" w14:textId="63E0A023" w:rsidR="006E0117" w:rsidRPr="001B7527" w:rsidRDefault="006E0117" w:rsidP="006E0117">
            <w:pPr>
              <w:rPr>
                <w:bCs/>
                <w:sz w:val="22"/>
              </w:rPr>
            </w:pPr>
            <w:r w:rsidRPr="001B7527">
              <w:rPr>
                <w:bCs/>
                <w:sz w:val="22"/>
              </w:rPr>
              <w:t>Boulettes sauce tomate</w:t>
            </w:r>
          </w:p>
        </w:tc>
      </w:tr>
      <w:tr w:rsidR="006E0117" w:rsidRPr="006E0117" w14:paraId="20F17FCE" w14:textId="55A78CF2" w:rsidTr="006E0117">
        <w:tc>
          <w:tcPr>
            <w:tcW w:w="1843" w:type="dxa"/>
            <w:vMerge/>
            <w:shd w:val="clear" w:color="auto" w:fill="7F7F7F" w:themeFill="text1" w:themeFillTint="80"/>
          </w:tcPr>
          <w:p w14:paraId="1DF31F06" w14:textId="77777777" w:rsidR="006E0117" w:rsidRPr="006E0117" w:rsidRDefault="006E0117" w:rsidP="006E0117">
            <w:pPr>
              <w:spacing w:line="276" w:lineRule="auto"/>
              <w:rPr>
                <w:bCs/>
                <w:sz w:val="22"/>
              </w:rPr>
            </w:pPr>
          </w:p>
        </w:tc>
        <w:tc>
          <w:tcPr>
            <w:tcW w:w="1843" w:type="dxa"/>
            <w:vMerge/>
            <w:shd w:val="clear" w:color="auto" w:fill="7F7F7F" w:themeFill="text1" w:themeFillTint="80"/>
          </w:tcPr>
          <w:p w14:paraId="12F9E6EC" w14:textId="77777777" w:rsidR="006E0117" w:rsidRPr="006E0117" w:rsidRDefault="006E0117" w:rsidP="006E0117">
            <w:pPr>
              <w:spacing w:line="276" w:lineRule="auto"/>
              <w:rPr>
                <w:bCs/>
                <w:sz w:val="22"/>
              </w:rPr>
            </w:pPr>
          </w:p>
        </w:tc>
        <w:tc>
          <w:tcPr>
            <w:tcW w:w="1985" w:type="dxa"/>
            <w:shd w:val="clear" w:color="auto" w:fill="FFFFFF" w:themeFill="background1"/>
          </w:tcPr>
          <w:p w14:paraId="181CB8FD" w14:textId="715DEC9E" w:rsidR="006E0117" w:rsidRPr="006E0117" w:rsidRDefault="006E0117" w:rsidP="006E0117">
            <w:pPr>
              <w:spacing w:line="276" w:lineRule="auto"/>
              <w:rPr>
                <w:sz w:val="22"/>
                <w:lang w:val="fr-BE"/>
              </w:rPr>
            </w:pPr>
            <w:r w:rsidRPr="006E0117">
              <w:rPr>
                <w:sz w:val="22"/>
                <w:lang w:val="fr-BE"/>
              </w:rPr>
              <w:t>Salade de Riz au thon</w:t>
            </w:r>
          </w:p>
        </w:tc>
        <w:tc>
          <w:tcPr>
            <w:tcW w:w="2126" w:type="dxa"/>
            <w:shd w:val="clear" w:color="auto" w:fill="auto"/>
          </w:tcPr>
          <w:p w14:paraId="45CA2B31" w14:textId="45712CCD" w:rsidR="006E0117" w:rsidRPr="006E0117" w:rsidRDefault="006E0117" w:rsidP="006E0117">
            <w:pPr>
              <w:rPr>
                <w:sz w:val="22"/>
                <w:lang w:val="fr-BE"/>
              </w:rPr>
            </w:pPr>
            <w:r w:rsidRPr="006E0117">
              <w:rPr>
                <w:sz w:val="22"/>
                <w:lang w:val="fr-BE"/>
              </w:rPr>
              <w:t>Salade de Riz au thon</w:t>
            </w:r>
          </w:p>
        </w:tc>
        <w:tc>
          <w:tcPr>
            <w:tcW w:w="2268" w:type="dxa"/>
          </w:tcPr>
          <w:p w14:paraId="17D6F629" w14:textId="70CCEB0F" w:rsidR="006E0117" w:rsidRPr="001B7527" w:rsidRDefault="006E0117" w:rsidP="006E0117">
            <w:pPr>
              <w:rPr>
                <w:sz w:val="22"/>
                <w:lang w:val="fr-BE"/>
              </w:rPr>
            </w:pPr>
            <w:r w:rsidRPr="001B7527">
              <w:rPr>
                <w:sz w:val="22"/>
                <w:lang w:val="fr-BE"/>
              </w:rPr>
              <w:t>Salade de Riz au thon</w:t>
            </w:r>
          </w:p>
        </w:tc>
      </w:tr>
      <w:tr w:rsidR="006E0117" w:rsidRPr="006E0117" w14:paraId="2E2A2B3E" w14:textId="2CAE38FF" w:rsidTr="00141AF8">
        <w:tc>
          <w:tcPr>
            <w:tcW w:w="1843" w:type="dxa"/>
            <w:vMerge/>
            <w:shd w:val="clear" w:color="auto" w:fill="7F7F7F" w:themeFill="text1" w:themeFillTint="80"/>
          </w:tcPr>
          <w:p w14:paraId="1236875E" w14:textId="77777777" w:rsidR="006E0117" w:rsidRPr="006E0117" w:rsidRDefault="006E0117" w:rsidP="006E0117">
            <w:pPr>
              <w:spacing w:line="276" w:lineRule="auto"/>
              <w:rPr>
                <w:bCs/>
                <w:sz w:val="22"/>
              </w:rPr>
            </w:pPr>
          </w:p>
        </w:tc>
        <w:tc>
          <w:tcPr>
            <w:tcW w:w="1843" w:type="dxa"/>
            <w:vMerge/>
            <w:shd w:val="clear" w:color="auto" w:fill="7F7F7F" w:themeFill="text1" w:themeFillTint="80"/>
          </w:tcPr>
          <w:p w14:paraId="50F3E5EF" w14:textId="77777777" w:rsidR="006E0117" w:rsidRPr="006E0117" w:rsidRDefault="006E0117" w:rsidP="006E0117">
            <w:pPr>
              <w:spacing w:line="276" w:lineRule="auto"/>
              <w:rPr>
                <w:bCs/>
                <w:sz w:val="22"/>
              </w:rPr>
            </w:pPr>
          </w:p>
        </w:tc>
        <w:tc>
          <w:tcPr>
            <w:tcW w:w="1985" w:type="dxa"/>
            <w:shd w:val="clear" w:color="auto" w:fill="FFFFFF" w:themeFill="background1"/>
          </w:tcPr>
          <w:p w14:paraId="37C8D1EC" w14:textId="084B59B4" w:rsidR="006E0117" w:rsidRPr="006E0117" w:rsidRDefault="006E0117" w:rsidP="006E0117">
            <w:pPr>
              <w:spacing w:line="276" w:lineRule="auto"/>
              <w:rPr>
                <w:sz w:val="22"/>
                <w:lang w:val="fr-BE"/>
              </w:rPr>
            </w:pPr>
            <w:r w:rsidRPr="006E0117">
              <w:rPr>
                <w:sz w:val="22"/>
                <w:lang w:val="fr-BE"/>
              </w:rPr>
              <w:t>Sucre blanc</w:t>
            </w:r>
          </w:p>
        </w:tc>
        <w:tc>
          <w:tcPr>
            <w:tcW w:w="2126" w:type="dxa"/>
            <w:shd w:val="clear" w:color="auto" w:fill="D9D9D9" w:themeFill="background1" w:themeFillShade="D9"/>
          </w:tcPr>
          <w:p w14:paraId="15DF76DC" w14:textId="11AF4E3E" w:rsidR="006E0117" w:rsidRPr="006E0117" w:rsidRDefault="006E0117" w:rsidP="006E0117">
            <w:pPr>
              <w:rPr>
                <w:sz w:val="22"/>
                <w:lang w:val="fr-BE"/>
              </w:rPr>
            </w:pPr>
            <w:r w:rsidRPr="006E0117">
              <w:rPr>
                <w:sz w:val="22"/>
                <w:lang w:val="fr-BE"/>
              </w:rPr>
              <w:t>Fruits secs</w:t>
            </w:r>
          </w:p>
        </w:tc>
        <w:tc>
          <w:tcPr>
            <w:tcW w:w="2268" w:type="dxa"/>
            <w:shd w:val="clear" w:color="auto" w:fill="808080" w:themeFill="background1" w:themeFillShade="80"/>
          </w:tcPr>
          <w:p w14:paraId="32CD47A9" w14:textId="2695AACE" w:rsidR="006E0117" w:rsidRPr="001B7527" w:rsidRDefault="006E0117" w:rsidP="006E0117">
            <w:pPr>
              <w:rPr>
                <w:sz w:val="22"/>
                <w:lang w:val="fr-BE"/>
              </w:rPr>
            </w:pPr>
          </w:p>
        </w:tc>
      </w:tr>
      <w:tr w:rsidR="006E0117" w:rsidRPr="006E0117" w14:paraId="050B5483" w14:textId="0842DAA4" w:rsidTr="006E0117">
        <w:tc>
          <w:tcPr>
            <w:tcW w:w="1843" w:type="dxa"/>
            <w:vMerge/>
            <w:shd w:val="clear" w:color="auto" w:fill="7F7F7F" w:themeFill="text1" w:themeFillTint="80"/>
          </w:tcPr>
          <w:p w14:paraId="690362BE" w14:textId="77777777" w:rsidR="006E0117" w:rsidRPr="006E0117" w:rsidRDefault="006E0117" w:rsidP="006E0117">
            <w:pPr>
              <w:spacing w:line="276" w:lineRule="auto"/>
              <w:rPr>
                <w:bCs/>
                <w:sz w:val="22"/>
              </w:rPr>
            </w:pPr>
          </w:p>
        </w:tc>
        <w:tc>
          <w:tcPr>
            <w:tcW w:w="1843" w:type="dxa"/>
            <w:vMerge/>
            <w:shd w:val="clear" w:color="auto" w:fill="7F7F7F" w:themeFill="text1" w:themeFillTint="80"/>
          </w:tcPr>
          <w:p w14:paraId="41F0127A" w14:textId="77777777" w:rsidR="006E0117" w:rsidRPr="006E0117" w:rsidRDefault="006E0117" w:rsidP="006E0117">
            <w:pPr>
              <w:spacing w:line="276" w:lineRule="auto"/>
              <w:rPr>
                <w:bCs/>
                <w:sz w:val="22"/>
              </w:rPr>
            </w:pPr>
          </w:p>
        </w:tc>
        <w:tc>
          <w:tcPr>
            <w:tcW w:w="1985" w:type="dxa"/>
            <w:shd w:val="clear" w:color="auto" w:fill="FFFFFF" w:themeFill="background1"/>
          </w:tcPr>
          <w:p w14:paraId="3201AB09" w14:textId="4DBD02EA" w:rsidR="006E0117" w:rsidRPr="006E0117" w:rsidRDefault="006E0117" w:rsidP="006E0117">
            <w:pPr>
              <w:spacing w:line="276" w:lineRule="auto"/>
              <w:rPr>
                <w:sz w:val="22"/>
                <w:lang w:val="fr-BE"/>
              </w:rPr>
            </w:pPr>
            <w:r w:rsidRPr="006E0117">
              <w:rPr>
                <w:sz w:val="22"/>
                <w:lang w:val="fr-BE"/>
              </w:rPr>
              <w:t>Riz</w:t>
            </w:r>
          </w:p>
        </w:tc>
        <w:tc>
          <w:tcPr>
            <w:tcW w:w="2126" w:type="dxa"/>
            <w:shd w:val="clear" w:color="auto" w:fill="auto"/>
          </w:tcPr>
          <w:p w14:paraId="76F0EE52" w14:textId="5CAC2435" w:rsidR="006E0117" w:rsidRPr="006E0117" w:rsidRDefault="006E0117" w:rsidP="006E0117">
            <w:pPr>
              <w:rPr>
                <w:sz w:val="22"/>
                <w:lang w:val="fr-BE"/>
              </w:rPr>
            </w:pPr>
            <w:r w:rsidRPr="006E0117">
              <w:rPr>
                <w:sz w:val="22"/>
                <w:lang w:val="fr-BE"/>
              </w:rPr>
              <w:t>Riz</w:t>
            </w:r>
          </w:p>
        </w:tc>
        <w:tc>
          <w:tcPr>
            <w:tcW w:w="2268" w:type="dxa"/>
          </w:tcPr>
          <w:p w14:paraId="07CA7A8E" w14:textId="0062870E" w:rsidR="006E0117" w:rsidRPr="001B7527" w:rsidRDefault="006E0117" w:rsidP="006E0117">
            <w:pPr>
              <w:rPr>
                <w:sz w:val="22"/>
                <w:lang w:val="fr-BE"/>
              </w:rPr>
            </w:pPr>
            <w:r w:rsidRPr="001B7527">
              <w:rPr>
                <w:sz w:val="22"/>
                <w:lang w:val="fr-BE"/>
              </w:rPr>
              <w:t>Riz</w:t>
            </w:r>
          </w:p>
        </w:tc>
      </w:tr>
      <w:tr w:rsidR="006E0117" w:rsidRPr="006E0117" w14:paraId="42D7448C" w14:textId="7DCC5D2B" w:rsidTr="006E0117">
        <w:tc>
          <w:tcPr>
            <w:tcW w:w="1843" w:type="dxa"/>
            <w:vMerge/>
            <w:shd w:val="clear" w:color="auto" w:fill="7F7F7F" w:themeFill="text1" w:themeFillTint="80"/>
          </w:tcPr>
          <w:p w14:paraId="7FBF0619" w14:textId="77777777" w:rsidR="006E0117" w:rsidRPr="006E0117" w:rsidRDefault="006E0117" w:rsidP="006E0117">
            <w:pPr>
              <w:spacing w:line="276" w:lineRule="auto"/>
              <w:rPr>
                <w:bCs/>
                <w:sz w:val="22"/>
              </w:rPr>
            </w:pPr>
          </w:p>
        </w:tc>
        <w:tc>
          <w:tcPr>
            <w:tcW w:w="1843" w:type="dxa"/>
            <w:vMerge/>
            <w:shd w:val="clear" w:color="auto" w:fill="7F7F7F" w:themeFill="text1" w:themeFillTint="80"/>
          </w:tcPr>
          <w:p w14:paraId="5E59F932" w14:textId="77777777" w:rsidR="006E0117" w:rsidRPr="006E0117" w:rsidRDefault="006E0117" w:rsidP="006E0117">
            <w:pPr>
              <w:spacing w:line="276" w:lineRule="auto"/>
              <w:rPr>
                <w:bCs/>
                <w:sz w:val="22"/>
              </w:rPr>
            </w:pPr>
          </w:p>
        </w:tc>
        <w:tc>
          <w:tcPr>
            <w:tcW w:w="1985" w:type="dxa"/>
            <w:shd w:val="clear" w:color="auto" w:fill="FFFFFF" w:themeFill="background1"/>
          </w:tcPr>
          <w:p w14:paraId="3CB9E6C7" w14:textId="6725B182" w:rsidR="006E0117" w:rsidRPr="006E0117" w:rsidRDefault="006E0117" w:rsidP="006E0117">
            <w:pPr>
              <w:spacing w:line="276" w:lineRule="auto"/>
              <w:rPr>
                <w:sz w:val="22"/>
                <w:lang w:val="fr-BE"/>
              </w:rPr>
            </w:pPr>
            <w:r w:rsidRPr="006E0117">
              <w:rPr>
                <w:sz w:val="22"/>
                <w:lang w:val="fr-BE"/>
              </w:rPr>
              <w:t>Macédoine de légumes</w:t>
            </w:r>
          </w:p>
        </w:tc>
        <w:tc>
          <w:tcPr>
            <w:tcW w:w="2126" w:type="dxa"/>
            <w:shd w:val="clear" w:color="auto" w:fill="auto"/>
          </w:tcPr>
          <w:p w14:paraId="08D44821" w14:textId="1C089E58" w:rsidR="006E0117" w:rsidRPr="006E0117" w:rsidRDefault="006E0117" w:rsidP="006E0117">
            <w:pPr>
              <w:rPr>
                <w:sz w:val="22"/>
                <w:lang w:val="fr-BE"/>
              </w:rPr>
            </w:pPr>
            <w:r w:rsidRPr="006E0117">
              <w:rPr>
                <w:sz w:val="22"/>
                <w:lang w:val="fr-BE"/>
              </w:rPr>
              <w:t>Macédoine de légumes</w:t>
            </w:r>
          </w:p>
        </w:tc>
        <w:tc>
          <w:tcPr>
            <w:tcW w:w="2268" w:type="dxa"/>
          </w:tcPr>
          <w:p w14:paraId="241F34AE" w14:textId="63591D70" w:rsidR="006E0117" w:rsidRPr="001B7527" w:rsidRDefault="006E0117" w:rsidP="006E0117">
            <w:pPr>
              <w:rPr>
                <w:sz w:val="22"/>
                <w:lang w:val="fr-BE"/>
              </w:rPr>
            </w:pPr>
            <w:r w:rsidRPr="001B7527">
              <w:rPr>
                <w:sz w:val="22"/>
                <w:lang w:val="fr-BE"/>
              </w:rPr>
              <w:t>Macédoine de légumes</w:t>
            </w:r>
          </w:p>
        </w:tc>
      </w:tr>
      <w:tr w:rsidR="006E0117" w:rsidRPr="006E0117" w14:paraId="0B03B66F" w14:textId="5C34CD01" w:rsidTr="006E0117">
        <w:tc>
          <w:tcPr>
            <w:tcW w:w="1843" w:type="dxa"/>
            <w:vMerge/>
            <w:shd w:val="clear" w:color="auto" w:fill="7F7F7F" w:themeFill="text1" w:themeFillTint="80"/>
          </w:tcPr>
          <w:p w14:paraId="1B1B4B9B" w14:textId="77777777" w:rsidR="006E0117" w:rsidRPr="006E0117" w:rsidRDefault="006E0117" w:rsidP="006E0117">
            <w:pPr>
              <w:spacing w:line="276" w:lineRule="auto"/>
              <w:rPr>
                <w:bCs/>
                <w:sz w:val="22"/>
              </w:rPr>
            </w:pPr>
          </w:p>
        </w:tc>
        <w:tc>
          <w:tcPr>
            <w:tcW w:w="1843" w:type="dxa"/>
            <w:vMerge/>
            <w:shd w:val="clear" w:color="auto" w:fill="7F7F7F" w:themeFill="text1" w:themeFillTint="80"/>
          </w:tcPr>
          <w:p w14:paraId="01303482" w14:textId="77777777" w:rsidR="006E0117" w:rsidRPr="006E0117" w:rsidRDefault="006E0117" w:rsidP="006E0117">
            <w:pPr>
              <w:spacing w:line="276" w:lineRule="auto"/>
              <w:rPr>
                <w:bCs/>
                <w:sz w:val="22"/>
              </w:rPr>
            </w:pPr>
          </w:p>
        </w:tc>
        <w:tc>
          <w:tcPr>
            <w:tcW w:w="1985" w:type="dxa"/>
            <w:shd w:val="clear" w:color="auto" w:fill="FFFFFF" w:themeFill="background1"/>
          </w:tcPr>
          <w:p w14:paraId="315AFF5F" w14:textId="67167C14" w:rsidR="006E0117" w:rsidRPr="006E0117" w:rsidRDefault="006E0117" w:rsidP="006E0117">
            <w:pPr>
              <w:spacing w:line="276" w:lineRule="auto"/>
              <w:rPr>
                <w:sz w:val="22"/>
                <w:lang w:val="fr-BE"/>
              </w:rPr>
            </w:pPr>
            <w:r w:rsidRPr="006E0117">
              <w:rPr>
                <w:sz w:val="22"/>
                <w:lang w:val="fr-BE"/>
              </w:rPr>
              <w:t>Biscuits secs «petits beurre»</w:t>
            </w:r>
          </w:p>
        </w:tc>
        <w:tc>
          <w:tcPr>
            <w:tcW w:w="2126" w:type="dxa"/>
            <w:shd w:val="clear" w:color="auto" w:fill="D9D9D9" w:themeFill="background1" w:themeFillShade="D9"/>
          </w:tcPr>
          <w:p w14:paraId="6D675095" w14:textId="1707DE44" w:rsidR="006E0117" w:rsidRPr="006E0117" w:rsidRDefault="006E0117" w:rsidP="006E0117">
            <w:pPr>
              <w:rPr>
                <w:sz w:val="22"/>
                <w:lang w:val="fr-BE"/>
              </w:rPr>
            </w:pPr>
            <w:r w:rsidRPr="006E0117">
              <w:rPr>
                <w:sz w:val="22"/>
                <w:lang w:val="fr-BE"/>
              </w:rPr>
              <w:t>Galettes de maïs</w:t>
            </w:r>
          </w:p>
        </w:tc>
        <w:tc>
          <w:tcPr>
            <w:tcW w:w="2268" w:type="dxa"/>
            <w:shd w:val="clear" w:color="auto" w:fill="808080" w:themeFill="background1" w:themeFillShade="80"/>
          </w:tcPr>
          <w:p w14:paraId="70A97860" w14:textId="77777777" w:rsidR="006E0117" w:rsidRPr="0089287E" w:rsidRDefault="006E0117" w:rsidP="006E0117">
            <w:pPr>
              <w:rPr>
                <w:sz w:val="22"/>
                <w:highlight w:val="yellow"/>
                <w:lang w:val="fr-BE"/>
              </w:rPr>
            </w:pPr>
          </w:p>
        </w:tc>
      </w:tr>
      <w:tr w:rsidR="006E0117" w:rsidRPr="006E0117" w14:paraId="4CF37C18" w14:textId="307BF2FD" w:rsidTr="00141AF8">
        <w:tc>
          <w:tcPr>
            <w:tcW w:w="1843" w:type="dxa"/>
            <w:vMerge/>
            <w:shd w:val="clear" w:color="auto" w:fill="7F7F7F" w:themeFill="text1" w:themeFillTint="80"/>
          </w:tcPr>
          <w:p w14:paraId="525A9154" w14:textId="77777777" w:rsidR="006E0117" w:rsidRPr="006E0117" w:rsidRDefault="006E0117" w:rsidP="006E0117">
            <w:pPr>
              <w:rPr>
                <w:bCs/>
                <w:sz w:val="22"/>
              </w:rPr>
            </w:pPr>
          </w:p>
        </w:tc>
        <w:tc>
          <w:tcPr>
            <w:tcW w:w="1843" w:type="dxa"/>
            <w:vMerge/>
            <w:shd w:val="clear" w:color="auto" w:fill="7F7F7F" w:themeFill="text1" w:themeFillTint="80"/>
          </w:tcPr>
          <w:p w14:paraId="77862572" w14:textId="77777777" w:rsidR="006E0117" w:rsidRPr="006E0117" w:rsidRDefault="006E0117" w:rsidP="006E0117">
            <w:pPr>
              <w:rPr>
                <w:bCs/>
                <w:sz w:val="22"/>
              </w:rPr>
            </w:pPr>
          </w:p>
        </w:tc>
        <w:tc>
          <w:tcPr>
            <w:tcW w:w="1985" w:type="dxa"/>
            <w:shd w:val="clear" w:color="auto" w:fill="7F7F7F" w:themeFill="text1" w:themeFillTint="80"/>
          </w:tcPr>
          <w:p w14:paraId="70576FC3" w14:textId="77777777" w:rsidR="006E0117" w:rsidRPr="006E0117" w:rsidRDefault="006E0117" w:rsidP="006E0117">
            <w:pPr>
              <w:ind w:firstLine="708"/>
              <w:rPr>
                <w:sz w:val="22"/>
                <w:lang w:val="fr-BE"/>
              </w:rPr>
            </w:pPr>
          </w:p>
        </w:tc>
        <w:tc>
          <w:tcPr>
            <w:tcW w:w="2126" w:type="dxa"/>
            <w:shd w:val="clear" w:color="auto" w:fill="D9D9D9" w:themeFill="background1" w:themeFillShade="D9"/>
          </w:tcPr>
          <w:p w14:paraId="656774AA" w14:textId="33EC727F" w:rsidR="006E0117" w:rsidRPr="00141AF8" w:rsidRDefault="006E0117" w:rsidP="006E0117">
            <w:pPr>
              <w:rPr>
                <w:sz w:val="22"/>
                <w:lang w:val="fr-BE"/>
              </w:rPr>
            </w:pPr>
            <w:r w:rsidRPr="00141AF8">
              <w:rPr>
                <w:sz w:val="22"/>
                <w:lang w:val="fr-BE"/>
              </w:rPr>
              <w:t>Café</w:t>
            </w:r>
          </w:p>
        </w:tc>
        <w:tc>
          <w:tcPr>
            <w:tcW w:w="2268" w:type="dxa"/>
            <w:shd w:val="clear" w:color="auto" w:fill="D9D9D9" w:themeFill="background1" w:themeFillShade="D9"/>
          </w:tcPr>
          <w:p w14:paraId="1E258DFB" w14:textId="7C81F508" w:rsidR="006E0117" w:rsidRPr="00141AF8" w:rsidRDefault="00141AF8" w:rsidP="006E0117">
            <w:pPr>
              <w:rPr>
                <w:sz w:val="22"/>
                <w:lang w:val="fr-BE"/>
              </w:rPr>
            </w:pPr>
            <w:r w:rsidRPr="00141AF8">
              <w:rPr>
                <w:sz w:val="22"/>
                <w:lang w:val="fr-BE"/>
              </w:rPr>
              <w:t>Café</w:t>
            </w:r>
          </w:p>
        </w:tc>
      </w:tr>
    </w:tbl>
    <w:p w14:paraId="33368894" w14:textId="77777777" w:rsidR="00122406" w:rsidRPr="00122406" w:rsidRDefault="00122406" w:rsidP="00122406">
      <w:pPr>
        <w:rPr>
          <w:lang w:val="fr-BE"/>
        </w:rPr>
      </w:pPr>
    </w:p>
    <w:p w14:paraId="1F293923" w14:textId="5C9C2851" w:rsidR="00BB3D93" w:rsidRDefault="00A90DFB" w:rsidP="002666E5">
      <w:pPr>
        <w:pStyle w:val="Kop4"/>
        <w:numPr>
          <w:ilvl w:val="3"/>
          <w:numId w:val="1"/>
        </w:numPr>
        <w:spacing w:before="240" w:after="240" w:line="276" w:lineRule="auto"/>
        <w:rPr>
          <w:lang w:val="fr-BE"/>
        </w:rPr>
      </w:pPr>
      <w:r w:rsidRPr="00A90DFB">
        <w:rPr>
          <w:lang w:val="fr-BE"/>
        </w:rPr>
        <w:t>Liste de produits 201</w:t>
      </w:r>
      <w:r w:rsidR="003D5A52">
        <w:rPr>
          <w:lang w:val="fr-BE"/>
        </w:rPr>
        <w:t>9</w:t>
      </w:r>
    </w:p>
    <w:p w14:paraId="0B81BBE0" w14:textId="75F54037" w:rsidR="0092222A" w:rsidRPr="00E81A8A" w:rsidRDefault="00B20568" w:rsidP="002666E5">
      <w:r>
        <w:t>Début 2018</w:t>
      </w:r>
      <w:r w:rsidR="0092222A" w:rsidRPr="00E81A8A">
        <w:t>, l'AG a entamé les préparatifs pour l'exercice 201</w:t>
      </w:r>
      <w:r>
        <w:t>9</w:t>
      </w:r>
      <w:r w:rsidR="0092222A" w:rsidRPr="00E81A8A">
        <w:t>, avec notamment l'adaptation de la liste de produits.</w:t>
      </w:r>
      <w:r w:rsidR="00E81A8A">
        <w:t xml:space="preserve"> Pour la campagne 201</w:t>
      </w:r>
      <w:r>
        <w:t>9</w:t>
      </w:r>
      <w:r w:rsidR="00E81A8A">
        <w:t xml:space="preserve"> l’AG a décidé de ne pas apporter de gros changements à la liste de produits</w:t>
      </w:r>
      <w:r>
        <w:t xml:space="preserve"> (mais bien au niveau de leur spécification)</w:t>
      </w:r>
      <w:r w:rsidR="00E81A8A">
        <w:t xml:space="preserve">. </w:t>
      </w:r>
    </w:p>
    <w:p w14:paraId="7B4AE620" w14:textId="6D9AC827" w:rsidR="00E6683B" w:rsidRPr="008C138B" w:rsidRDefault="007E5D36" w:rsidP="002666E5">
      <w:pPr>
        <w:spacing w:before="240"/>
      </w:pPr>
      <w:r w:rsidRPr="008C138B">
        <w:t>Pour élaborer cette liste,</w:t>
      </w:r>
      <w:r w:rsidR="00C15608" w:rsidRPr="008C138B">
        <w:t xml:space="preserve"> et comme </w:t>
      </w:r>
      <w:r w:rsidR="008C138B" w:rsidRPr="008C138B">
        <w:t xml:space="preserve">chaque année, </w:t>
      </w:r>
      <w:r w:rsidRPr="008C138B">
        <w:t xml:space="preserve"> plusieurs</w:t>
      </w:r>
      <w:r w:rsidR="00E6683B" w:rsidRPr="008C138B">
        <w:t xml:space="preserve"> éléments on</w:t>
      </w:r>
      <w:r w:rsidR="0075574F">
        <w:t>t été pris en compte</w:t>
      </w:r>
      <w:r w:rsidR="003D5A52">
        <w:t> </w:t>
      </w:r>
      <w:r w:rsidR="00E6683B" w:rsidRPr="008C138B">
        <w:t>:</w:t>
      </w:r>
      <w:r w:rsidR="008C138B" w:rsidRPr="008C138B">
        <w:t xml:space="preserve"> le retour du terrain, la qualité nutritionnelle, la durabilité, l’indice glycémique, etc. (voir aussi rapports annuels précédents).</w:t>
      </w:r>
    </w:p>
    <w:p w14:paraId="3C0C797C" w14:textId="0F56BF79" w:rsidR="004F66E5" w:rsidRDefault="00492A5A" w:rsidP="002666E5">
      <w:r w:rsidRPr="008C138B">
        <w:t xml:space="preserve">Les </w:t>
      </w:r>
      <w:r w:rsidR="00FF0534" w:rsidRPr="008C138B">
        <w:t>«</w:t>
      </w:r>
      <w:r w:rsidRPr="008C138B">
        <w:t>produits phares</w:t>
      </w:r>
      <w:r w:rsidR="00C15608" w:rsidRPr="008C138B">
        <w:t>»</w:t>
      </w:r>
      <w:r w:rsidR="00FF0534" w:rsidRPr="008C138B">
        <w:t xml:space="preserve"> ont bien entendu été conservés</w:t>
      </w:r>
      <w:r w:rsidR="003D5A52">
        <w:t xml:space="preserve"> </w:t>
      </w:r>
      <w:r w:rsidRPr="008C138B">
        <w:t xml:space="preserve">: le lait, les tomates, les pâtes, </w:t>
      </w:r>
      <w:r w:rsidR="00A26376" w:rsidRPr="008C138B">
        <w:t xml:space="preserve">les haricots verts, </w:t>
      </w:r>
      <w:r w:rsidR="00FF0534" w:rsidRPr="008C138B">
        <w:t>etc.</w:t>
      </w:r>
    </w:p>
    <w:p w14:paraId="224A6A41" w14:textId="77777777" w:rsidR="002D5FCD" w:rsidRDefault="002D5FCD" w:rsidP="002666E5"/>
    <w:p w14:paraId="4E16E282" w14:textId="77777777" w:rsidR="002D5FCD" w:rsidRDefault="002D5FCD" w:rsidP="002666E5"/>
    <w:p w14:paraId="5EFC81B9" w14:textId="77777777" w:rsidR="002D5FCD" w:rsidRDefault="002D5FCD" w:rsidP="002666E5"/>
    <w:p w14:paraId="42F77988" w14:textId="0362A633" w:rsidR="000E45F4" w:rsidRPr="002978CD" w:rsidRDefault="00BC3EE5" w:rsidP="002666E5">
      <w:pPr>
        <w:pStyle w:val="Kop3"/>
        <w:numPr>
          <w:ilvl w:val="1"/>
          <w:numId w:val="1"/>
        </w:numPr>
        <w:spacing w:after="240" w:line="276" w:lineRule="auto"/>
      </w:pPr>
      <w:bookmarkStart w:id="29" w:name="_Toc422390658"/>
      <w:bookmarkStart w:id="30" w:name="_Toc12629552"/>
      <w:r w:rsidRPr="002978CD">
        <w:lastRenderedPageBreak/>
        <w:t>Indicateurs communs</w:t>
      </w:r>
      <w:bookmarkEnd w:id="29"/>
      <w:bookmarkEnd w:id="30"/>
    </w:p>
    <w:p w14:paraId="2AFE277B" w14:textId="77777777" w:rsidR="00BC3EE5" w:rsidRDefault="00BC3EE5" w:rsidP="002666E5">
      <w:pPr>
        <w:pStyle w:val="Kop3"/>
        <w:numPr>
          <w:ilvl w:val="2"/>
          <w:numId w:val="1"/>
        </w:numPr>
        <w:spacing w:after="240" w:line="276" w:lineRule="auto"/>
      </w:pPr>
      <w:bookmarkStart w:id="31" w:name="_Toc12629553"/>
      <w:r w:rsidRPr="002978CD">
        <w:t xml:space="preserve">Indicateurs </w:t>
      </w:r>
      <w:r w:rsidR="007617E0" w:rsidRPr="002978CD">
        <w:t>de ressources</w:t>
      </w:r>
      <w:bookmarkEnd w:id="31"/>
    </w:p>
    <w:tbl>
      <w:tblPr>
        <w:tblStyle w:val="Tabelraster"/>
        <w:tblW w:w="9210" w:type="dxa"/>
        <w:tblLayout w:type="fixed"/>
        <w:tblLook w:val="04A0" w:firstRow="1" w:lastRow="0" w:firstColumn="1" w:lastColumn="0" w:noHBand="0" w:noVBand="1"/>
      </w:tblPr>
      <w:tblGrid>
        <w:gridCol w:w="704"/>
        <w:gridCol w:w="851"/>
        <w:gridCol w:w="850"/>
        <w:gridCol w:w="1361"/>
        <w:gridCol w:w="1361"/>
        <w:gridCol w:w="1361"/>
        <w:gridCol w:w="1361"/>
        <w:gridCol w:w="1361"/>
      </w:tblGrid>
      <w:tr w:rsidR="0021219D" w:rsidRPr="00B715D2" w14:paraId="3BA6DE1B" w14:textId="5EB8378B" w:rsidTr="0021219D">
        <w:trPr>
          <w:trHeight w:val="794"/>
        </w:trPr>
        <w:tc>
          <w:tcPr>
            <w:tcW w:w="704" w:type="dxa"/>
            <w:shd w:val="clear" w:color="auto" w:fill="A6A6A6" w:themeFill="background1" w:themeFillShade="A6"/>
            <w:vAlign w:val="center"/>
          </w:tcPr>
          <w:p w14:paraId="733D61B0" w14:textId="77777777" w:rsidR="0080283D" w:rsidRPr="00B715D2" w:rsidRDefault="0080283D" w:rsidP="002666E5">
            <w:pPr>
              <w:spacing w:line="276" w:lineRule="auto"/>
              <w:jc w:val="center"/>
              <w:rPr>
                <w:sz w:val="18"/>
                <w:szCs w:val="18"/>
              </w:rPr>
            </w:pPr>
            <w:r w:rsidRPr="00B715D2">
              <w:rPr>
                <w:sz w:val="18"/>
                <w:szCs w:val="18"/>
              </w:rPr>
              <w:t>Identifiant de l'indicateur</w:t>
            </w:r>
          </w:p>
        </w:tc>
        <w:tc>
          <w:tcPr>
            <w:tcW w:w="851" w:type="dxa"/>
            <w:shd w:val="clear" w:color="auto" w:fill="A6A6A6" w:themeFill="background1" w:themeFillShade="A6"/>
            <w:vAlign w:val="center"/>
          </w:tcPr>
          <w:p w14:paraId="14D98C22" w14:textId="77777777" w:rsidR="0080283D" w:rsidRPr="00B715D2" w:rsidRDefault="0080283D" w:rsidP="002666E5">
            <w:pPr>
              <w:spacing w:line="276" w:lineRule="auto"/>
              <w:jc w:val="center"/>
              <w:rPr>
                <w:sz w:val="18"/>
                <w:szCs w:val="18"/>
              </w:rPr>
            </w:pPr>
            <w:r w:rsidRPr="00B715D2">
              <w:rPr>
                <w:sz w:val="18"/>
                <w:szCs w:val="18"/>
              </w:rPr>
              <w:t>Nom de l'indicateur</w:t>
            </w:r>
          </w:p>
        </w:tc>
        <w:tc>
          <w:tcPr>
            <w:tcW w:w="850" w:type="dxa"/>
            <w:shd w:val="clear" w:color="auto" w:fill="A6A6A6" w:themeFill="background1" w:themeFillShade="A6"/>
            <w:vAlign w:val="center"/>
          </w:tcPr>
          <w:p w14:paraId="78E1BD1B" w14:textId="77777777" w:rsidR="0080283D" w:rsidRPr="00B715D2" w:rsidRDefault="0080283D" w:rsidP="002666E5">
            <w:pPr>
              <w:spacing w:line="276" w:lineRule="auto"/>
              <w:jc w:val="center"/>
              <w:rPr>
                <w:sz w:val="18"/>
                <w:szCs w:val="18"/>
              </w:rPr>
            </w:pPr>
            <w:r w:rsidRPr="00B715D2">
              <w:rPr>
                <w:sz w:val="18"/>
                <w:szCs w:val="18"/>
              </w:rPr>
              <w:t>Unité</w:t>
            </w:r>
          </w:p>
          <w:p w14:paraId="07209CF6" w14:textId="77777777" w:rsidR="0080283D" w:rsidRPr="00B715D2" w:rsidRDefault="0080283D" w:rsidP="002666E5">
            <w:pPr>
              <w:spacing w:line="276" w:lineRule="auto"/>
              <w:jc w:val="center"/>
              <w:rPr>
                <w:sz w:val="18"/>
                <w:szCs w:val="18"/>
              </w:rPr>
            </w:pPr>
            <w:r w:rsidRPr="00B715D2">
              <w:rPr>
                <w:sz w:val="18"/>
                <w:szCs w:val="18"/>
              </w:rPr>
              <w:t>de</w:t>
            </w:r>
          </w:p>
          <w:p w14:paraId="09324F6E" w14:textId="77777777" w:rsidR="0080283D" w:rsidRPr="00B715D2" w:rsidRDefault="0080283D" w:rsidP="002666E5">
            <w:pPr>
              <w:spacing w:line="276" w:lineRule="auto"/>
              <w:jc w:val="center"/>
              <w:rPr>
                <w:sz w:val="18"/>
                <w:szCs w:val="18"/>
              </w:rPr>
            </w:pPr>
            <w:r w:rsidRPr="00B715D2">
              <w:rPr>
                <w:sz w:val="18"/>
                <w:szCs w:val="18"/>
              </w:rPr>
              <w:t>mesure</w:t>
            </w:r>
          </w:p>
        </w:tc>
        <w:tc>
          <w:tcPr>
            <w:tcW w:w="1361" w:type="dxa"/>
            <w:shd w:val="clear" w:color="auto" w:fill="A6A6A6" w:themeFill="background1" w:themeFillShade="A6"/>
            <w:vAlign w:val="center"/>
          </w:tcPr>
          <w:p w14:paraId="6A1DDC11" w14:textId="77777777" w:rsidR="0080283D" w:rsidRPr="00B715D2" w:rsidRDefault="0080283D" w:rsidP="002666E5">
            <w:pPr>
              <w:spacing w:line="276" w:lineRule="auto"/>
              <w:jc w:val="center"/>
              <w:rPr>
                <w:sz w:val="18"/>
                <w:szCs w:val="18"/>
              </w:rPr>
            </w:pPr>
            <w:r w:rsidRPr="00B715D2">
              <w:rPr>
                <w:sz w:val="18"/>
                <w:szCs w:val="18"/>
              </w:rPr>
              <w:t>2014</w:t>
            </w:r>
          </w:p>
        </w:tc>
        <w:tc>
          <w:tcPr>
            <w:tcW w:w="1361" w:type="dxa"/>
            <w:shd w:val="clear" w:color="auto" w:fill="A6A6A6" w:themeFill="background1" w:themeFillShade="A6"/>
            <w:vAlign w:val="center"/>
          </w:tcPr>
          <w:p w14:paraId="16905F5B" w14:textId="77777777" w:rsidR="0080283D" w:rsidRPr="00B715D2" w:rsidRDefault="0080283D" w:rsidP="002666E5">
            <w:pPr>
              <w:spacing w:line="276" w:lineRule="auto"/>
              <w:jc w:val="center"/>
              <w:rPr>
                <w:sz w:val="18"/>
                <w:szCs w:val="18"/>
              </w:rPr>
            </w:pPr>
            <w:r w:rsidRPr="00B715D2">
              <w:rPr>
                <w:sz w:val="18"/>
                <w:szCs w:val="18"/>
              </w:rPr>
              <w:t>2015</w:t>
            </w:r>
          </w:p>
        </w:tc>
        <w:tc>
          <w:tcPr>
            <w:tcW w:w="1361" w:type="dxa"/>
            <w:shd w:val="clear" w:color="auto" w:fill="A6A6A6" w:themeFill="background1" w:themeFillShade="A6"/>
            <w:vAlign w:val="center"/>
          </w:tcPr>
          <w:p w14:paraId="576F2CE0" w14:textId="72609034" w:rsidR="0080283D" w:rsidRPr="00B715D2" w:rsidRDefault="0080283D" w:rsidP="002666E5">
            <w:pPr>
              <w:spacing w:line="276" w:lineRule="auto"/>
              <w:jc w:val="center"/>
              <w:rPr>
                <w:sz w:val="18"/>
                <w:szCs w:val="18"/>
              </w:rPr>
            </w:pPr>
            <w:r w:rsidRPr="00B715D2">
              <w:rPr>
                <w:sz w:val="18"/>
                <w:szCs w:val="18"/>
              </w:rPr>
              <w:t>2016</w:t>
            </w:r>
          </w:p>
        </w:tc>
        <w:tc>
          <w:tcPr>
            <w:tcW w:w="1361" w:type="dxa"/>
            <w:shd w:val="clear" w:color="auto" w:fill="A6A6A6" w:themeFill="background1" w:themeFillShade="A6"/>
            <w:vAlign w:val="center"/>
          </w:tcPr>
          <w:p w14:paraId="3D9F0EEB" w14:textId="6A7E4756" w:rsidR="0080283D" w:rsidRPr="00B715D2" w:rsidRDefault="0080283D" w:rsidP="005806D2">
            <w:pPr>
              <w:spacing w:line="276" w:lineRule="auto"/>
              <w:jc w:val="center"/>
              <w:rPr>
                <w:sz w:val="18"/>
                <w:szCs w:val="18"/>
              </w:rPr>
            </w:pPr>
            <w:r w:rsidRPr="00B715D2">
              <w:rPr>
                <w:sz w:val="18"/>
                <w:szCs w:val="18"/>
              </w:rPr>
              <w:t>2017</w:t>
            </w:r>
          </w:p>
        </w:tc>
        <w:tc>
          <w:tcPr>
            <w:tcW w:w="1361" w:type="dxa"/>
            <w:shd w:val="clear" w:color="auto" w:fill="A6A6A6" w:themeFill="background1" w:themeFillShade="A6"/>
            <w:vAlign w:val="center"/>
          </w:tcPr>
          <w:p w14:paraId="5C37A823" w14:textId="2E7539C8" w:rsidR="0080283D" w:rsidRPr="00B715D2" w:rsidRDefault="0080283D" w:rsidP="00B715D2">
            <w:pPr>
              <w:rPr>
                <w:sz w:val="18"/>
                <w:szCs w:val="18"/>
              </w:rPr>
            </w:pPr>
            <w:r w:rsidRPr="00B715D2">
              <w:rPr>
                <w:sz w:val="18"/>
                <w:szCs w:val="18"/>
              </w:rPr>
              <w:t>2018</w:t>
            </w:r>
          </w:p>
        </w:tc>
      </w:tr>
      <w:tr w:rsidR="0021219D" w:rsidRPr="00B715D2" w14:paraId="6294C0D6" w14:textId="5E3A1BFB" w:rsidTr="0021219D">
        <w:trPr>
          <w:trHeight w:val="794"/>
        </w:trPr>
        <w:tc>
          <w:tcPr>
            <w:tcW w:w="704" w:type="dxa"/>
            <w:shd w:val="clear" w:color="auto" w:fill="D9D9D9" w:themeFill="background1" w:themeFillShade="D9"/>
            <w:vAlign w:val="center"/>
          </w:tcPr>
          <w:p w14:paraId="0BA3868E" w14:textId="77777777" w:rsidR="0080283D" w:rsidRPr="00B715D2" w:rsidRDefault="0080283D" w:rsidP="002666E5">
            <w:pPr>
              <w:spacing w:line="276" w:lineRule="auto"/>
              <w:jc w:val="center"/>
              <w:rPr>
                <w:sz w:val="18"/>
                <w:szCs w:val="18"/>
              </w:rPr>
            </w:pPr>
            <w:r w:rsidRPr="00B715D2">
              <w:rPr>
                <w:sz w:val="18"/>
                <w:szCs w:val="18"/>
              </w:rPr>
              <w:t>(1)</w:t>
            </w:r>
          </w:p>
        </w:tc>
        <w:tc>
          <w:tcPr>
            <w:tcW w:w="851" w:type="dxa"/>
          </w:tcPr>
          <w:p w14:paraId="1B6DB9C6" w14:textId="77777777" w:rsidR="0080283D" w:rsidRPr="00B715D2" w:rsidRDefault="0080283D" w:rsidP="002666E5">
            <w:pPr>
              <w:spacing w:line="276" w:lineRule="auto"/>
              <w:rPr>
                <w:sz w:val="18"/>
                <w:szCs w:val="18"/>
              </w:rPr>
            </w:pPr>
            <w:r w:rsidRPr="00B715D2">
              <w:rPr>
                <w:sz w:val="18"/>
                <w:szCs w:val="18"/>
              </w:rPr>
              <w:t>Montant total des dépenses publiques éligibles approuvé dans les documents fixant les conditions du soutien aux opérations</w:t>
            </w:r>
          </w:p>
        </w:tc>
        <w:tc>
          <w:tcPr>
            <w:tcW w:w="850" w:type="dxa"/>
            <w:vAlign w:val="center"/>
          </w:tcPr>
          <w:p w14:paraId="5B7C9FA5" w14:textId="77777777" w:rsidR="0080283D" w:rsidRPr="00B715D2" w:rsidRDefault="0080283D" w:rsidP="002666E5">
            <w:pPr>
              <w:spacing w:line="276" w:lineRule="auto"/>
              <w:jc w:val="center"/>
              <w:rPr>
                <w:sz w:val="18"/>
                <w:szCs w:val="18"/>
              </w:rPr>
            </w:pPr>
            <w:r w:rsidRPr="00B715D2">
              <w:rPr>
                <w:sz w:val="18"/>
                <w:szCs w:val="18"/>
              </w:rPr>
              <w:t>EUR</w:t>
            </w:r>
          </w:p>
        </w:tc>
        <w:tc>
          <w:tcPr>
            <w:tcW w:w="1361" w:type="dxa"/>
            <w:vAlign w:val="center"/>
          </w:tcPr>
          <w:p w14:paraId="5705580E" w14:textId="4EA3F483" w:rsidR="0080283D" w:rsidRPr="00B715D2" w:rsidRDefault="0080283D" w:rsidP="00A61F8A">
            <w:pPr>
              <w:spacing w:line="276" w:lineRule="auto"/>
              <w:jc w:val="left"/>
              <w:rPr>
                <w:sz w:val="18"/>
                <w:szCs w:val="18"/>
              </w:rPr>
            </w:pPr>
            <w:r w:rsidRPr="00B715D2">
              <w:rPr>
                <w:sz w:val="18"/>
                <w:szCs w:val="18"/>
              </w:rPr>
              <w:t>12.695.237,36€</w:t>
            </w:r>
          </w:p>
          <w:p w14:paraId="030FE622" w14:textId="77777777" w:rsidR="0080283D" w:rsidRPr="00B715D2" w:rsidRDefault="0080283D" w:rsidP="00A61F8A">
            <w:pPr>
              <w:spacing w:line="276" w:lineRule="auto"/>
              <w:jc w:val="left"/>
              <w:rPr>
                <w:sz w:val="18"/>
                <w:szCs w:val="18"/>
              </w:rPr>
            </w:pPr>
          </w:p>
          <w:p w14:paraId="13FC600D" w14:textId="77777777" w:rsidR="0080283D" w:rsidRPr="00B715D2" w:rsidRDefault="0080283D" w:rsidP="00A61F8A">
            <w:pPr>
              <w:spacing w:line="276" w:lineRule="auto"/>
              <w:jc w:val="left"/>
              <w:rPr>
                <w:sz w:val="18"/>
                <w:szCs w:val="18"/>
              </w:rPr>
            </w:pPr>
            <w:r w:rsidRPr="00B715D2">
              <w:rPr>
                <w:sz w:val="18"/>
                <w:szCs w:val="18"/>
              </w:rPr>
              <w:t xml:space="preserve">11.871.000,00€ (montant appel à </w:t>
            </w:r>
            <w:proofErr w:type="spellStart"/>
            <w:r w:rsidRPr="00B715D2">
              <w:rPr>
                <w:sz w:val="18"/>
                <w:szCs w:val="18"/>
              </w:rPr>
              <w:t>marché</w:t>
            </w:r>
            <w:proofErr w:type="spellEnd"/>
            <w:r w:rsidRPr="00B715D2">
              <w:rPr>
                <w:sz w:val="18"/>
                <w:szCs w:val="18"/>
              </w:rPr>
              <w:t xml:space="preserve"> 2014) + 712.260,00€ (coût TVA 6%) + 111.977,36€ (assistance technique)</w:t>
            </w:r>
          </w:p>
        </w:tc>
        <w:tc>
          <w:tcPr>
            <w:tcW w:w="1361" w:type="dxa"/>
            <w:vAlign w:val="center"/>
          </w:tcPr>
          <w:p w14:paraId="53FD80F4" w14:textId="02E81997" w:rsidR="0080283D" w:rsidRPr="00B715D2" w:rsidRDefault="0080283D" w:rsidP="00A61F8A">
            <w:pPr>
              <w:spacing w:line="276" w:lineRule="auto"/>
              <w:jc w:val="left"/>
              <w:rPr>
                <w:sz w:val="18"/>
                <w:szCs w:val="18"/>
              </w:rPr>
            </w:pPr>
            <w:r w:rsidRPr="00B715D2">
              <w:rPr>
                <w:sz w:val="18"/>
                <w:szCs w:val="18"/>
              </w:rPr>
              <w:t>13.282.352,12€</w:t>
            </w:r>
          </w:p>
          <w:p w14:paraId="3F490441" w14:textId="77777777" w:rsidR="0080283D" w:rsidRPr="00B715D2" w:rsidRDefault="0080283D" w:rsidP="00A61F8A">
            <w:pPr>
              <w:spacing w:line="276" w:lineRule="auto"/>
              <w:jc w:val="left"/>
              <w:rPr>
                <w:sz w:val="18"/>
                <w:szCs w:val="18"/>
              </w:rPr>
            </w:pPr>
          </w:p>
          <w:p w14:paraId="6F3515DD" w14:textId="4C292852" w:rsidR="0080283D" w:rsidRPr="00B715D2" w:rsidRDefault="0080283D" w:rsidP="00A61F8A">
            <w:pPr>
              <w:spacing w:line="276" w:lineRule="auto"/>
              <w:jc w:val="left"/>
              <w:rPr>
                <w:sz w:val="18"/>
                <w:szCs w:val="18"/>
              </w:rPr>
            </w:pPr>
            <w:r w:rsidRPr="00B715D2">
              <w:rPr>
                <w:sz w:val="18"/>
                <w:szCs w:val="18"/>
              </w:rPr>
              <w:t xml:space="preserve">12.092.000,00€ (montant appel à </w:t>
            </w:r>
            <w:proofErr w:type="spellStart"/>
            <w:r w:rsidRPr="00B715D2">
              <w:rPr>
                <w:sz w:val="18"/>
                <w:szCs w:val="18"/>
              </w:rPr>
              <w:t>marché</w:t>
            </w:r>
            <w:proofErr w:type="spellEnd"/>
            <w:r w:rsidRPr="00B715D2">
              <w:rPr>
                <w:sz w:val="18"/>
                <w:szCs w:val="18"/>
              </w:rPr>
              <w:t xml:space="preserve"> 2015) + 725.520,00€ (coût TVA 6%) + 464.832,12€ (assistance technique)</w:t>
            </w:r>
          </w:p>
        </w:tc>
        <w:tc>
          <w:tcPr>
            <w:tcW w:w="1361" w:type="dxa"/>
            <w:vAlign w:val="center"/>
          </w:tcPr>
          <w:p w14:paraId="638A43EC" w14:textId="48E32F8C" w:rsidR="0080283D" w:rsidRPr="00B715D2" w:rsidRDefault="0080283D" w:rsidP="00A61F8A">
            <w:pPr>
              <w:spacing w:line="276" w:lineRule="auto"/>
              <w:jc w:val="left"/>
              <w:rPr>
                <w:sz w:val="18"/>
                <w:szCs w:val="18"/>
              </w:rPr>
            </w:pPr>
            <w:r w:rsidRPr="00B715D2">
              <w:rPr>
                <w:sz w:val="18"/>
                <w:szCs w:val="18"/>
              </w:rPr>
              <w:t>11.096.510,27€</w:t>
            </w:r>
          </w:p>
          <w:p w14:paraId="4A5CA1FB" w14:textId="77777777" w:rsidR="0080283D" w:rsidRPr="00B715D2" w:rsidRDefault="0080283D" w:rsidP="00A61F8A">
            <w:pPr>
              <w:spacing w:line="276" w:lineRule="auto"/>
              <w:jc w:val="left"/>
              <w:rPr>
                <w:sz w:val="18"/>
                <w:szCs w:val="18"/>
              </w:rPr>
            </w:pPr>
          </w:p>
          <w:p w14:paraId="6C20C015" w14:textId="3C59FEA1" w:rsidR="0080283D" w:rsidRPr="00B715D2" w:rsidRDefault="0080283D" w:rsidP="00A61F8A">
            <w:pPr>
              <w:spacing w:line="276" w:lineRule="auto"/>
              <w:jc w:val="left"/>
              <w:rPr>
                <w:sz w:val="18"/>
                <w:szCs w:val="18"/>
              </w:rPr>
            </w:pPr>
            <w:r w:rsidRPr="00B715D2">
              <w:rPr>
                <w:sz w:val="18"/>
                <w:szCs w:val="18"/>
              </w:rPr>
              <w:t xml:space="preserve">10.067.924,53€ (montant appel à </w:t>
            </w:r>
            <w:proofErr w:type="spellStart"/>
            <w:r w:rsidRPr="00B715D2">
              <w:rPr>
                <w:sz w:val="18"/>
                <w:szCs w:val="18"/>
              </w:rPr>
              <w:t>marché</w:t>
            </w:r>
            <w:proofErr w:type="spellEnd"/>
            <w:r w:rsidRPr="00B715D2">
              <w:rPr>
                <w:sz w:val="18"/>
                <w:szCs w:val="18"/>
              </w:rPr>
              <w:t xml:space="preserve"> 2016) + 604.075,47€ (coût TVA 6%) + 424.510,27€ (assistance technique)</w:t>
            </w:r>
          </w:p>
        </w:tc>
        <w:tc>
          <w:tcPr>
            <w:tcW w:w="1361" w:type="dxa"/>
            <w:vAlign w:val="center"/>
          </w:tcPr>
          <w:p w14:paraId="2FF5890E" w14:textId="12319477" w:rsidR="0080283D" w:rsidRPr="00B715D2" w:rsidRDefault="0080283D" w:rsidP="00A61F8A">
            <w:pPr>
              <w:spacing w:line="276" w:lineRule="auto"/>
              <w:jc w:val="left"/>
              <w:rPr>
                <w:sz w:val="18"/>
                <w:szCs w:val="18"/>
              </w:rPr>
            </w:pPr>
            <w:r w:rsidRPr="00B715D2">
              <w:rPr>
                <w:sz w:val="18"/>
                <w:szCs w:val="18"/>
              </w:rPr>
              <w:t>14.075.586,71€</w:t>
            </w:r>
          </w:p>
          <w:p w14:paraId="4D1E8945" w14:textId="77777777" w:rsidR="0080283D" w:rsidRPr="00B715D2" w:rsidRDefault="0080283D" w:rsidP="00A61F8A">
            <w:pPr>
              <w:spacing w:line="276" w:lineRule="auto"/>
              <w:jc w:val="left"/>
              <w:rPr>
                <w:sz w:val="18"/>
                <w:szCs w:val="18"/>
              </w:rPr>
            </w:pPr>
          </w:p>
          <w:p w14:paraId="607296F1" w14:textId="6CDE8523" w:rsidR="0080283D" w:rsidRPr="00B715D2" w:rsidRDefault="0080283D" w:rsidP="00A61F8A">
            <w:pPr>
              <w:spacing w:line="276" w:lineRule="auto"/>
              <w:jc w:val="left"/>
              <w:rPr>
                <w:sz w:val="18"/>
                <w:szCs w:val="18"/>
              </w:rPr>
            </w:pPr>
            <w:r w:rsidRPr="00B715D2">
              <w:rPr>
                <w:sz w:val="18"/>
                <w:szCs w:val="18"/>
              </w:rPr>
              <w:t xml:space="preserve">12.550.188,86€ (montant appel à </w:t>
            </w:r>
            <w:proofErr w:type="spellStart"/>
            <w:r w:rsidRPr="00B715D2">
              <w:rPr>
                <w:sz w:val="18"/>
                <w:szCs w:val="18"/>
              </w:rPr>
              <w:t>marché</w:t>
            </w:r>
            <w:proofErr w:type="spellEnd"/>
            <w:r w:rsidRPr="00B715D2">
              <w:rPr>
                <w:sz w:val="18"/>
                <w:szCs w:val="18"/>
              </w:rPr>
              <w:t xml:space="preserve"> 2017) + 753.011,32€ (coût TVA 6%) + 289.817,25€ (forfait 5%) + 482.569,46€ (assistance technique)</w:t>
            </w:r>
          </w:p>
        </w:tc>
        <w:tc>
          <w:tcPr>
            <w:tcW w:w="1361" w:type="dxa"/>
            <w:vAlign w:val="center"/>
          </w:tcPr>
          <w:p w14:paraId="0BE63C1E" w14:textId="7CD985DB" w:rsidR="00FE58FC" w:rsidRPr="00FE58FC" w:rsidRDefault="00FE58FC" w:rsidP="00FE58FC">
            <w:pPr>
              <w:jc w:val="left"/>
              <w:rPr>
                <w:sz w:val="18"/>
                <w:szCs w:val="18"/>
              </w:rPr>
            </w:pPr>
            <w:r>
              <w:rPr>
                <w:sz w:val="18"/>
                <w:szCs w:val="18"/>
              </w:rPr>
              <w:t>13.681.679,96</w:t>
            </w:r>
            <w:r w:rsidRPr="00FE58FC">
              <w:rPr>
                <w:sz w:val="18"/>
                <w:szCs w:val="18"/>
              </w:rPr>
              <w:t>€</w:t>
            </w:r>
          </w:p>
          <w:p w14:paraId="51163E46" w14:textId="77777777" w:rsidR="0021219D" w:rsidRPr="00B715D2" w:rsidRDefault="0021219D" w:rsidP="0021219D">
            <w:pPr>
              <w:spacing w:line="276" w:lineRule="auto"/>
              <w:jc w:val="left"/>
              <w:rPr>
                <w:sz w:val="18"/>
                <w:szCs w:val="18"/>
              </w:rPr>
            </w:pPr>
          </w:p>
          <w:p w14:paraId="76506125" w14:textId="6A3FE34E" w:rsidR="0080283D" w:rsidRPr="00B715D2" w:rsidRDefault="0021219D" w:rsidP="002E17C5">
            <w:pPr>
              <w:jc w:val="left"/>
              <w:rPr>
                <w:sz w:val="18"/>
                <w:szCs w:val="18"/>
              </w:rPr>
            </w:pPr>
            <w:r w:rsidRPr="00B715D2">
              <w:rPr>
                <w:sz w:val="18"/>
                <w:szCs w:val="18"/>
              </w:rPr>
              <w:t>12</w:t>
            </w:r>
            <w:r>
              <w:rPr>
                <w:sz w:val="18"/>
                <w:szCs w:val="18"/>
              </w:rPr>
              <w:t xml:space="preserve">.208.896,23€ (montant appel à </w:t>
            </w:r>
            <w:proofErr w:type="spellStart"/>
            <w:r>
              <w:rPr>
                <w:sz w:val="18"/>
                <w:szCs w:val="18"/>
              </w:rPr>
              <w:t>marché</w:t>
            </w:r>
            <w:proofErr w:type="spellEnd"/>
            <w:r>
              <w:rPr>
                <w:sz w:val="18"/>
                <w:szCs w:val="18"/>
              </w:rPr>
              <w:t xml:space="preserve"> 2018</w:t>
            </w:r>
            <w:r w:rsidRPr="00B715D2">
              <w:rPr>
                <w:sz w:val="18"/>
                <w:szCs w:val="18"/>
              </w:rPr>
              <w:t xml:space="preserve">) + </w:t>
            </w:r>
            <w:r>
              <w:rPr>
                <w:sz w:val="18"/>
                <w:szCs w:val="18"/>
              </w:rPr>
              <w:t>732.533,77</w:t>
            </w:r>
            <w:r w:rsidRPr="00B715D2">
              <w:rPr>
                <w:sz w:val="18"/>
                <w:szCs w:val="18"/>
              </w:rPr>
              <w:t xml:space="preserve">€ (coût TVA 6%) + </w:t>
            </w:r>
            <w:r w:rsidR="00FE58FC" w:rsidRPr="00FE58FC">
              <w:rPr>
                <w:sz w:val="18"/>
                <w:szCs w:val="18"/>
              </w:rPr>
              <w:t xml:space="preserve">312.067,58 </w:t>
            </w:r>
            <w:r w:rsidRPr="00FE58FC">
              <w:rPr>
                <w:sz w:val="18"/>
                <w:szCs w:val="18"/>
              </w:rPr>
              <w:t xml:space="preserve">(forfait 5%) </w:t>
            </w:r>
            <w:r w:rsidRPr="00B715D2">
              <w:rPr>
                <w:sz w:val="18"/>
                <w:szCs w:val="18"/>
              </w:rPr>
              <w:t xml:space="preserve">+ </w:t>
            </w:r>
            <w:r w:rsidR="002E17C5">
              <w:rPr>
                <w:sz w:val="18"/>
                <w:szCs w:val="18"/>
              </w:rPr>
              <w:t>428.182,38</w:t>
            </w:r>
            <w:r w:rsidRPr="00B715D2">
              <w:rPr>
                <w:sz w:val="18"/>
                <w:szCs w:val="18"/>
              </w:rPr>
              <w:t>€ (assistance technique)</w:t>
            </w:r>
          </w:p>
        </w:tc>
      </w:tr>
      <w:tr w:rsidR="0021219D" w:rsidRPr="00B715D2" w14:paraId="2FBC1124" w14:textId="04ABB70A" w:rsidTr="0021219D">
        <w:trPr>
          <w:trHeight w:val="794"/>
        </w:trPr>
        <w:tc>
          <w:tcPr>
            <w:tcW w:w="704" w:type="dxa"/>
            <w:shd w:val="clear" w:color="auto" w:fill="D9D9D9" w:themeFill="background1" w:themeFillShade="D9"/>
            <w:vAlign w:val="center"/>
          </w:tcPr>
          <w:p w14:paraId="7FB6ADD3" w14:textId="7997BC45" w:rsidR="0080283D" w:rsidRPr="00B715D2" w:rsidRDefault="0080283D" w:rsidP="002666E5">
            <w:pPr>
              <w:spacing w:line="276" w:lineRule="auto"/>
              <w:jc w:val="center"/>
              <w:rPr>
                <w:sz w:val="18"/>
                <w:szCs w:val="18"/>
              </w:rPr>
            </w:pPr>
            <w:r w:rsidRPr="00B715D2">
              <w:rPr>
                <w:sz w:val="18"/>
                <w:szCs w:val="18"/>
              </w:rPr>
              <w:t>(2)</w:t>
            </w:r>
          </w:p>
        </w:tc>
        <w:tc>
          <w:tcPr>
            <w:tcW w:w="851" w:type="dxa"/>
          </w:tcPr>
          <w:p w14:paraId="1E3780EC" w14:textId="77777777" w:rsidR="0080283D" w:rsidRPr="00B715D2" w:rsidRDefault="0080283D" w:rsidP="002666E5">
            <w:pPr>
              <w:spacing w:line="276" w:lineRule="auto"/>
              <w:rPr>
                <w:sz w:val="18"/>
                <w:szCs w:val="18"/>
              </w:rPr>
            </w:pPr>
            <w:r w:rsidRPr="00B715D2">
              <w:rPr>
                <w:sz w:val="18"/>
                <w:szCs w:val="18"/>
              </w:rPr>
              <w:t>Montant total des dépenses publiques éligibles engagées par les bénéficiaires et effectuées au cours de l'exécution des opérations dont,</w:t>
            </w:r>
          </w:p>
        </w:tc>
        <w:tc>
          <w:tcPr>
            <w:tcW w:w="850" w:type="dxa"/>
            <w:vAlign w:val="center"/>
          </w:tcPr>
          <w:p w14:paraId="5259AE95" w14:textId="77777777" w:rsidR="0080283D" w:rsidRPr="00B715D2" w:rsidRDefault="0080283D" w:rsidP="002666E5">
            <w:pPr>
              <w:spacing w:line="276" w:lineRule="auto"/>
              <w:jc w:val="center"/>
              <w:rPr>
                <w:sz w:val="18"/>
                <w:szCs w:val="18"/>
              </w:rPr>
            </w:pPr>
            <w:r w:rsidRPr="00B715D2">
              <w:rPr>
                <w:sz w:val="18"/>
                <w:szCs w:val="18"/>
              </w:rPr>
              <w:t>EUR</w:t>
            </w:r>
          </w:p>
        </w:tc>
        <w:tc>
          <w:tcPr>
            <w:tcW w:w="1361" w:type="dxa"/>
            <w:vAlign w:val="center"/>
          </w:tcPr>
          <w:p w14:paraId="558B6398" w14:textId="4594023F" w:rsidR="0080283D" w:rsidRPr="00B715D2" w:rsidRDefault="0080283D" w:rsidP="002666E5">
            <w:pPr>
              <w:spacing w:line="276" w:lineRule="auto"/>
              <w:jc w:val="right"/>
              <w:rPr>
                <w:sz w:val="18"/>
                <w:szCs w:val="18"/>
              </w:rPr>
            </w:pPr>
            <w:r w:rsidRPr="00B715D2">
              <w:rPr>
                <w:sz w:val="18"/>
                <w:szCs w:val="18"/>
              </w:rPr>
              <w:t>9.799.065,01€</w:t>
            </w:r>
          </w:p>
        </w:tc>
        <w:tc>
          <w:tcPr>
            <w:tcW w:w="1361" w:type="dxa"/>
            <w:vAlign w:val="center"/>
          </w:tcPr>
          <w:p w14:paraId="5F789369" w14:textId="5A26F810" w:rsidR="0080283D" w:rsidRPr="00B715D2" w:rsidRDefault="0080283D" w:rsidP="002666E5">
            <w:pPr>
              <w:spacing w:line="276" w:lineRule="auto"/>
              <w:jc w:val="right"/>
              <w:rPr>
                <w:sz w:val="18"/>
                <w:szCs w:val="18"/>
              </w:rPr>
            </w:pPr>
            <w:r w:rsidRPr="00B715D2">
              <w:rPr>
                <w:sz w:val="18"/>
                <w:szCs w:val="18"/>
              </w:rPr>
              <w:t>6.170.520,51€</w:t>
            </w:r>
          </w:p>
        </w:tc>
        <w:tc>
          <w:tcPr>
            <w:tcW w:w="1361" w:type="dxa"/>
            <w:vAlign w:val="center"/>
          </w:tcPr>
          <w:p w14:paraId="261F0F3C" w14:textId="7127D330" w:rsidR="0080283D" w:rsidRPr="00B715D2" w:rsidRDefault="0080283D" w:rsidP="005806D2">
            <w:pPr>
              <w:spacing w:line="276" w:lineRule="auto"/>
              <w:jc w:val="left"/>
              <w:rPr>
                <w:sz w:val="18"/>
                <w:szCs w:val="18"/>
              </w:rPr>
            </w:pPr>
            <w:r w:rsidRPr="00B715D2">
              <w:rPr>
                <w:sz w:val="18"/>
                <w:szCs w:val="18"/>
              </w:rPr>
              <w:t>12.970.034,41€</w:t>
            </w:r>
          </w:p>
        </w:tc>
        <w:tc>
          <w:tcPr>
            <w:tcW w:w="1361" w:type="dxa"/>
            <w:vAlign w:val="center"/>
          </w:tcPr>
          <w:p w14:paraId="7D0BD195" w14:textId="2442B575" w:rsidR="0080283D" w:rsidRPr="00B715D2" w:rsidRDefault="0080283D" w:rsidP="00C401E0">
            <w:pPr>
              <w:jc w:val="center"/>
              <w:rPr>
                <w:sz w:val="18"/>
                <w:szCs w:val="18"/>
              </w:rPr>
            </w:pPr>
            <w:r w:rsidRPr="00B715D2">
              <w:rPr>
                <w:sz w:val="18"/>
                <w:szCs w:val="18"/>
              </w:rPr>
              <w:t>12.625.165,73€</w:t>
            </w:r>
          </w:p>
        </w:tc>
        <w:tc>
          <w:tcPr>
            <w:tcW w:w="1361" w:type="dxa"/>
            <w:vAlign w:val="center"/>
          </w:tcPr>
          <w:p w14:paraId="4A99B201" w14:textId="1DD8F772" w:rsidR="0080283D" w:rsidRPr="00B715D2" w:rsidRDefault="00FE58FC" w:rsidP="00C401E0">
            <w:pPr>
              <w:jc w:val="center"/>
              <w:rPr>
                <w:sz w:val="18"/>
                <w:szCs w:val="18"/>
              </w:rPr>
            </w:pPr>
            <w:r>
              <w:rPr>
                <w:sz w:val="18"/>
                <w:szCs w:val="18"/>
              </w:rPr>
              <w:t>11.463.452,23€</w:t>
            </w:r>
          </w:p>
        </w:tc>
      </w:tr>
      <w:tr w:rsidR="0021219D" w:rsidRPr="00B715D2" w14:paraId="2675667B" w14:textId="054EB31F" w:rsidTr="0021219D">
        <w:trPr>
          <w:trHeight w:val="794"/>
        </w:trPr>
        <w:tc>
          <w:tcPr>
            <w:tcW w:w="704" w:type="dxa"/>
            <w:shd w:val="clear" w:color="auto" w:fill="D9D9D9" w:themeFill="background1" w:themeFillShade="D9"/>
            <w:vAlign w:val="center"/>
          </w:tcPr>
          <w:p w14:paraId="5CEA5E6E" w14:textId="77777777" w:rsidR="0080283D" w:rsidRPr="00B715D2" w:rsidRDefault="0080283D" w:rsidP="002666E5">
            <w:pPr>
              <w:spacing w:line="276" w:lineRule="auto"/>
              <w:jc w:val="center"/>
              <w:rPr>
                <w:sz w:val="18"/>
                <w:szCs w:val="18"/>
              </w:rPr>
            </w:pPr>
            <w:r w:rsidRPr="00B715D2">
              <w:rPr>
                <w:sz w:val="18"/>
                <w:szCs w:val="18"/>
              </w:rPr>
              <w:t>(2a)</w:t>
            </w:r>
          </w:p>
        </w:tc>
        <w:tc>
          <w:tcPr>
            <w:tcW w:w="851" w:type="dxa"/>
          </w:tcPr>
          <w:p w14:paraId="26357F53" w14:textId="77777777" w:rsidR="0080283D" w:rsidRPr="00B715D2" w:rsidRDefault="0080283D" w:rsidP="002666E5">
            <w:pPr>
              <w:spacing w:line="276" w:lineRule="auto"/>
              <w:rPr>
                <w:sz w:val="18"/>
                <w:szCs w:val="18"/>
              </w:rPr>
            </w:pPr>
            <w:r w:rsidRPr="00B715D2">
              <w:rPr>
                <w:sz w:val="18"/>
                <w:szCs w:val="18"/>
              </w:rPr>
              <w:t xml:space="preserve">Montant total des dépenses publiques éligibles engagées par les bénéficiaires et </w:t>
            </w:r>
            <w:r w:rsidRPr="00B715D2">
              <w:rPr>
                <w:sz w:val="18"/>
                <w:szCs w:val="18"/>
              </w:rPr>
              <w:lastRenderedPageBreak/>
              <w:t>effectuées au cours de l'exécution des opérations de distribution de l'aide alimentaire</w:t>
            </w:r>
          </w:p>
        </w:tc>
        <w:tc>
          <w:tcPr>
            <w:tcW w:w="850" w:type="dxa"/>
            <w:vAlign w:val="center"/>
          </w:tcPr>
          <w:p w14:paraId="6D625310" w14:textId="77777777" w:rsidR="0080283D" w:rsidRPr="00B715D2" w:rsidRDefault="0080283D" w:rsidP="002666E5">
            <w:pPr>
              <w:spacing w:line="276" w:lineRule="auto"/>
              <w:jc w:val="center"/>
              <w:rPr>
                <w:sz w:val="18"/>
                <w:szCs w:val="18"/>
              </w:rPr>
            </w:pPr>
            <w:r w:rsidRPr="00B715D2">
              <w:rPr>
                <w:sz w:val="18"/>
                <w:szCs w:val="18"/>
              </w:rPr>
              <w:lastRenderedPageBreak/>
              <w:t>EUR</w:t>
            </w:r>
          </w:p>
        </w:tc>
        <w:tc>
          <w:tcPr>
            <w:tcW w:w="1361" w:type="dxa"/>
            <w:vAlign w:val="center"/>
          </w:tcPr>
          <w:p w14:paraId="70198AB0" w14:textId="5ECEFB85" w:rsidR="0080283D" w:rsidRPr="00B715D2" w:rsidRDefault="0080283D" w:rsidP="002666E5">
            <w:pPr>
              <w:spacing w:line="276" w:lineRule="auto"/>
              <w:jc w:val="right"/>
              <w:rPr>
                <w:sz w:val="18"/>
                <w:szCs w:val="18"/>
              </w:rPr>
            </w:pPr>
            <w:r w:rsidRPr="00B715D2">
              <w:rPr>
                <w:sz w:val="18"/>
                <w:szCs w:val="18"/>
              </w:rPr>
              <w:t>9.687.087,650e</w:t>
            </w:r>
          </w:p>
        </w:tc>
        <w:tc>
          <w:tcPr>
            <w:tcW w:w="1361" w:type="dxa"/>
            <w:vAlign w:val="center"/>
          </w:tcPr>
          <w:p w14:paraId="1EEA8823" w14:textId="7A926F91" w:rsidR="0080283D" w:rsidRPr="00B715D2" w:rsidRDefault="0080283D" w:rsidP="002666E5">
            <w:pPr>
              <w:spacing w:line="276" w:lineRule="auto"/>
              <w:jc w:val="right"/>
              <w:rPr>
                <w:sz w:val="18"/>
                <w:szCs w:val="18"/>
              </w:rPr>
            </w:pPr>
            <w:r w:rsidRPr="00B715D2">
              <w:rPr>
                <w:sz w:val="18"/>
                <w:szCs w:val="18"/>
              </w:rPr>
              <w:t>5.705.688,39€</w:t>
            </w:r>
          </w:p>
        </w:tc>
        <w:tc>
          <w:tcPr>
            <w:tcW w:w="1361" w:type="dxa"/>
            <w:vAlign w:val="center"/>
          </w:tcPr>
          <w:p w14:paraId="3B8E56BE" w14:textId="492DBC02" w:rsidR="0080283D" w:rsidRPr="00B715D2" w:rsidRDefault="0080283D" w:rsidP="002666E5">
            <w:pPr>
              <w:spacing w:line="276" w:lineRule="auto"/>
              <w:jc w:val="right"/>
              <w:rPr>
                <w:sz w:val="18"/>
                <w:szCs w:val="18"/>
              </w:rPr>
            </w:pPr>
            <w:r w:rsidRPr="00B715D2">
              <w:rPr>
                <w:sz w:val="18"/>
                <w:szCs w:val="18"/>
              </w:rPr>
              <w:t>12.545.524,14€</w:t>
            </w:r>
          </w:p>
        </w:tc>
        <w:tc>
          <w:tcPr>
            <w:tcW w:w="1361" w:type="dxa"/>
            <w:vAlign w:val="center"/>
          </w:tcPr>
          <w:p w14:paraId="0CC46294" w14:textId="143D1493" w:rsidR="0080283D" w:rsidRPr="00B715D2" w:rsidRDefault="0080283D" w:rsidP="00C401E0">
            <w:pPr>
              <w:jc w:val="center"/>
              <w:rPr>
                <w:sz w:val="18"/>
                <w:szCs w:val="18"/>
              </w:rPr>
            </w:pPr>
            <w:r w:rsidRPr="00B715D2">
              <w:rPr>
                <w:sz w:val="18"/>
                <w:szCs w:val="18"/>
              </w:rPr>
              <w:t>12.142.596,27€</w:t>
            </w:r>
          </w:p>
        </w:tc>
        <w:tc>
          <w:tcPr>
            <w:tcW w:w="1361" w:type="dxa"/>
            <w:vAlign w:val="center"/>
          </w:tcPr>
          <w:p w14:paraId="373A6F2C" w14:textId="4BF77EDD" w:rsidR="0080283D" w:rsidRPr="00B715D2" w:rsidRDefault="00FE58FC" w:rsidP="00C401E0">
            <w:pPr>
              <w:jc w:val="center"/>
              <w:rPr>
                <w:sz w:val="18"/>
                <w:szCs w:val="18"/>
              </w:rPr>
            </w:pPr>
            <w:r>
              <w:rPr>
                <w:sz w:val="18"/>
                <w:szCs w:val="18"/>
              </w:rPr>
              <w:t>11.035.269,85€</w:t>
            </w:r>
          </w:p>
        </w:tc>
      </w:tr>
      <w:tr w:rsidR="0021219D" w:rsidRPr="00B715D2" w14:paraId="26893E9E" w14:textId="57C7CCB1" w:rsidTr="0021219D">
        <w:trPr>
          <w:trHeight w:val="794"/>
        </w:trPr>
        <w:tc>
          <w:tcPr>
            <w:tcW w:w="704" w:type="dxa"/>
            <w:shd w:val="clear" w:color="auto" w:fill="D9D9D9" w:themeFill="background1" w:themeFillShade="D9"/>
            <w:vAlign w:val="center"/>
          </w:tcPr>
          <w:p w14:paraId="00E94644" w14:textId="79116F85" w:rsidR="0080283D" w:rsidRPr="00B715D2" w:rsidRDefault="0080283D" w:rsidP="002666E5">
            <w:pPr>
              <w:spacing w:line="276" w:lineRule="auto"/>
              <w:jc w:val="center"/>
              <w:rPr>
                <w:sz w:val="18"/>
                <w:szCs w:val="18"/>
              </w:rPr>
            </w:pPr>
            <w:r w:rsidRPr="00B715D2">
              <w:rPr>
                <w:sz w:val="18"/>
                <w:szCs w:val="18"/>
              </w:rPr>
              <w:t>(2b)</w:t>
            </w:r>
          </w:p>
        </w:tc>
        <w:tc>
          <w:tcPr>
            <w:tcW w:w="851" w:type="dxa"/>
          </w:tcPr>
          <w:p w14:paraId="1039606B" w14:textId="77777777" w:rsidR="0080283D" w:rsidRPr="00B715D2" w:rsidRDefault="0080283D" w:rsidP="002666E5">
            <w:pPr>
              <w:spacing w:line="276" w:lineRule="auto"/>
              <w:rPr>
                <w:sz w:val="18"/>
                <w:szCs w:val="18"/>
              </w:rPr>
            </w:pPr>
            <w:r w:rsidRPr="00B715D2">
              <w:rPr>
                <w:sz w:val="18"/>
                <w:szCs w:val="18"/>
              </w:rPr>
              <w:t>Montant total des dépenses publiques éligibles engagées par les bénéficiaires et effectuées au cours de l'exécution des opérations liées à la fourniture d'une assistance matérielle de base</w:t>
            </w:r>
          </w:p>
        </w:tc>
        <w:tc>
          <w:tcPr>
            <w:tcW w:w="850" w:type="dxa"/>
            <w:vAlign w:val="center"/>
          </w:tcPr>
          <w:p w14:paraId="0434A7D1" w14:textId="77777777" w:rsidR="0080283D" w:rsidRPr="00B715D2" w:rsidRDefault="0080283D" w:rsidP="002666E5">
            <w:pPr>
              <w:spacing w:line="276" w:lineRule="auto"/>
              <w:jc w:val="center"/>
              <w:rPr>
                <w:sz w:val="18"/>
                <w:szCs w:val="18"/>
              </w:rPr>
            </w:pPr>
            <w:r w:rsidRPr="00B715D2">
              <w:rPr>
                <w:sz w:val="18"/>
                <w:szCs w:val="18"/>
              </w:rPr>
              <w:t>EUR</w:t>
            </w:r>
          </w:p>
        </w:tc>
        <w:tc>
          <w:tcPr>
            <w:tcW w:w="1361" w:type="dxa"/>
            <w:vAlign w:val="center"/>
          </w:tcPr>
          <w:p w14:paraId="7316ABB7" w14:textId="77777777" w:rsidR="0080283D" w:rsidRPr="00B715D2" w:rsidRDefault="0080283D" w:rsidP="002666E5">
            <w:pPr>
              <w:spacing w:line="276" w:lineRule="auto"/>
              <w:jc w:val="right"/>
              <w:rPr>
                <w:sz w:val="18"/>
                <w:szCs w:val="18"/>
              </w:rPr>
            </w:pPr>
            <w:r w:rsidRPr="00B715D2">
              <w:rPr>
                <w:sz w:val="18"/>
                <w:szCs w:val="18"/>
              </w:rPr>
              <w:t>0</w:t>
            </w:r>
          </w:p>
        </w:tc>
        <w:tc>
          <w:tcPr>
            <w:tcW w:w="1361" w:type="dxa"/>
            <w:vAlign w:val="center"/>
          </w:tcPr>
          <w:p w14:paraId="47C6892C" w14:textId="77777777" w:rsidR="0080283D" w:rsidRPr="00B715D2" w:rsidRDefault="0080283D" w:rsidP="002666E5">
            <w:pPr>
              <w:spacing w:line="276" w:lineRule="auto"/>
              <w:jc w:val="right"/>
              <w:rPr>
                <w:sz w:val="18"/>
                <w:szCs w:val="18"/>
              </w:rPr>
            </w:pPr>
            <w:r w:rsidRPr="00B715D2">
              <w:rPr>
                <w:sz w:val="18"/>
                <w:szCs w:val="18"/>
              </w:rPr>
              <w:t>0</w:t>
            </w:r>
          </w:p>
        </w:tc>
        <w:tc>
          <w:tcPr>
            <w:tcW w:w="1361" w:type="dxa"/>
            <w:vAlign w:val="center"/>
          </w:tcPr>
          <w:p w14:paraId="1E6E1685" w14:textId="493EAD64" w:rsidR="0080283D" w:rsidRPr="00B715D2" w:rsidRDefault="0080283D" w:rsidP="002666E5">
            <w:pPr>
              <w:spacing w:line="276" w:lineRule="auto"/>
              <w:jc w:val="right"/>
              <w:rPr>
                <w:sz w:val="18"/>
                <w:szCs w:val="18"/>
              </w:rPr>
            </w:pPr>
            <w:r w:rsidRPr="00B715D2">
              <w:rPr>
                <w:sz w:val="18"/>
                <w:szCs w:val="18"/>
              </w:rPr>
              <w:t>0</w:t>
            </w:r>
          </w:p>
        </w:tc>
        <w:tc>
          <w:tcPr>
            <w:tcW w:w="1361" w:type="dxa"/>
            <w:vAlign w:val="center"/>
          </w:tcPr>
          <w:p w14:paraId="42B04258" w14:textId="36F16A45" w:rsidR="0080283D" w:rsidRPr="00B715D2" w:rsidRDefault="0080283D" w:rsidP="004C225E">
            <w:pPr>
              <w:jc w:val="right"/>
              <w:rPr>
                <w:sz w:val="18"/>
                <w:szCs w:val="18"/>
              </w:rPr>
            </w:pPr>
            <w:r w:rsidRPr="00B715D2">
              <w:rPr>
                <w:sz w:val="18"/>
                <w:szCs w:val="18"/>
              </w:rPr>
              <w:t>0</w:t>
            </w:r>
          </w:p>
        </w:tc>
        <w:tc>
          <w:tcPr>
            <w:tcW w:w="1361" w:type="dxa"/>
            <w:vAlign w:val="center"/>
          </w:tcPr>
          <w:p w14:paraId="270476BF" w14:textId="4AFA5E3D" w:rsidR="0080283D" w:rsidRPr="00B715D2" w:rsidRDefault="00B715D2" w:rsidP="004C225E">
            <w:pPr>
              <w:jc w:val="right"/>
              <w:rPr>
                <w:sz w:val="18"/>
                <w:szCs w:val="18"/>
              </w:rPr>
            </w:pPr>
            <w:r>
              <w:rPr>
                <w:sz w:val="18"/>
                <w:szCs w:val="18"/>
              </w:rPr>
              <w:t>0</w:t>
            </w:r>
          </w:p>
        </w:tc>
      </w:tr>
      <w:tr w:rsidR="0021219D" w:rsidRPr="00B715D2" w14:paraId="0F1E331F" w14:textId="714C4C0F" w:rsidTr="0021219D">
        <w:trPr>
          <w:trHeight w:val="794"/>
        </w:trPr>
        <w:tc>
          <w:tcPr>
            <w:tcW w:w="704" w:type="dxa"/>
            <w:shd w:val="clear" w:color="auto" w:fill="D9D9D9" w:themeFill="background1" w:themeFillShade="D9"/>
            <w:vAlign w:val="center"/>
          </w:tcPr>
          <w:p w14:paraId="7A3400DF" w14:textId="77777777" w:rsidR="0080283D" w:rsidRPr="00B715D2" w:rsidRDefault="0080283D" w:rsidP="002666E5">
            <w:pPr>
              <w:spacing w:line="276" w:lineRule="auto"/>
              <w:jc w:val="center"/>
              <w:rPr>
                <w:sz w:val="18"/>
                <w:szCs w:val="18"/>
              </w:rPr>
            </w:pPr>
            <w:r w:rsidRPr="00B715D2">
              <w:rPr>
                <w:sz w:val="18"/>
                <w:szCs w:val="18"/>
              </w:rPr>
              <w:t>(3)</w:t>
            </w:r>
          </w:p>
        </w:tc>
        <w:tc>
          <w:tcPr>
            <w:tcW w:w="851" w:type="dxa"/>
          </w:tcPr>
          <w:p w14:paraId="3812642C" w14:textId="77777777" w:rsidR="0080283D" w:rsidRPr="00B715D2" w:rsidRDefault="0080283D" w:rsidP="002666E5">
            <w:pPr>
              <w:spacing w:line="276" w:lineRule="auto"/>
              <w:rPr>
                <w:sz w:val="18"/>
                <w:szCs w:val="18"/>
              </w:rPr>
            </w:pPr>
            <w:r w:rsidRPr="00B715D2">
              <w:rPr>
                <w:sz w:val="18"/>
                <w:szCs w:val="18"/>
              </w:rPr>
              <w:t>Montant total des dépenses publiques éligibles déclarées à la Commission</w:t>
            </w:r>
          </w:p>
        </w:tc>
        <w:tc>
          <w:tcPr>
            <w:tcW w:w="850" w:type="dxa"/>
            <w:vAlign w:val="center"/>
          </w:tcPr>
          <w:p w14:paraId="3499BAE3" w14:textId="77777777" w:rsidR="0080283D" w:rsidRPr="00B715D2" w:rsidRDefault="0080283D" w:rsidP="002666E5">
            <w:pPr>
              <w:spacing w:line="276" w:lineRule="auto"/>
              <w:jc w:val="center"/>
              <w:rPr>
                <w:sz w:val="18"/>
                <w:szCs w:val="18"/>
              </w:rPr>
            </w:pPr>
            <w:r w:rsidRPr="00B715D2">
              <w:rPr>
                <w:sz w:val="18"/>
                <w:szCs w:val="18"/>
              </w:rPr>
              <w:t>EUR</w:t>
            </w:r>
          </w:p>
        </w:tc>
        <w:tc>
          <w:tcPr>
            <w:tcW w:w="1361" w:type="dxa"/>
            <w:vAlign w:val="center"/>
          </w:tcPr>
          <w:p w14:paraId="08A35436" w14:textId="77777777" w:rsidR="0080283D" w:rsidRPr="00B715D2" w:rsidRDefault="0080283D" w:rsidP="002666E5">
            <w:pPr>
              <w:spacing w:line="276" w:lineRule="auto"/>
              <w:jc w:val="right"/>
              <w:rPr>
                <w:sz w:val="18"/>
                <w:szCs w:val="18"/>
              </w:rPr>
            </w:pPr>
            <w:r w:rsidRPr="00B715D2">
              <w:rPr>
                <w:sz w:val="18"/>
                <w:szCs w:val="18"/>
              </w:rPr>
              <w:t>0</w:t>
            </w:r>
          </w:p>
        </w:tc>
        <w:tc>
          <w:tcPr>
            <w:tcW w:w="1361" w:type="dxa"/>
            <w:vAlign w:val="center"/>
          </w:tcPr>
          <w:p w14:paraId="7CE24280" w14:textId="77777777" w:rsidR="0080283D" w:rsidRPr="00B715D2" w:rsidRDefault="0080283D" w:rsidP="002666E5">
            <w:pPr>
              <w:spacing w:line="276" w:lineRule="auto"/>
              <w:jc w:val="right"/>
              <w:rPr>
                <w:sz w:val="18"/>
                <w:szCs w:val="18"/>
              </w:rPr>
            </w:pPr>
            <w:r w:rsidRPr="00B715D2">
              <w:rPr>
                <w:sz w:val="18"/>
                <w:szCs w:val="18"/>
              </w:rPr>
              <w:t>0</w:t>
            </w:r>
          </w:p>
        </w:tc>
        <w:tc>
          <w:tcPr>
            <w:tcW w:w="1361" w:type="dxa"/>
            <w:vAlign w:val="center"/>
          </w:tcPr>
          <w:p w14:paraId="0AA62B5A" w14:textId="74E5288D" w:rsidR="0080283D" w:rsidRPr="00B715D2" w:rsidRDefault="0080283D" w:rsidP="002666E5">
            <w:pPr>
              <w:spacing w:line="276" w:lineRule="auto"/>
              <w:jc w:val="right"/>
              <w:rPr>
                <w:sz w:val="18"/>
                <w:szCs w:val="18"/>
              </w:rPr>
            </w:pPr>
            <w:r w:rsidRPr="00B715D2">
              <w:rPr>
                <w:sz w:val="18"/>
                <w:szCs w:val="18"/>
              </w:rPr>
              <w:t>18.814.832,10€</w:t>
            </w:r>
          </w:p>
          <w:p w14:paraId="23D9C848" w14:textId="77777777" w:rsidR="0080283D" w:rsidRPr="00B715D2" w:rsidRDefault="0080283D" w:rsidP="002666E5">
            <w:pPr>
              <w:spacing w:line="276" w:lineRule="auto"/>
              <w:jc w:val="right"/>
              <w:rPr>
                <w:sz w:val="18"/>
                <w:szCs w:val="18"/>
              </w:rPr>
            </w:pPr>
          </w:p>
          <w:p w14:paraId="637096B7" w14:textId="48233B49" w:rsidR="0080283D" w:rsidRPr="00B715D2" w:rsidRDefault="0080283D" w:rsidP="002666E5">
            <w:pPr>
              <w:spacing w:line="276" w:lineRule="auto"/>
              <w:jc w:val="right"/>
              <w:rPr>
                <w:sz w:val="18"/>
                <w:szCs w:val="18"/>
              </w:rPr>
            </w:pPr>
            <w:r w:rsidRPr="00B715D2">
              <w:rPr>
                <w:sz w:val="18"/>
                <w:szCs w:val="18"/>
              </w:rPr>
              <w:t>12.679.496,90€ (DC1) + 6.135.335,20€ (DC2)</w:t>
            </w:r>
          </w:p>
        </w:tc>
        <w:tc>
          <w:tcPr>
            <w:tcW w:w="1361" w:type="dxa"/>
            <w:vAlign w:val="center"/>
          </w:tcPr>
          <w:p w14:paraId="6686B5FA" w14:textId="62DB9EEE" w:rsidR="0080283D" w:rsidRPr="00B715D2" w:rsidRDefault="0080283D" w:rsidP="002666E5">
            <w:pPr>
              <w:jc w:val="right"/>
              <w:rPr>
                <w:sz w:val="18"/>
                <w:szCs w:val="18"/>
              </w:rPr>
            </w:pPr>
            <w:r w:rsidRPr="00B715D2">
              <w:rPr>
                <w:sz w:val="18"/>
                <w:szCs w:val="18"/>
              </w:rPr>
              <w:t>17.468.341,37€</w:t>
            </w:r>
          </w:p>
          <w:p w14:paraId="59001AA6" w14:textId="77777777" w:rsidR="0080283D" w:rsidRPr="00B715D2" w:rsidRDefault="0080283D" w:rsidP="002666E5">
            <w:pPr>
              <w:jc w:val="right"/>
              <w:rPr>
                <w:sz w:val="18"/>
                <w:szCs w:val="18"/>
              </w:rPr>
            </w:pPr>
          </w:p>
          <w:p w14:paraId="0D53FF85" w14:textId="36F7FE18" w:rsidR="0080283D" w:rsidRPr="00B715D2" w:rsidRDefault="0080283D" w:rsidP="002666E5">
            <w:pPr>
              <w:jc w:val="right"/>
              <w:rPr>
                <w:sz w:val="18"/>
                <w:szCs w:val="18"/>
              </w:rPr>
            </w:pPr>
            <w:r w:rsidRPr="00B715D2">
              <w:rPr>
                <w:sz w:val="18"/>
                <w:szCs w:val="18"/>
                <w:lang w:val="nl-BE"/>
              </w:rPr>
              <w:t xml:space="preserve">7.038.003,20€ (DC4) + 10.430.338,17€ (DC6)  </w:t>
            </w:r>
          </w:p>
        </w:tc>
        <w:tc>
          <w:tcPr>
            <w:tcW w:w="1361" w:type="dxa"/>
            <w:vAlign w:val="center"/>
          </w:tcPr>
          <w:p w14:paraId="5A1D2F78" w14:textId="1074E181" w:rsidR="002A13A8" w:rsidRPr="002A13A8" w:rsidRDefault="002A13A8" w:rsidP="002A13A8">
            <w:pPr>
              <w:jc w:val="right"/>
              <w:rPr>
                <w:sz w:val="18"/>
                <w:szCs w:val="18"/>
              </w:rPr>
            </w:pPr>
            <w:r w:rsidRPr="002A13A8">
              <w:rPr>
                <w:sz w:val="18"/>
                <w:szCs w:val="18"/>
              </w:rPr>
              <w:t>8.378.048,63 €</w:t>
            </w:r>
          </w:p>
          <w:p w14:paraId="2CB2F15A" w14:textId="77777777" w:rsidR="002A13A8" w:rsidRDefault="002A13A8" w:rsidP="002A13A8">
            <w:pPr>
              <w:jc w:val="right"/>
              <w:rPr>
                <w:sz w:val="18"/>
                <w:szCs w:val="18"/>
              </w:rPr>
            </w:pPr>
          </w:p>
          <w:p w14:paraId="1A0FC9F4" w14:textId="6E104FD6" w:rsidR="002A13A8" w:rsidRPr="002A13A8" w:rsidRDefault="002A13A8" w:rsidP="002A13A8">
            <w:pPr>
              <w:jc w:val="right"/>
              <w:rPr>
                <w:sz w:val="18"/>
                <w:szCs w:val="18"/>
              </w:rPr>
            </w:pPr>
            <w:r w:rsidRPr="002A13A8">
              <w:rPr>
                <w:sz w:val="18"/>
                <w:szCs w:val="18"/>
              </w:rPr>
              <w:t>748.303,86€ (DC7) + 1.802.824,34€ (DC8) + 5.826.920,43€ (DC10)</w:t>
            </w:r>
          </w:p>
          <w:p w14:paraId="170ED104" w14:textId="612419B7" w:rsidR="0080283D" w:rsidRPr="00B715D2" w:rsidRDefault="002A13A8" w:rsidP="002666E5">
            <w:pPr>
              <w:jc w:val="right"/>
              <w:rPr>
                <w:sz w:val="18"/>
                <w:szCs w:val="18"/>
              </w:rPr>
            </w:pPr>
            <w:r>
              <w:rPr>
                <w:color w:val="FF0000"/>
                <w:lang w:val="nl-BE"/>
              </w:rPr>
              <w:t xml:space="preserve"> </w:t>
            </w:r>
          </w:p>
        </w:tc>
      </w:tr>
    </w:tbl>
    <w:p w14:paraId="24DB353A" w14:textId="5D85DE3F" w:rsidR="001479D3" w:rsidRPr="001479D3" w:rsidRDefault="007F1AF8" w:rsidP="001479D3">
      <w:pPr>
        <w:pStyle w:val="Kop3"/>
        <w:numPr>
          <w:ilvl w:val="2"/>
          <w:numId w:val="1"/>
        </w:numPr>
        <w:spacing w:after="240" w:line="276" w:lineRule="auto"/>
      </w:pPr>
      <w:bookmarkStart w:id="32" w:name="_Toc12629554"/>
      <w:r w:rsidRPr="002978CD">
        <w:t xml:space="preserve">Indicateurs de </w:t>
      </w:r>
      <w:r w:rsidR="007617E0" w:rsidRPr="002978CD">
        <w:t>réalisation</w:t>
      </w:r>
      <w:r w:rsidRPr="002978CD">
        <w:t xml:space="preserve"> relatifs à l'aide alimentaire distribuée</w:t>
      </w:r>
      <w:bookmarkEnd w:id="32"/>
    </w:p>
    <w:tbl>
      <w:tblPr>
        <w:tblStyle w:val="Tabelraster"/>
        <w:tblW w:w="10576" w:type="dxa"/>
        <w:tblInd w:w="-998" w:type="dxa"/>
        <w:tblLayout w:type="fixed"/>
        <w:tblLook w:val="04A0" w:firstRow="1" w:lastRow="0" w:firstColumn="1" w:lastColumn="0" w:noHBand="0" w:noVBand="1"/>
      </w:tblPr>
      <w:tblGrid>
        <w:gridCol w:w="1135"/>
        <w:gridCol w:w="1843"/>
        <w:gridCol w:w="1134"/>
        <w:gridCol w:w="1276"/>
        <w:gridCol w:w="1275"/>
        <w:gridCol w:w="1276"/>
        <w:gridCol w:w="1276"/>
        <w:gridCol w:w="1361"/>
      </w:tblGrid>
      <w:tr w:rsidR="002B7B85" w:rsidRPr="000C4939" w14:paraId="7BD0E63E" w14:textId="200E9983" w:rsidTr="002B7B85">
        <w:trPr>
          <w:trHeight w:val="794"/>
        </w:trPr>
        <w:tc>
          <w:tcPr>
            <w:tcW w:w="1135" w:type="dxa"/>
            <w:shd w:val="clear" w:color="auto" w:fill="A6A6A6" w:themeFill="background1" w:themeFillShade="A6"/>
            <w:vAlign w:val="center"/>
          </w:tcPr>
          <w:p w14:paraId="54E90715" w14:textId="77777777" w:rsidR="002B7B85" w:rsidRPr="000C4939" w:rsidRDefault="002B7B85" w:rsidP="002B7B85">
            <w:pPr>
              <w:spacing w:line="276" w:lineRule="auto"/>
              <w:jc w:val="center"/>
            </w:pPr>
            <w:r w:rsidRPr="000C4939">
              <w:t>Identifiant de l'indicateur</w:t>
            </w:r>
          </w:p>
        </w:tc>
        <w:tc>
          <w:tcPr>
            <w:tcW w:w="1843" w:type="dxa"/>
            <w:shd w:val="clear" w:color="auto" w:fill="A6A6A6" w:themeFill="background1" w:themeFillShade="A6"/>
            <w:vAlign w:val="center"/>
          </w:tcPr>
          <w:p w14:paraId="0AC1865A" w14:textId="77777777" w:rsidR="002B7B85" w:rsidRPr="000C4939" w:rsidRDefault="002B7B85" w:rsidP="002B7B85">
            <w:pPr>
              <w:spacing w:line="276" w:lineRule="auto"/>
              <w:jc w:val="center"/>
            </w:pPr>
            <w:r w:rsidRPr="000C4939">
              <w:t>Nom de l'indicateur</w:t>
            </w:r>
          </w:p>
        </w:tc>
        <w:tc>
          <w:tcPr>
            <w:tcW w:w="1134" w:type="dxa"/>
            <w:shd w:val="clear" w:color="auto" w:fill="A6A6A6" w:themeFill="background1" w:themeFillShade="A6"/>
            <w:vAlign w:val="center"/>
          </w:tcPr>
          <w:p w14:paraId="3D4BD661" w14:textId="77777777" w:rsidR="002B7B85" w:rsidRPr="000C4939" w:rsidRDefault="002B7B85" w:rsidP="002B7B85">
            <w:pPr>
              <w:spacing w:line="276" w:lineRule="auto"/>
              <w:jc w:val="center"/>
            </w:pPr>
            <w:r w:rsidRPr="000C4939">
              <w:t>Unité</w:t>
            </w:r>
          </w:p>
          <w:p w14:paraId="216C1D1C" w14:textId="77777777" w:rsidR="002B7B85" w:rsidRPr="000C4939" w:rsidRDefault="002B7B85" w:rsidP="002B7B85">
            <w:pPr>
              <w:spacing w:line="276" w:lineRule="auto"/>
              <w:jc w:val="center"/>
            </w:pPr>
            <w:r w:rsidRPr="000C4939">
              <w:t>de mesure</w:t>
            </w:r>
          </w:p>
        </w:tc>
        <w:tc>
          <w:tcPr>
            <w:tcW w:w="1276" w:type="dxa"/>
            <w:shd w:val="clear" w:color="auto" w:fill="A6A6A6" w:themeFill="background1" w:themeFillShade="A6"/>
            <w:vAlign w:val="center"/>
          </w:tcPr>
          <w:p w14:paraId="4BA574CB" w14:textId="77777777" w:rsidR="002B7B85" w:rsidRPr="000C4939" w:rsidRDefault="002B7B85" w:rsidP="002B7B85">
            <w:pPr>
              <w:spacing w:line="276" w:lineRule="auto"/>
              <w:jc w:val="center"/>
            </w:pPr>
            <w:r w:rsidRPr="000C4939">
              <w:t>2014</w:t>
            </w:r>
          </w:p>
        </w:tc>
        <w:tc>
          <w:tcPr>
            <w:tcW w:w="1275" w:type="dxa"/>
            <w:shd w:val="clear" w:color="auto" w:fill="A6A6A6" w:themeFill="background1" w:themeFillShade="A6"/>
            <w:vAlign w:val="center"/>
          </w:tcPr>
          <w:p w14:paraId="257E5D60" w14:textId="77777777" w:rsidR="002B7B85" w:rsidRPr="000C4939" w:rsidRDefault="002B7B85" w:rsidP="002B7B85">
            <w:pPr>
              <w:spacing w:line="276" w:lineRule="auto"/>
              <w:jc w:val="center"/>
            </w:pPr>
            <w:r w:rsidRPr="000C4939">
              <w:t>2015</w:t>
            </w:r>
          </w:p>
        </w:tc>
        <w:tc>
          <w:tcPr>
            <w:tcW w:w="1276" w:type="dxa"/>
            <w:shd w:val="clear" w:color="auto" w:fill="A6A6A6" w:themeFill="background1" w:themeFillShade="A6"/>
            <w:vAlign w:val="center"/>
          </w:tcPr>
          <w:p w14:paraId="7B3CDCC7" w14:textId="09920253" w:rsidR="002B7B85" w:rsidRPr="000C4939" w:rsidRDefault="002B7B85" w:rsidP="002B7B85">
            <w:pPr>
              <w:spacing w:line="276" w:lineRule="auto"/>
              <w:jc w:val="center"/>
            </w:pPr>
            <w:r w:rsidRPr="000C4939">
              <w:t>2016</w:t>
            </w:r>
          </w:p>
        </w:tc>
        <w:tc>
          <w:tcPr>
            <w:tcW w:w="1276" w:type="dxa"/>
            <w:shd w:val="clear" w:color="auto" w:fill="A6A6A6" w:themeFill="background1" w:themeFillShade="A6"/>
            <w:vAlign w:val="center"/>
          </w:tcPr>
          <w:p w14:paraId="56F9372D" w14:textId="1CB1A957" w:rsidR="002B7B85" w:rsidRPr="000C4939" w:rsidRDefault="002B7B85" w:rsidP="002B7B85">
            <w:pPr>
              <w:jc w:val="center"/>
            </w:pPr>
            <w:r w:rsidRPr="000C4939">
              <w:t>2017</w:t>
            </w:r>
          </w:p>
        </w:tc>
        <w:tc>
          <w:tcPr>
            <w:tcW w:w="1361" w:type="dxa"/>
            <w:shd w:val="clear" w:color="auto" w:fill="A6A6A6" w:themeFill="background1" w:themeFillShade="A6"/>
            <w:vAlign w:val="center"/>
          </w:tcPr>
          <w:p w14:paraId="6B240364" w14:textId="5AD0382F" w:rsidR="002B7B85" w:rsidRPr="000C4939" w:rsidRDefault="002B7B85" w:rsidP="002B7B85">
            <w:pPr>
              <w:jc w:val="center"/>
            </w:pPr>
            <w:r w:rsidRPr="000C4939">
              <w:t>2018</w:t>
            </w:r>
          </w:p>
        </w:tc>
      </w:tr>
      <w:tr w:rsidR="002B7B85" w:rsidRPr="000C4939" w14:paraId="032D94DB" w14:textId="5FA2F422" w:rsidTr="002B7B85">
        <w:tc>
          <w:tcPr>
            <w:tcW w:w="1135" w:type="dxa"/>
            <w:shd w:val="clear" w:color="auto" w:fill="D9D9D9" w:themeFill="background1" w:themeFillShade="D9"/>
            <w:vAlign w:val="center"/>
          </w:tcPr>
          <w:p w14:paraId="181DC579" w14:textId="77777777" w:rsidR="002B7B85" w:rsidRPr="000C4939" w:rsidRDefault="002B7B85" w:rsidP="002B7B85">
            <w:pPr>
              <w:spacing w:line="276" w:lineRule="auto"/>
              <w:jc w:val="center"/>
            </w:pPr>
            <w:r w:rsidRPr="000C4939">
              <w:lastRenderedPageBreak/>
              <w:t>(4)</w:t>
            </w:r>
          </w:p>
        </w:tc>
        <w:tc>
          <w:tcPr>
            <w:tcW w:w="1843" w:type="dxa"/>
          </w:tcPr>
          <w:p w14:paraId="492D6AA1" w14:textId="77777777" w:rsidR="002B7B85" w:rsidRPr="000C4939" w:rsidRDefault="002B7B85" w:rsidP="002B7B85">
            <w:pPr>
              <w:spacing w:line="276" w:lineRule="auto"/>
            </w:pPr>
            <w:r w:rsidRPr="000C4939">
              <w:rPr>
                <w:sz w:val="19"/>
              </w:rPr>
              <w:t>Quantité de fruits et de légumes</w:t>
            </w:r>
          </w:p>
        </w:tc>
        <w:tc>
          <w:tcPr>
            <w:tcW w:w="1134" w:type="dxa"/>
            <w:vAlign w:val="center"/>
          </w:tcPr>
          <w:p w14:paraId="6E607AC0" w14:textId="77777777" w:rsidR="002B7B85" w:rsidRPr="000C4939" w:rsidRDefault="002B7B85" w:rsidP="002B7B85">
            <w:pPr>
              <w:spacing w:line="276" w:lineRule="auto"/>
              <w:jc w:val="left"/>
            </w:pPr>
            <w:r w:rsidRPr="000C4939">
              <w:t>Tonne</w:t>
            </w:r>
          </w:p>
        </w:tc>
        <w:tc>
          <w:tcPr>
            <w:tcW w:w="1276" w:type="dxa"/>
            <w:vAlign w:val="center"/>
          </w:tcPr>
          <w:p w14:paraId="065216E8" w14:textId="77777777" w:rsidR="002B7B85" w:rsidRPr="000C4939" w:rsidRDefault="002B7B85" w:rsidP="002B7B85">
            <w:pPr>
              <w:spacing w:line="276" w:lineRule="auto"/>
              <w:jc w:val="right"/>
            </w:pPr>
            <w:r w:rsidRPr="000C4939">
              <w:t>516,24</w:t>
            </w:r>
          </w:p>
        </w:tc>
        <w:tc>
          <w:tcPr>
            <w:tcW w:w="1275" w:type="dxa"/>
            <w:vAlign w:val="center"/>
          </w:tcPr>
          <w:p w14:paraId="16457F33" w14:textId="0F07415A" w:rsidR="002B7B85" w:rsidRPr="000C4939" w:rsidRDefault="002B7B85" w:rsidP="002B7B85">
            <w:pPr>
              <w:spacing w:line="276" w:lineRule="auto"/>
              <w:jc w:val="right"/>
            </w:pPr>
            <w:r w:rsidRPr="000C4939">
              <w:t>1.101,01</w:t>
            </w:r>
          </w:p>
        </w:tc>
        <w:tc>
          <w:tcPr>
            <w:tcW w:w="1276" w:type="dxa"/>
            <w:vAlign w:val="center"/>
          </w:tcPr>
          <w:p w14:paraId="2696A7EC" w14:textId="098110D0" w:rsidR="002B7B85" w:rsidRPr="000C4939" w:rsidRDefault="002B7B85" w:rsidP="002B7B85">
            <w:pPr>
              <w:spacing w:line="276" w:lineRule="auto"/>
              <w:jc w:val="right"/>
            </w:pPr>
            <w:r w:rsidRPr="000C4939">
              <w:t>1.198,10</w:t>
            </w:r>
          </w:p>
        </w:tc>
        <w:tc>
          <w:tcPr>
            <w:tcW w:w="1276" w:type="dxa"/>
            <w:vAlign w:val="center"/>
          </w:tcPr>
          <w:p w14:paraId="2D6D830E" w14:textId="66BA3077" w:rsidR="002B7B85" w:rsidRPr="000C4939" w:rsidRDefault="002B7B85" w:rsidP="002B7B85">
            <w:pPr>
              <w:jc w:val="right"/>
            </w:pPr>
            <w:r w:rsidRPr="000C4939">
              <w:rPr>
                <w:color w:val="000000"/>
                <w:szCs w:val="24"/>
              </w:rPr>
              <w:t>2.422,21</w:t>
            </w:r>
          </w:p>
        </w:tc>
        <w:tc>
          <w:tcPr>
            <w:tcW w:w="1361" w:type="dxa"/>
            <w:vAlign w:val="center"/>
          </w:tcPr>
          <w:p w14:paraId="097CB045" w14:textId="4DA8148B" w:rsidR="002B7B85" w:rsidRPr="00BD636B" w:rsidRDefault="00BD636B" w:rsidP="00BD636B">
            <w:pPr>
              <w:jc w:val="right"/>
              <w:rPr>
                <w:color w:val="000000"/>
                <w:szCs w:val="24"/>
              </w:rPr>
            </w:pPr>
            <w:r w:rsidRPr="00BD636B">
              <w:rPr>
                <w:color w:val="000000"/>
                <w:szCs w:val="24"/>
              </w:rPr>
              <w:t>1.296,46</w:t>
            </w:r>
          </w:p>
        </w:tc>
      </w:tr>
      <w:tr w:rsidR="002B7B85" w:rsidRPr="000C4939" w14:paraId="7C710D4B" w14:textId="0F82FA78" w:rsidTr="002B7B85">
        <w:tc>
          <w:tcPr>
            <w:tcW w:w="1135" w:type="dxa"/>
            <w:shd w:val="clear" w:color="auto" w:fill="D9D9D9" w:themeFill="background1" w:themeFillShade="D9"/>
            <w:vAlign w:val="center"/>
          </w:tcPr>
          <w:p w14:paraId="06B45A6C" w14:textId="77777777" w:rsidR="002B7B85" w:rsidRPr="000C4939" w:rsidRDefault="002B7B85" w:rsidP="002B7B85">
            <w:pPr>
              <w:spacing w:line="276" w:lineRule="auto"/>
              <w:jc w:val="center"/>
            </w:pPr>
            <w:r w:rsidRPr="000C4939">
              <w:t>(5)</w:t>
            </w:r>
          </w:p>
        </w:tc>
        <w:tc>
          <w:tcPr>
            <w:tcW w:w="1843" w:type="dxa"/>
          </w:tcPr>
          <w:p w14:paraId="4FFD91F1" w14:textId="77777777" w:rsidR="002B7B85" w:rsidRPr="000C4939" w:rsidRDefault="002B7B85" w:rsidP="002B7B85">
            <w:pPr>
              <w:spacing w:line="276" w:lineRule="auto"/>
            </w:pPr>
            <w:r w:rsidRPr="000C4939">
              <w:rPr>
                <w:sz w:val="19"/>
                <w:szCs w:val="19"/>
              </w:rPr>
              <w:t>Quantité de viandes, œufs, poissons et fruits de mer</w:t>
            </w:r>
          </w:p>
        </w:tc>
        <w:tc>
          <w:tcPr>
            <w:tcW w:w="1134" w:type="dxa"/>
            <w:vAlign w:val="center"/>
          </w:tcPr>
          <w:p w14:paraId="4DD49791" w14:textId="77777777" w:rsidR="002B7B85" w:rsidRPr="000C4939" w:rsidRDefault="002B7B85" w:rsidP="002B7B85">
            <w:pPr>
              <w:spacing w:line="276" w:lineRule="auto"/>
              <w:jc w:val="left"/>
            </w:pPr>
            <w:r w:rsidRPr="000C4939">
              <w:t>Tonne</w:t>
            </w:r>
          </w:p>
        </w:tc>
        <w:tc>
          <w:tcPr>
            <w:tcW w:w="1276" w:type="dxa"/>
            <w:vAlign w:val="center"/>
          </w:tcPr>
          <w:p w14:paraId="6FC77C1A" w14:textId="77777777" w:rsidR="002B7B85" w:rsidRPr="000C4939" w:rsidRDefault="002B7B85" w:rsidP="002B7B85">
            <w:pPr>
              <w:spacing w:line="276" w:lineRule="auto"/>
              <w:jc w:val="right"/>
            </w:pPr>
            <w:r w:rsidRPr="000C4939">
              <w:t>582,28</w:t>
            </w:r>
          </w:p>
        </w:tc>
        <w:tc>
          <w:tcPr>
            <w:tcW w:w="1275" w:type="dxa"/>
            <w:vAlign w:val="center"/>
          </w:tcPr>
          <w:p w14:paraId="52F0D6E6" w14:textId="430466A7" w:rsidR="002B7B85" w:rsidRPr="000C4939" w:rsidRDefault="002B7B85" w:rsidP="002B7B85">
            <w:pPr>
              <w:spacing w:line="276" w:lineRule="auto"/>
              <w:jc w:val="right"/>
            </w:pPr>
            <w:r w:rsidRPr="000C4939">
              <w:t>389,75</w:t>
            </w:r>
          </w:p>
        </w:tc>
        <w:tc>
          <w:tcPr>
            <w:tcW w:w="1276" w:type="dxa"/>
            <w:vAlign w:val="center"/>
          </w:tcPr>
          <w:p w14:paraId="3FC73135" w14:textId="5CF5F3AA" w:rsidR="002B7B85" w:rsidRPr="000C4939" w:rsidRDefault="002B7B85" w:rsidP="002B7B85">
            <w:pPr>
              <w:spacing w:line="276" w:lineRule="auto"/>
              <w:jc w:val="right"/>
            </w:pPr>
            <w:r w:rsidRPr="000C4939">
              <w:t>249,56</w:t>
            </w:r>
          </w:p>
        </w:tc>
        <w:tc>
          <w:tcPr>
            <w:tcW w:w="1276" w:type="dxa"/>
            <w:vAlign w:val="center"/>
          </w:tcPr>
          <w:p w14:paraId="66A238C5" w14:textId="0FE23879" w:rsidR="002B7B85" w:rsidRPr="000C4939" w:rsidRDefault="002B7B85" w:rsidP="002B7B85">
            <w:pPr>
              <w:jc w:val="right"/>
            </w:pPr>
            <w:r w:rsidRPr="000C4939">
              <w:rPr>
                <w:color w:val="000000"/>
                <w:szCs w:val="24"/>
              </w:rPr>
              <w:t>256,40</w:t>
            </w:r>
          </w:p>
        </w:tc>
        <w:tc>
          <w:tcPr>
            <w:tcW w:w="1361" w:type="dxa"/>
            <w:vAlign w:val="center"/>
          </w:tcPr>
          <w:p w14:paraId="2ECF984C" w14:textId="5451FBFB" w:rsidR="002B7B85" w:rsidRPr="00BD636B" w:rsidRDefault="00BD636B" w:rsidP="00BD636B">
            <w:pPr>
              <w:jc w:val="right"/>
              <w:rPr>
                <w:color w:val="000000"/>
                <w:szCs w:val="24"/>
              </w:rPr>
            </w:pPr>
            <w:r w:rsidRPr="00BD636B">
              <w:rPr>
                <w:color w:val="000000"/>
                <w:szCs w:val="24"/>
              </w:rPr>
              <w:t>69,51</w:t>
            </w:r>
          </w:p>
        </w:tc>
      </w:tr>
      <w:tr w:rsidR="002B7B85" w:rsidRPr="000C4939" w14:paraId="41D54386" w14:textId="6D12791E" w:rsidTr="002B7B85">
        <w:tc>
          <w:tcPr>
            <w:tcW w:w="1135" w:type="dxa"/>
            <w:shd w:val="clear" w:color="auto" w:fill="D9D9D9" w:themeFill="background1" w:themeFillShade="D9"/>
            <w:vAlign w:val="center"/>
          </w:tcPr>
          <w:p w14:paraId="1817EAFD" w14:textId="77777777" w:rsidR="002B7B85" w:rsidRPr="000C4939" w:rsidRDefault="002B7B85" w:rsidP="002B7B85">
            <w:pPr>
              <w:spacing w:line="276" w:lineRule="auto"/>
              <w:jc w:val="center"/>
            </w:pPr>
            <w:r w:rsidRPr="000C4939">
              <w:t>(6)</w:t>
            </w:r>
          </w:p>
        </w:tc>
        <w:tc>
          <w:tcPr>
            <w:tcW w:w="1843" w:type="dxa"/>
          </w:tcPr>
          <w:p w14:paraId="689E9F62" w14:textId="77777777" w:rsidR="002B7B85" w:rsidRPr="000C4939" w:rsidRDefault="002B7B85" w:rsidP="002B7B85">
            <w:pPr>
              <w:spacing w:line="276" w:lineRule="auto"/>
            </w:pPr>
            <w:r w:rsidRPr="000C4939">
              <w:rPr>
                <w:sz w:val="19"/>
                <w:szCs w:val="19"/>
              </w:rPr>
              <w:t>Quantité de farine, pain, pommes de terre, riz et autres produits riches en amidon</w:t>
            </w:r>
          </w:p>
        </w:tc>
        <w:tc>
          <w:tcPr>
            <w:tcW w:w="1134" w:type="dxa"/>
            <w:vAlign w:val="center"/>
          </w:tcPr>
          <w:p w14:paraId="28556AA3" w14:textId="77777777" w:rsidR="002B7B85" w:rsidRPr="000C4939" w:rsidRDefault="002B7B85" w:rsidP="002B7B85">
            <w:pPr>
              <w:spacing w:line="276" w:lineRule="auto"/>
              <w:jc w:val="left"/>
            </w:pPr>
            <w:r w:rsidRPr="000C4939">
              <w:t>Tonne</w:t>
            </w:r>
          </w:p>
        </w:tc>
        <w:tc>
          <w:tcPr>
            <w:tcW w:w="1276" w:type="dxa"/>
            <w:vAlign w:val="center"/>
          </w:tcPr>
          <w:p w14:paraId="6FE8C89A" w14:textId="77777777" w:rsidR="002B7B85" w:rsidRPr="000C4939" w:rsidRDefault="002B7B85" w:rsidP="002B7B85">
            <w:pPr>
              <w:spacing w:line="276" w:lineRule="auto"/>
              <w:jc w:val="right"/>
            </w:pPr>
            <w:r w:rsidRPr="000C4939">
              <w:t>775,66</w:t>
            </w:r>
          </w:p>
        </w:tc>
        <w:tc>
          <w:tcPr>
            <w:tcW w:w="1275" w:type="dxa"/>
            <w:vAlign w:val="center"/>
          </w:tcPr>
          <w:p w14:paraId="5064B088" w14:textId="1AE2EF69" w:rsidR="002B7B85" w:rsidRPr="000C4939" w:rsidRDefault="002B7B85" w:rsidP="002B7B85">
            <w:pPr>
              <w:spacing w:line="276" w:lineRule="auto"/>
              <w:jc w:val="right"/>
            </w:pPr>
            <w:r w:rsidRPr="000C4939">
              <w:t>1.078,81</w:t>
            </w:r>
          </w:p>
        </w:tc>
        <w:tc>
          <w:tcPr>
            <w:tcW w:w="1276" w:type="dxa"/>
            <w:vAlign w:val="center"/>
          </w:tcPr>
          <w:p w14:paraId="396F6119" w14:textId="571F0365" w:rsidR="002B7B85" w:rsidRPr="000C4939" w:rsidRDefault="002B7B85" w:rsidP="002B7B85">
            <w:pPr>
              <w:spacing w:line="276" w:lineRule="auto"/>
              <w:jc w:val="right"/>
            </w:pPr>
            <w:r w:rsidRPr="000C4939">
              <w:t>2.252,19</w:t>
            </w:r>
          </w:p>
        </w:tc>
        <w:tc>
          <w:tcPr>
            <w:tcW w:w="1276" w:type="dxa"/>
            <w:vAlign w:val="center"/>
          </w:tcPr>
          <w:p w14:paraId="698C662F" w14:textId="749D3B5E" w:rsidR="002B7B85" w:rsidRPr="000C4939" w:rsidRDefault="002B7B85" w:rsidP="002B7B85">
            <w:pPr>
              <w:jc w:val="right"/>
            </w:pPr>
            <w:r w:rsidRPr="000C4939">
              <w:rPr>
                <w:color w:val="000000"/>
                <w:szCs w:val="24"/>
              </w:rPr>
              <w:t>3.640,44</w:t>
            </w:r>
          </w:p>
        </w:tc>
        <w:tc>
          <w:tcPr>
            <w:tcW w:w="1361" w:type="dxa"/>
            <w:vAlign w:val="center"/>
          </w:tcPr>
          <w:p w14:paraId="78BD681C" w14:textId="777A62C5" w:rsidR="002B7B85" w:rsidRPr="00BD636B" w:rsidRDefault="00BD636B" w:rsidP="00BD636B">
            <w:pPr>
              <w:jc w:val="right"/>
              <w:rPr>
                <w:color w:val="000000"/>
                <w:szCs w:val="24"/>
              </w:rPr>
            </w:pPr>
            <w:r w:rsidRPr="00BD636B">
              <w:rPr>
                <w:color w:val="000000"/>
                <w:szCs w:val="24"/>
              </w:rPr>
              <w:t>1.904,58</w:t>
            </w:r>
          </w:p>
        </w:tc>
      </w:tr>
      <w:tr w:rsidR="002B7B85" w:rsidRPr="000C4939" w14:paraId="3EC88363" w14:textId="154FEFE3" w:rsidTr="002B7B85">
        <w:tc>
          <w:tcPr>
            <w:tcW w:w="1135" w:type="dxa"/>
            <w:shd w:val="clear" w:color="auto" w:fill="D9D9D9" w:themeFill="background1" w:themeFillShade="D9"/>
            <w:vAlign w:val="center"/>
          </w:tcPr>
          <w:p w14:paraId="2D8C37A9" w14:textId="77777777" w:rsidR="002B7B85" w:rsidRPr="000C4939" w:rsidRDefault="002B7B85" w:rsidP="002B7B85">
            <w:pPr>
              <w:spacing w:line="276" w:lineRule="auto"/>
              <w:jc w:val="center"/>
            </w:pPr>
            <w:r w:rsidRPr="000C4939">
              <w:t>(7)</w:t>
            </w:r>
          </w:p>
        </w:tc>
        <w:tc>
          <w:tcPr>
            <w:tcW w:w="1843" w:type="dxa"/>
          </w:tcPr>
          <w:p w14:paraId="774008E9" w14:textId="77777777" w:rsidR="002B7B85" w:rsidRPr="000C4939" w:rsidRDefault="002B7B85" w:rsidP="002B7B85">
            <w:pPr>
              <w:spacing w:line="276" w:lineRule="auto"/>
            </w:pPr>
            <w:r w:rsidRPr="000C4939">
              <w:rPr>
                <w:sz w:val="19"/>
              </w:rPr>
              <w:t>Quantité de sucre</w:t>
            </w:r>
          </w:p>
        </w:tc>
        <w:tc>
          <w:tcPr>
            <w:tcW w:w="1134" w:type="dxa"/>
            <w:vAlign w:val="center"/>
          </w:tcPr>
          <w:p w14:paraId="6EA2CD86" w14:textId="77777777" w:rsidR="002B7B85" w:rsidRPr="000C4939" w:rsidRDefault="002B7B85" w:rsidP="002B7B85">
            <w:pPr>
              <w:spacing w:line="276" w:lineRule="auto"/>
              <w:jc w:val="left"/>
            </w:pPr>
            <w:r w:rsidRPr="000C4939">
              <w:t>Tonne</w:t>
            </w:r>
          </w:p>
        </w:tc>
        <w:tc>
          <w:tcPr>
            <w:tcW w:w="1276" w:type="dxa"/>
            <w:vAlign w:val="center"/>
          </w:tcPr>
          <w:p w14:paraId="76B389AF" w14:textId="77777777" w:rsidR="002B7B85" w:rsidRPr="000C4939" w:rsidRDefault="002B7B85" w:rsidP="002B7B85">
            <w:pPr>
              <w:spacing w:line="276" w:lineRule="auto"/>
              <w:jc w:val="right"/>
            </w:pPr>
            <w:r w:rsidRPr="000C4939">
              <w:t>0</w:t>
            </w:r>
          </w:p>
        </w:tc>
        <w:tc>
          <w:tcPr>
            <w:tcW w:w="1275" w:type="dxa"/>
            <w:vAlign w:val="center"/>
          </w:tcPr>
          <w:p w14:paraId="60B5F017" w14:textId="72596D41" w:rsidR="002B7B85" w:rsidRPr="000C4939" w:rsidRDefault="002B7B85" w:rsidP="002B7B85">
            <w:pPr>
              <w:spacing w:line="276" w:lineRule="auto"/>
              <w:jc w:val="right"/>
            </w:pPr>
            <w:r w:rsidRPr="000C4939">
              <w:t>0</w:t>
            </w:r>
          </w:p>
        </w:tc>
        <w:tc>
          <w:tcPr>
            <w:tcW w:w="1276" w:type="dxa"/>
            <w:vAlign w:val="center"/>
          </w:tcPr>
          <w:p w14:paraId="18591619" w14:textId="2B57EEA7" w:rsidR="002B7B85" w:rsidRPr="000C4939" w:rsidRDefault="002B7B85" w:rsidP="002B7B85">
            <w:pPr>
              <w:spacing w:line="276" w:lineRule="auto"/>
              <w:jc w:val="right"/>
            </w:pPr>
            <w:r w:rsidRPr="000C4939">
              <w:t>0</w:t>
            </w:r>
          </w:p>
        </w:tc>
        <w:tc>
          <w:tcPr>
            <w:tcW w:w="1276" w:type="dxa"/>
            <w:vAlign w:val="center"/>
          </w:tcPr>
          <w:p w14:paraId="0B240F20" w14:textId="4EFB74F1" w:rsidR="002B7B85" w:rsidRPr="000C4939" w:rsidRDefault="002B7B85" w:rsidP="002B7B85">
            <w:pPr>
              <w:jc w:val="right"/>
            </w:pPr>
            <w:r w:rsidRPr="000C4939">
              <w:rPr>
                <w:color w:val="000000"/>
                <w:szCs w:val="24"/>
              </w:rPr>
              <w:t>488,31</w:t>
            </w:r>
          </w:p>
        </w:tc>
        <w:tc>
          <w:tcPr>
            <w:tcW w:w="1361" w:type="dxa"/>
            <w:vAlign w:val="center"/>
          </w:tcPr>
          <w:p w14:paraId="36B298BA" w14:textId="516DAC5E" w:rsidR="002B7B85" w:rsidRPr="00BD636B" w:rsidRDefault="00BD636B" w:rsidP="00BD636B">
            <w:pPr>
              <w:jc w:val="right"/>
              <w:rPr>
                <w:color w:val="000000"/>
                <w:szCs w:val="24"/>
              </w:rPr>
            </w:pPr>
            <w:r w:rsidRPr="00BD636B">
              <w:rPr>
                <w:color w:val="000000"/>
                <w:szCs w:val="24"/>
              </w:rPr>
              <w:t>79,06</w:t>
            </w:r>
          </w:p>
        </w:tc>
      </w:tr>
      <w:tr w:rsidR="002B7B85" w:rsidRPr="000C4939" w14:paraId="3811D7F5" w14:textId="7C99F96C" w:rsidTr="002B7B85">
        <w:tc>
          <w:tcPr>
            <w:tcW w:w="1135" w:type="dxa"/>
            <w:shd w:val="clear" w:color="auto" w:fill="D9D9D9" w:themeFill="background1" w:themeFillShade="D9"/>
            <w:vAlign w:val="center"/>
          </w:tcPr>
          <w:p w14:paraId="2D654F6C" w14:textId="77777777" w:rsidR="002B7B85" w:rsidRPr="000C4939" w:rsidRDefault="002B7B85" w:rsidP="002B7B85">
            <w:pPr>
              <w:spacing w:line="276" w:lineRule="auto"/>
              <w:jc w:val="center"/>
            </w:pPr>
            <w:r w:rsidRPr="000C4939">
              <w:t>(8)</w:t>
            </w:r>
          </w:p>
        </w:tc>
        <w:tc>
          <w:tcPr>
            <w:tcW w:w="1843" w:type="dxa"/>
          </w:tcPr>
          <w:p w14:paraId="22A4AFA3" w14:textId="77777777" w:rsidR="002B7B85" w:rsidRPr="000C4939" w:rsidRDefault="002B7B85" w:rsidP="002B7B85">
            <w:pPr>
              <w:spacing w:line="276" w:lineRule="auto"/>
            </w:pPr>
            <w:r w:rsidRPr="000C4939">
              <w:rPr>
                <w:sz w:val="19"/>
              </w:rPr>
              <w:t>Quantité de produits laitiers</w:t>
            </w:r>
          </w:p>
        </w:tc>
        <w:tc>
          <w:tcPr>
            <w:tcW w:w="1134" w:type="dxa"/>
            <w:vAlign w:val="center"/>
          </w:tcPr>
          <w:p w14:paraId="22F2CC0B" w14:textId="77777777" w:rsidR="002B7B85" w:rsidRPr="000C4939" w:rsidRDefault="002B7B85" w:rsidP="002B7B85">
            <w:pPr>
              <w:spacing w:line="276" w:lineRule="auto"/>
              <w:jc w:val="left"/>
            </w:pPr>
            <w:r w:rsidRPr="000C4939">
              <w:t>Tonne</w:t>
            </w:r>
          </w:p>
        </w:tc>
        <w:tc>
          <w:tcPr>
            <w:tcW w:w="1276" w:type="dxa"/>
            <w:vAlign w:val="center"/>
          </w:tcPr>
          <w:p w14:paraId="578A94F1" w14:textId="77777777" w:rsidR="002B7B85" w:rsidRPr="000C4939" w:rsidRDefault="002B7B85" w:rsidP="002B7B85">
            <w:pPr>
              <w:spacing w:line="276" w:lineRule="auto"/>
              <w:jc w:val="right"/>
            </w:pPr>
            <w:r w:rsidRPr="000C4939">
              <w:t>2.153,95</w:t>
            </w:r>
          </w:p>
        </w:tc>
        <w:tc>
          <w:tcPr>
            <w:tcW w:w="1275" w:type="dxa"/>
            <w:vAlign w:val="center"/>
          </w:tcPr>
          <w:p w14:paraId="7A80BE4F" w14:textId="7FC85226" w:rsidR="002B7B85" w:rsidRPr="000C4939" w:rsidRDefault="002B7B85" w:rsidP="002B7B85">
            <w:pPr>
              <w:spacing w:line="276" w:lineRule="auto"/>
              <w:jc w:val="right"/>
            </w:pPr>
            <w:r w:rsidRPr="000C4939">
              <w:t>3.177,44</w:t>
            </w:r>
          </w:p>
        </w:tc>
        <w:tc>
          <w:tcPr>
            <w:tcW w:w="1276" w:type="dxa"/>
            <w:vAlign w:val="center"/>
          </w:tcPr>
          <w:p w14:paraId="32540BCA" w14:textId="759033DD" w:rsidR="002B7B85" w:rsidRPr="000C4939" w:rsidRDefault="002B7B85" w:rsidP="002B7B85">
            <w:pPr>
              <w:spacing w:line="276" w:lineRule="auto"/>
              <w:jc w:val="right"/>
            </w:pPr>
            <w:r w:rsidRPr="000C4939">
              <w:t>1.815,73</w:t>
            </w:r>
          </w:p>
        </w:tc>
        <w:tc>
          <w:tcPr>
            <w:tcW w:w="1276" w:type="dxa"/>
            <w:vAlign w:val="center"/>
          </w:tcPr>
          <w:p w14:paraId="17D3EAB1" w14:textId="1FC21BB1" w:rsidR="002B7B85" w:rsidRPr="000C4939" w:rsidRDefault="002B7B85" w:rsidP="002B7B85">
            <w:pPr>
              <w:jc w:val="right"/>
            </w:pPr>
            <w:r w:rsidRPr="000C4939">
              <w:rPr>
                <w:color w:val="000000"/>
                <w:szCs w:val="24"/>
              </w:rPr>
              <w:t>3.893,09</w:t>
            </w:r>
          </w:p>
        </w:tc>
        <w:tc>
          <w:tcPr>
            <w:tcW w:w="1361" w:type="dxa"/>
            <w:vAlign w:val="center"/>
          </w:tcPr>
          <w:p w14:paraId="3A02ACFB" w14:textId="01C3D922" w:rsidR="002B7B85" w:rsidRPr="00BD636B" w:rsidRDefault="00BD636B" w:rsidP="00BD636B">
            <w:pPr>
              <w:jc w:val="right"/>
              <w:rPr>
                <w:color w:val="000000"/>
                <w:szCs w:val="24"/>
              </w:rPr>
            </w:pPr>
            <w:r w:rsidRPr="00BD636B">
              <w:rPr>
                <w:color w:val="000000"/>
                <w:szCs w:val="24"/>
              </w:rPr>
              <w:t>3.606,83</w:t>
            </w:r>
          </w:p>
        </w:tc>
      </w:tr>
      <w:tr w:rsidR="002B7B85" w:rsidRPr="000C4939" w14:paraId="7C636D67" w14:textId="13B2DFB2" w:rsidTr="002B7B85">
        <w:tc>
          <w:tcPr>
            <w:tcW w:w="1135" w:type="dxa"/>
            <w:shd w:val="clear" w:color="auto" w:fill="D9D9D9" w:themeFill="background1" w:themeFillShade="D9"/>
            <w:vAlign w:val="center"/>
          </w:tcPr>
          <w:p w14:paraId="1F96A434" w14:textId="77777777" w:rsidR="002B7B85" w:rsidRPr="000C4939" w:rsidRDefault="002B7B85" w:rsidP="002B7B85">
            <w:pPr>
              <w:spacing w:line="276" w:lineRule="auto"/>
              <w:jc w:val="center"/>
            </w:pPr>
            <w:r w:rsidRPr="000C4939">
              <w:t>(9)</w:t>
            </w:r>
          </w:p>
        </w:tc>
        <w:tc>
          <w:tcPr>
            <w:tcW w:w="1843" w:type="dxa"/>
          </w:tcPr>
          <w:p w14:paraId="71261C54" w14:textId="77777777" w:rsidR="002B7B85" w:rsidRPr="000C4939" w:rsidRDefault="002B7B85" w:rsidP="002B7B85">
            <w:pPr>
              <w:spacing w:line="276" w:lineRule="auto"/>
              <w:rPr>
                <w:sz w:val="19"/>
                <w:szCs w:val="19"/>
              </w:rPr>
            </w:pPr>
            <w:r w:rsidRPr="000C4939">
              <w:rPr>
                <w:sz w:val="19"/>
              </w:rPr>
              <w:t>Quantité de graisses, d'huile</w:t>
            </w:r>
          </w:p>
        </w:tc>
        <w:tc>
          <w:tcPr>
            <w:tcW w:w="1134" w:type="dxa"/>
            <w:vAlign w:val="center"/>
          </w:tcPr>
          <w:p w14:paraId="5E19C09E" w14:textId="77777777" w:rsidR="002B7B85" w:rsidRPr="000C4939" w:rsidRDefault="002B7B85" w:rsidP="002B7B85">
            <w:pPr>
              <w:spacing w:line="276" w:lineRule="auto"/>
              <w:jc w:val="left"/>
            </w:pPr>
            <w:r w:rsidRPr="000C4939">
              <w:t>Tonne</w:t>
            </w:r>
          </w:p>
        </w:tc>
        <w:tc>
          <w:tcPr>
            <w:tcW w:w="1276" w:type="dxa"/>
            <w:vAlign w:val="center"/>
          </w:tcPr>
          <w:p w14:paraId="1CFF6237" w14:textId="77777777" w:rsidR="002B7B85" w:rsidRPr="000C4939" w:rsidRDefault="002B7B85" w:rsidP="002B7B85">
            <w:pPr>
              <w:spacing w:line="276" w:lineRule="auto"/>
              <w:jc w:val="right"/>
            </w:pPr>
            <w:r w:rsidRPr="000C4939">
              <w:t>131,58</w:t>
            </w:r>
          </w:p>
        </w:tc>
        <w:tc>
          <w:tcPr>
            <w:tcW w:w="1275" w:type="dxa"/>
            <w:vAlign w:val="center"/>
          </w:tcPr>
          <w:p w14:paraId="0C679247" w14:textId="453C5011" w:rsidR="002B7B85" w:rsidRPr="000C4939" w:rsidRDefault="002B7B85" w:rsidP="002B7B85">
            <w:pPr>
              <w:spacing w:line="276" w:lineRule="auto"/>
              <w:jc w:val="right"/>
            </w:pPr>
            <w:r w:rsidRPr="000C4939">
              <w:t>142,87</w:t>
            </w:r>
          </w:p>
        </w:tc>
        <w:tc>
          <w:tcPr>
            <w:tcW w:w="1276" w:type="dxa"/>
            <w:vAlign w:val="center"/>
          </w:tcPr>
          <w:p w14:paraId="25C44ED3" w14:textId="38229561" w:rsidR="002B7B85" w:rsidRPr="000C4939" w:rsidRDefault="002B7B85" w:rsidP="002B7B85">
            <w:pPr>
              <w:spacing w:line="276" w:lineRule="auto"/>
              <w:jc w:val="right"/>
            </w:pPr>
            <w:r w:rsidRPr="000C4939">
              <w:t>422,70</w:t>
            </w:r>
          </w:p>
        </w:tc>
        <w:tc>
          <w:tcPr>
            <w:tcW w:w="1276" w:type="dxa"/>
            <w:vAlign w:val="center"/>
          </w:tcPr>
          <w:p w14:paraId="09A9229C" w14:textId="74AD1C7B" w:rsidR="002B7B85" w:rsidRPr="000C4939" w:rsidRDefault="002B7B85" w:rsidP="002B7B85">
            <w:pPr>
              <w:jc w:val="right"/>
            </w:pPr>
            <w:r w:rsidRPr="000C4939">
              <w:rPr>
                <w:color w:val="000000"/>
                <w:szCs w:val="24"/>
              </w:rPr>
              <w:t>420,50</w:t>
            </w:r>
          </w:p>
        </w:tc>
        <w:tc>
          <w:tcPr>
            <w:tcW w:w="1361" w:type="dxa"/>
            <w:vAlign w:val="center"/>
          </w:tcPr>
          <w:p w14:paraId="503C6038" w14:textId="45A5B955" w:rsidR="002B7B85" w:rsidRPr="00BD636B" w:rsidRDefault="00BD636B" w:rsidP="00BD636B">
            <w:pPr>
              <w:jc w:val="right"/>
              <w:rPr>
                <w:color w:val="000000"/>
                <w:szCs w:val="24"/>
              </w:rPr>
            </w:pPr>
            <w:r w:rsidRPr="00BD636B">
              <w:rPr>
                <w:color w:val="000000"/>
                <w:szCs w:val="24"/>
              </w:rPr>
              <w:t>351,44</w:t>
            </w:r>
          </w:p>
        </w:tc>
      </w:tr>
      <w:tr w:rsidR="002B7B85" w:rsidRPr="000C4939" w14:paraId="788A3101" w14:textId="374412CB" w:rsidTr="002B7B85">
        <w:tc>
          <w:tcPr>
            <w:tcW w:w="1135" w:type="dxa"/>
            <w:shd w:val="clear" w:color="auto" w:fill="D9D9D9" w:themeFill="background1" w:themeFillShade="D9"/>
            <w:vAlign w:val="center"/>
          </w:tcPr>
          <w:p w14:paraId="0D6910CA" w14:textId="77777777" w:rsidR="002B7B85" w:rsidRPr="000C4939" w:rsidRDefault="002B7B85" w:rsidP="002B7B85">
            <w:pPr>
              <w:spacing w:line="276" w:lineRule="auto"/>
              <w:jc w:val="center"/>
            </w:pPr>
            <w:r w:rsidRPr="000C4939">
              <w:t>(10)</w:t>
            </w:r>
          </w:p>
        </w:tc>
        <w:tc>
          <w:tcPr>
            <w:tcW w:w="1843" w:type="dxa"/>
          </w:tcPr>
          <w:p w14:paraId="12B5DF57" w14:textId="77777777" w:rsidR="002B7B85" w:rsidRPr="000C4939" w:rsidRDefault="002B7B85" w:rsidP="002B7B85">
            <w:pPr>
              <w:spacing w:line="276" w:lineRule="auto"/>
              <w:rPr>
                <w:sz w:val="19"/>
                <w:szCs w:val="19"/>
              </w:rPr>
            </w:pPr>
            <w:r w:rsidRPr="000C4939">
              <w:rPr>
                <w:sz w:val="19"/>
                <w:szCs w:val="19"/>
              </w:rPr>
              <w:t>Quantité de plats cuisinés, autres denrées alimentaires (qui ne relèvent pas des catégories susmentionnées)</w:t>
            </w:r>
          </w:p>
        </w:tc>
        <w:tc>
          <w:tcPr>
            <w:tcW w:w="1134" w:type="dxa"/>
            <w:vAlign w:val="center"/>
          </w:tcPr>
          <w:p w14:paraId="6645CACB" w14:textId="77777777" w:rsidR="002B7B85" w:rsidRPr="000C4939" w:rsidRDefault="002B7B85" w:rsidP="002B7B85">
            <w:pPr>
              <w:spacing w:line="276" w:lineRule="auto"/>
              <w:jc w:val="left"/>
            </w:pPr>
            <w:r w:rsidRPr="000C4939">
              <w:t>Tonne</w:t>
            </w:r>
          </w:p>
        </w:tc>
        <w:tc>
          <w:tcPr>
            <w:tcW w:w="1276" w:type="dxa"/>
            <w:vAlign w:val="center"/>
          </w:tcPr>
          <w:p w14:paraId="1E81C4CF" w14:textId="77777777" w:rsidR="002B7B85" w:rsidRPr="000C4939" w:rsidRDefault="002B7B85" w:rsidP="002B7B85">
            <w:pPr>
              <w:spacing w:line="276" w:lineRule="auto"/>
              <w:jc w:val="right"/>
            </w:pPr>
            <w:r w:rsidRPr="000C4939">
              <w:t>449,23</w:t>
            </w:r>
          </w:p>
        </w:tc>
        <w:tc>
          <w:tcPr>
            <w:tcW w:w="1275" w:type="dxa"/>
            <w:vAlign w:val="center"/>
          </w:tcPr>
          <w:p w14:paraId="736804B9" w14:textId="2462C1A2" w:rsidR="002B7B85" w:rsidRPr="000C4939" w:rsidRDefault="002B7B85" w:rsidP="002B7B85">
            <w:pPr>
              <w:spacing w:line="276" w:lineRule="auto"/>
              <w:jc w:val="right"/>
            </w:pPr>
            <w:r w:rsidRPr="000C4939">
              <w:t>791,73</w:t>
            </w:r>
          </w:p>
        </w:tc>
        <w:tc>
          <w:tcPr>
            <w:tcW w:w="1276" w:type="dxa"/>
            <w:vAlign w:val="center"/>
          </w:tcPr>
          <w:p w14:paraId="581F885A" w14:textId="21C979E4" w:rsidR="002B7B85" w:rsidRPr="000C4939" w:rsidRDefault="002B7B85" w:rsidP="002B7B85">
            <w:pPr>
              <w:spacing w:line="276" w:lineRule="auto"/>
              <w:jc w:val="right"/>
            </w:pPr>
            <w:r w:rsidRPr="000C4939">
              <w:t>599,55</w:t>
            </w:r>
          </w:p>
        </w:tc>
        <w:tc>
          <w:tcPr>
            <w:tcW w:w="1276" w:type="dxa"/>
            <w:vAlign w:val="center"/>
          </w:tcPr>
          <w:p w14:paraId="22EEE648" w14:textId="302A89F4" w:rsidR="002B7B85" w:rsidRPr="000C4939" w:rsidRDefault="002B7B85" w:rsidP="002B7B85">
            <w:pPr>
              <w:jc w:val="right"/>
            </w:pPr>
            <w:r w:rsidRPr="000C4939">
              <w:rPr>
                <w:color w:val="000000"/>
                <w:szCs w:val="24"/>
              </w:rPr>
              <w:t>1.637,94</w:t>
            </w:r>
          </w:p>
        </w:tc>
        <w:tc>
          <w:tcPr>
            <w:tcW w:w="1361" w:type="dxa"/>
            <w:vAlign w:val="center"/>
          </w:tcPr>
          <w:p w14:paraId="4991D667" w14:textId="142AB671" w:rsidR="002B7B85" w:rsidRPr="00BD636B" w:rsidRDefault="00BD636B" w:rsidP="00BD636B">
            <w:pPr>
              <w:jc w:val="right"/>
              <w:rPr>
                <w:color w:val="000000"/>
                <w:szCs w:val="24"/>
              </w:rPr>
            </w:pPr>
            <w:r w:rsidRPr="00BD636B">
              <w:rPr>
                <w:color w:val="000000"/>
                <w:szCs w:val="24"/>
              </w:rPr>
              <w:t>952,77</w:t>
            </w:r>
          </w:p>
        </w:tc>
      </w:tr>
      <w:tr w:rsidR="002B7B85" w:rsidRPr="000C4939" w14:paraId="5CAEE930" w14:textId="7ADB1364" w:rsidTr="002B7B85">
        <w:tc>
          <w:tcPr>
            <w:tcW w:w="1135" w:type="dxa"/>
            <w:shd w:val="clear" w:color="auto" w:fill="D9D9D9" w:themeFill="background1" w:themeFillShade="D9"/>
            <w:vAlign w:val="center"/>
          </w:tcPr>
          <w:p w14:paraId="6886E0AE" w14:textId="77777777" w:rsidR="002B7B85" w:rsidRPr="000C4939" w:rsidRDefault="002B7B85" w:rsidP="002B7B85">
            <w:pPr>
              <w:spacing w:line="276" w:lineRule="auto"/>
              <w:jc w:val="center"/>
            </w:pPr>
            <w:r w:rsidRPr="000C4939">
              <w:t>(11)</w:t>
            </w:r>
          </w:p>
        </w:tc>
        <w:tc>
          <w:tcPr>
            <w:tcW w:w="1843" w:type="dxa"/>
          </w:tcPr>
          <w:p w14:paraId="19667404" w14:textId="77777777" w:rsidR="002B7B85" w:rsidRPr="000C4939" w:rsidRDefault="002B7B85" w:rsidP="002B7B85">
            <w:pPr>
              <w:spacing w:line="276" w:lineRule="auto"/>
              <w:rPr>
                <w:sz w:val="19"/>
                <w:szCs w:val="19"/>
              </w:rPr>
            </w:pPr>
            <w:r w:rsidRPr="000C4939">
              <w:rPr>
                <w:sz w:val="19"/>
                <w:szCs w:val="19"/>
              </w:rPr>
              <w:t>Quantité totale de l'aide alimentaire distribuée</w:t>
            </w:r>
          </w:p>
        </w:tc>
        <w:tc>
          <w:tcPr>
            <w:tcW w:w="1134" w:type="dxa"/>
            <w:vAlign w:val="center"/>
          </w:tcPr>
          <w:p w14:paraId="0A7D7A26" w14:textId="77777777" w:rsidR="002B7B85" w:rsidRPr="000C4939" w:rsidRDefault="002B7B85" w:rsidP="002B7B85">
            <w:pPr>
              <w:spacing w:line="276" w:lineRule="auto"/>
              <w:jc w:val="left"/>
            </w:pPr>
            <w:r w:rsidRPr="000C4939">
              <w:t>Tonne</w:t>
            </w:r>
          </w:p>
        </w:tc>
        <w:tc>
          <w:tcPr>
            <w:tcW w:w="1276" w:type="dxa"/>
            <w:vAlign w:val="center"/>
          </w:tcPr>
          <w:p w14:paraId="0AC3BC3B" w14:textId="77777777" w:rsidR="002B7B85" w:rsidRPr="000C4939" w:rsidRDefault="002B7B85" w:rsidP="002B7B85">
            <w:pPr>
              <w:spacing w:line="276" w:lineRule="auto"/>
              <w:jc w:val="right"/>
            </w:pPr>
            <w:r w:rsidRPr="000C4939">
              <w:t>4.608,95</w:t>
            </w:r>
          </w:p>
        </w:tc>
        <w:tc>
          <w:tcPr>
            <w:tcW w:w="1275" w:type="dxa"/>
            <w:vAlign w:val="center"/>
          </w:tcPr>
          <w:p w14:paraId="1218CE4C" w14:textId="6BC15E4E" w:rsidR="002B7B85" w:rsidRPr="000C4939" w:rsidRDefault="002B7B85" w:rsidP="002B7B85">
            <w:pPr>
              <w:spacing w:line="276" w:lineRule="auto"/>
              <w:jc w:val="right"/>
            </w:pPr>
            <w:r w:rsidRPr="000C4939">
              <w:t>7.685,44</w:t>
            </w:r>
          </w:p>
        </w:tc>
        <w:tc>
          <w:tcPr>
            <w:tcW w:w="1276" w:type="dxa"/>
            <w:vAlign w:val="center"/>
          </w:tcPr>
          <w:p w14:paraId="5071B378" w14:textId="44468C4B" w:rsidR="002B7B85" w:rsidRPr="000C4939" w:rsidRDefault="002B7B85" w:rsidP="002B7B85">
            <w:pPr>
              <w:spacing w:line="276" w:lineRule="auto"/>
              <w:jc w:val="right"/>
            </w:pPr>
            <w:r w:rsidRPr="000C4939">
              <w:t>6.537,83</w:t>
            </w:r>
          </w:p>
        </w:tc>
        <w:tc>
          <w:tcPr>
            <w:tcW w:w="1276" w:type="dxa"/>
            <w:vAlign w:val="center"/>
          </w:tcPr>
          <w:p w14:paraId="5A310E44" w14:textId="6AFB2570" w:rsidR="002B7B85" w:rsidRPr="000C4939" w:rsidRDefault="002B7B85" w:rsidP="002B7B85">
            <w:pPr>
              <w:jc w:val="right"/>
            </w:pPr>
            <w:r w:rsidRPr="000C4939">
              <w:rPr>
                <w:color w:val="000000"/>
                <w:szCs w:val="24"/>
              </w:rPr>
              <w:fldChar w:fldCharType="begin"/>
            </w:r>
            <w:r w:rsidRPr="000C4939">
              <w:rPr>
                <w:color w:val="000000"/>
                <w:szCs w:val="24"/>
              </w:rPr>
              <w:instrText xml:space="preserve"> =SUM(ABOVE) </w:instrText>
            </w:r>
            <w:r w:rsidRPr="000C4939">
              <w:rPr>
                <w:color w:val="000000"/>
                <w:szCs w:val="24"/>
              </w:rPr>
              <w:fldChar w:fldCharType="separate"/>
            </w:r>
            <w:r w:rsidRPr="000C4939">
              <w:rPr>
                <w:color w:val="000000"/>
                <w:szCs w:val="24"/>
              </w:rPr>
              <w:t>12.758,89</w:t>
            </w:r>
            <w:r w:rsidRPr="000C4939">
              <w:rPr>
                <w:color w:val="000000"/>
                <w:szCs w:val="24"/>
              </w:rPr>
              <w:fldChar w:fldCharType="end"/>
            </w:r>
          </w:p>
        </w:tc>
        <w:tc>
          <w:tcPr>
            <w:tcW w:w="1361" w:type="dxa"/>
            <w:vAlign w:val="center"/>
          </w:tcPr>
          <w:p w14:paraId="4183EBB3" w14:textId="154766A5" w:rsidR="002B7B85" w:rsidRPr="000C4939" w:rsidRDefault="000C4939" w:rsidP="002B7B85">
            <w:pPr>
              <w:jc w:val="right"/>
              <w:rPr>
                <w:color w:val="000000"/>
                <w:szCs w:val="24"/>
              </w:rPr>
            </w:pPr>
            <w:r>
              <w:rPr>
                <w:color w:val="000000"/>
                <w:szCs w:val="24"/>
              </w:rPr>
              <w:t>8.260,66</w:t>
            </w:r>
          </w:p>
        </w:tc>
      </w:tr>
      <w:tr w:rsidR="002B7B85" w:rsidRPr="000C4939" w14:paraId="0DC1075E" w14:textId="7CF5FBFA" w:rsidTr="002B7B85">
        <w:tc>
          <w:tcPr>
            <w:tcW w:w="1135" w:type="dxa"/>
            <w:shd w:val="clear" w:color="auto" w:fill="D9D9D9" w:themeFill="background1" w:themeFillShade="D9"/>
            <w:vAlign w:val="center"/>
          </w:tcPr>
          <w:p w14:paraId="3D34BD64" w14:textId="77777777" w:rsidR="002B7B85" w:rsidRPr="000C4939" w:rsidRDefault="002B7B85" w:rsidP="002B7B85">
            <w:pPr>
              <w:spacing w:line="276" w:lineRule="auto"/>
              <w:jc w:val="center"/>
            </w:pPr>
            <w:r w:rsidRPr="000C4939">
              <w:t>(11a)</w:t>
            </w:r>
          </w:p>
        </w:tc>
        <w:tc>
          <w:tcPr>
            <w:tcW w:w="1843" w:type="dxa"/>
          </w:tcPr>
          <w:p w14:paraId="2B526ED6" w14:textId="77777777" w:rsidR="002B7B85" w:rsidRPr="000C4939" w:rsidRDefault="002B7B85" w:rsidP="002B7B85">
            <w:pPr>
              <w:spacing w:line="276" w:lineRule="auto"/>
              <w:rPr>
                <w:sz w:val="19"/>
                <w:szCs w:val="19"/>
              </w:rPr>
            </w:pPr>
            <w:r w:rsidRPr="000C4939">
              <w:rPr>
                <w:sz w:val="19"/>
                <w:szCs w:val="19"/>
              </w:rPr>
              <w:t>Pourcentage des denrées alimentaires pour lesquelles seuls le transport, la distribution et le stockage ont été payés par le PO</w:t>
            </w:r>
          </w:p>
        </w:tc>
        <w:tc>
          <w:tcPr>
            <w:tcW w:w="1134" w:type="dxa"/>
            <w:vAlign w:val="center"/>
          </w:tcPr>
          <w:p w14:paraId="1472C27D" w14:textId="77777777" w:rsidR="002B7B85" w:rsidRPr="000C4939" w:rsidRDefault="002B7B85" w:rsidP="002B7B85">
            <w:pPr>
              <w:spacing w:line="276" w:lineRule="auto"/>
              <w:jc w:val="left"/>
            </w:pPr>
            <w:r w:rsidRPr="000C4939">
              <w:t>%</w:t>
            </w:r>
          </w:p>
        </w:tc>
        <w:tc>
          <w:tcPr>
            <w:tcW w:w="1276" w:type="dxa"/>
            <w:vAlign w:val="center"/>
          </w:tcPr>
          <w:p w14:paraId="119BF879" w14:textId="77777777" w:rsidR="002B7B85" w:rsidRPr="000C4939" w:rsidRDefault="002B7B85" w:rsidP="002B7B85">
            <w:pPr>
              <w:spacing w:line="276" w:lineRule="auto"/>
              <w:jc w:val="right"/>
            </w:pPr>
            <w:r w:rsidRPr="000C4939">
              <w:t>0</w:t>
            </w:r>
          </w:p>
        </w:tc>
        <w:tc>
          <w:tcPr>
            <w:tcW w:w="1275" w:type="dxa"/>
            <w:vAlign w:val="center"/>
          </w:tcPr>
          <w:p w14:paraId="2798033D" w14:textId="4A13ABCA" w:rsidR="002B7B85" w:rsidRPr="000C4939" w:rsidRDefault="002B7B85" w:rsidP="002B7B85">
            <w:pPr>
              <w:spacing w:line="276" w:lineRule="auto"/>
              <w:jc w:val="right"/>
            </w:pPr>
            <w:r w:rsidRPr="000C4939">
              <w:t>0</w:t>
            </w:r>
          </w:p>
        </w:tc>
        <w:tc>
          <w:tcPr>
            <w:tcW w:w="1276" w:type="dxa"/>
            <w:vAlign w:val="center"/>
          </w:tcPr>
          <w:p w14:paraId="33078138" w14:textId="7D13C372" w:rsidR="002B7B85" w:rsidRPr="000C4939" w:rsidRDefault="002B7B85" w:rsidP="002B7B85">
            <w:pPr>
              <w:spacing w:line="276" w:lineRule="auto"/>
              <w:jc w:val="right"/>
            </w:pPr>
            <w:r w:rsidRPr="000C4939">
              <w:t>0</w:t>
            </w:r>
          </w:p>
        </w:tc>
        <w:tc>
          <w:tcPr>
            <w:tcW w:w="1276" w:type="dxa"/>
            <w:vAlign w:val="center"/>
          </w:tcPr>
          <w:p w14:paraId="5BFAF672" w14:textId="3FD824AF" w:rsidR="002B7B85" w:rsidRPr="000C4939" w:rsidRDefault="002B7B85" w:rsidP="002B7B85">
            <w:pPr>
              <w:jc w:val="right"/>
            </w:pPr>
            <w:r w:rsidRPr="000C4939">
              <w:t>0</w:t>
            </w:r>
          </w:p>
        </w:tc>
        <w:tc>
          <w:tcPr>
            <w:tcW w:w="1361" w:type="dxa"/>
            <w:vAlign w:val="center"/>
          </w:tcPr>
          <w:p w14:paraId="03D0B0BE" w14:textId="6F3982E8" w:rsidR="002B7B85" w:rsidRPr="000C4939" w:rsidRDefault="000C4939" w:rsidP="002B7B85">
            <w:pPr>
              <w:jc w:val="right"/>
            </w:pPr>
            <w:r>
              <w:t>0</w:t>
            </w:r>
          </w:p>
        </w:tc>
      </w:tr>
      <w:tr w:rsidR="002B7B85" w:rsidRPr="000C4939" w14:paraId="298A4D11" w14:textId="78191381" w:rsidTr="002B7B85">
        <w:tc>
          <w:tcPr>
            <w:tcW w:w="1135" w:type="dxa"/>
            <w:shd w:val="clear" w:color="auto" w:fill="D9D9D9" w:themeFill="background1" w:themeFillShade="D9"/>
            <w:vAlign w:val="center"/>
          </w:tcPr>
          <w:p w14:paraId="41444A36" w14:textId="77777777" w:rsidR="002B7B85" w:rsidRPr="000C4939" w:rsidRDefault="002B7B85" w:rsidP="002B7B85">
            <w:pPr>
              <w:spacing w:line="276" w:lineRule="auto"/>
              <w:jc w:val="center"/>
            </w:pPr>
            <w:r w:rsidRPr="000C4939">
              <w:t>(11b)</w:t>
            </w:r>
          </w:p>
        </w:tc>
        <w:tc>
          <w:tcPr>
            <w:tcW w:w="1843" w:type="dxa"/>
          </w:tcPr>
          <w:p w14:paraId="73DFC1C5" w14:textId="77777777" w:rsidR="002B7B85" w:rsidRPr="000C4939" w:rsidRDefault="002B7B85" w:rsidP="002B7B85">
            <w:pPr>
              <w:spacing w:line="276" w:lineRule="auto"/>
              <w:rPr>
                <w:sz w:val="19"/>
                <w:szCs w:val="19"/>
              </w:rPr>
            </w:pPr>
            <w:r w:rsidRPr="000C4939">
              <w:rPr>
                <w:sz w:val="19"/>
                <w:szCs w:val="19"/>
              </w:rPr>
              <w:t>Pourcentage des denrées alimentaires cofinancées par le FEAD, par rapport au volume total de nourriture distribué par les organisations partenaires</w:t>
            </w:r>
          </w:p>
        </w:tc>
        <w:tc>
          <w:tcPr>
            <w:tcW w:w="1134" w:type="dxa"/>
            <w:vAlign w:val="center"/>
          </w:tcPr>
          <w:p w14:paraId="6A199FB2" w14:textId="77777777" w:rsidR="002B7B85" w:rsidRPr="000C4939" w:rsidRDefault="002B7B85" w:rsidP="002B7B85">
            <w:pPr>
              <w:spacing w:line="276" w:lineRule="auto"/>
              <w:jc w:val="left"/>
            </w:pPr>
            <w:r w:rsidRPr="000C4939">
              <w:t>%</w:t>
            </w:r>
          </w:p>
        </w:tc>
        <w:tc>
          <w:tcPr>
            <w:tcW w:w="1276" w:type="dxa"/>
            <w:vAlign w:val="center"/>
          </w:tcPr>
          <w:p w14:paraId="741056B0" w14:textId="77777777" w:rsidR="002B7B85" w:rsidRPr="000C4939" w:rsidRDefault="002B7B85" w:rsidP="002B7B85">
            <w:pPr>
              <w:spacing w:line="276" w:lineRule="auto"/>
              <w:jc w:val="right"/>
            </w:pPr>
            <w:r w:rsidRPr="000C4939">
              <w:t>50</w:t>
            </w:r>
          </w:p>
        </w:tc>
        <w:tc>
          <w:tcPr>
            <w:tcW w:w="1275" w:type="dxa"/>
            <w:vAlign w:val="center"/>
          </w:tcPr>
          <w:p w14:paraId="31DA94C6" w14:textId="7074C685" w:rsidR="002B7B85" w:rsidRPr="000C4939" w:rsidRDefault="002B7B85" w:rsidP="002B7B85">
            <w:pPr>
              <w:spacing w:line="276" w:lineRule="auto"/>
              <w:jc w:val="right"/>
            </w:pPr>
            <w:r w:rsidRPr="000C4939">
              <w:t>50</w:t>
            </w:r>
          </w:p>
        </w:tc>
        <w:tc>
          <w:tcPr>
            <w:tcW w:w="1276" w:type="dxa"/>
            <w:vAlign w:val="center"/>
          </w:tcPr>
          <w:p w14:paraId="6FCDD206" w14:textId="7A3DD469" w:rsidR="002B7B85" w:rsidRPr="000C4939" w:rsidRDefault="002B7B85" w:rsidP="002B7B85">
            <w:pPr>
              <w:spacing w:line="276" w:lineRule="auto"/>
              <w:jc w:val="right"/>
            </w:pPr>
            <w:r w:rsidRPr="000C4939">
              <w:t>50</w:t>
            </w:r>
          </w:p>
        </w:tc>
        <w:tc>
          <w:tcPr>
            <w:tcW w:w="1276" w:type="dxa"/>
            <w:vAlign w:val="center"/>
          </w:tcPr>
          <w:p w14:paraId="721C1122" w14:textId="62043619" w:rsidR="002B7B85" w:rsidRPr="000C4939" w:rsidRDefault="002B7B85" w:rsidP="002B7B85">
            <w:pPr>
              <w:jc w:val="right"/>
            </w:pPr>
            <w:r w:rsidRPr="000C4939">
              <w:t>50</w:t>
            </w:r>
          </w:p>
        </w:tc>
        <w:tc>
          <w:tcPr>
            <w:tcW w:w="1361" w:type="dxa"/>
            <w:vAlign w:val="center"/>
          </w:tcPr>
          <w:p w14:paraId="750E3BB0" w14:textId="0C5FFC9D" w:rsidR="002B7B85" w:rsidRPr="000C4939" w:rsidRDefault="000C4939" w:rsidP="002B7B85">
            <w:pPr>
              <w:jc w:val="right"/>
            </w:pPr>
            <w:r>
              <w:t>50</w:t>
            </w:r>
          </w:p>
        </w:tc>
      </w:tr>
      <w:tr w:rsidR="00C23EA1" w:rsidRPr="000C4939" w14:paraId="0D2E5349" w14:textId="3E14CAA5" w:rsidTr="002B7B85">
        <w:tc>
          <w:tcPr>
            <w:tcW w:w="1135" w:type="dxa"/>
            <w:shd w:val="clear" w:color="auto" w:fill="D9D9D9" w:themeFill="background1" w:themeFillShade="D9"/>
            <w:vAlign w:val="center"/>
          </w:tcPr>
          <w:p w14:paraId="39BB568C" w14:textId="77777777" w:rsidR="00C23EA1" w:rsidRPr="000C4939" w:rsidRDefault="00C23EA1" w:rsidP="00C23EA1">
            <w:pPr>
              <w:spacing w:line="276" w:lineRule="auto"/>
              <w:jc w:val="center"/>
            </w:pPr>
            <w:r w:rsidRPr="000C4939">
              <w:t>(12)</w:t>
            </w:r>
          </w:p>
        </w:tc>
        <w:tc>
          <w:tcPr>
            <w:tcW w:w="1843" w:type="dxa"/>
          </w:tcPr>
          <w:p w14:paraId="62F41CBD" w14:textId="77777777" w:rsidR="00C23EA1" w:rsidRPr="000C4939" w:rsidRDefault="00C23EA1" w:rsidP="00C23EA1">
            <w:pPr>
              <w:spacing w:line="276" w:lineRule="auto"/>
              <w:rPr>
                <w:sz w:val="19"/>
                <w:szCs w:val="19"/>
              </w:rPr>
            </w:pPr>
            <w:r w:rsidRPr="000C4939">
              <w:rPr>
                <w:sz w:val="19"/>
                <w:szCs w:val="19"/>
              </w:rPr>
              <w:t>Nombre total de repas distribués et financés totalement ou partiellement par le PO</w:t>
            </w:r>
          </w:p>
        </w:tc>
        <w:tc>
          <w:tcPr>
            <w:tcW w:w="1134" w:type="dxa"/>
            <w:vAlign w:val="center"/>
          </w:tcPr>
          <w:p w14:paraId="49FF5D5F" w14:textId="77777777" w:rsidR="00C23EA1" w:rsidRPr="000C4939" w:rsidRDefault="00C23EA1" w:rsidP="00C23EA1">
            <w:pPr>
              <w:spacing w:line="276" w:lineRule="auto"/>
              <w:jc w:val="left"/>
            </w:pPr>
            <w:r w:rsidRPr="000C4939">
              <w:t>Chiffre</w:t>
            </w:r>
          </w:p>
        </w:tc>
        <w:tc>
          <w:tcPr>
            <w:tcW w:w="1276" w:type="dxa"/>
            <w:vAlign w:val="center"/>
          </w:tcPr>
          <w:p w14:paraId="64ADCFC4" w14:textId="77777777" w:rsidR="00C23EA1" w:rsidRPr="000C4939" w:rsidRDefault="00C23EA1" w:rsidP="00C23EA1">
            <w:pPr>
              <w:spacing w:line="276" w:lineRule="auto"/>
              <w:jc w:val="right"/>
            </w:pPr>
            <w:r w:rsidRPr="000C4939">
              <w:t>1.570.522</w:t>
            </w:r>
          </w:p>
        </w:tc>
        <w:tc>
          <w:tcPr>
            <w:tcW w:w="1275" w:type="dxa"/>
            <w:shd w:val="clear" w:color="auto" w:fill="auto"/>
            <w:vAlign w:val="center"/>
          </w:tcPr>
          <w:p w14:paraId="7B086C43" w14:textId="5350D171" w:rsidR="00C23EA1" w:rsidRPr="000C4939" w:rsidRDefault="00C23EA1" w:rsidP="00C23EA1">
            <w:pPr>
              <w:spacing w:line="276" w:lineRule="auto"/>
              <w:jc w:val="right"/>
            </w:pPr>
            <w:r w:rsidRPr="000C4939">
              <w:t>1.136.460</w:t>
            </w:r>
          </w:p>
        </w:tc>
        <w:tc>
          <w:tcPr>
            <w:tcW w:w="1276" w:type="dxa"/>
            <w:vAlign w:val="center"/>
          </w:tcPr>
          <w:p w14:paraId="68B3BF92" w14:textId="5E7FB7D6" w:rsidR="00C23EA1" w:rsidRPr="000C4939" w:rsidRDefault="00C23EA1" w:rsidP="00C23EA1">
            <w:pPr>
              <w:spacing w:line="276" w:lineRule="auto"/>
              <w:jc w:val="right"/>
            </w:pPr>
            <w:r w:rsidRPr="000C4939">
              <w:t>1.111.363</w:t>
            </w:r>
          </w:p>
        </w:tc>
        <w:tc>
          <w:tcPr>
            <w:tcW w:w="1276" w:type="dxa"/>
            <w:vAlign w:val="center"/>
          </w:tcPr>
          <w:p w14:paraId="1E799A2B" w14:textId="5710E576" w:rsidR="00C23EA1" w:rsidRPr="000C4939" w:rsidRDefault="00C23EA1" w:rsidP="00C23EA1">
            <w:pPr>
              <w:jc w:val="right"/>
            </w:pPr>
            <w:r>
              <w:t>978.223</w:t>
            </w:r>
          </w:p>
        </w:tc>
        <w:tc>
          <w:tcPr>
            <w:tcW w:w="1361" w:type="dxa"/>
            <w:vAlign w:val="center"/>
          </w:tcPr>
          <w:p w14:paraId="3EAEF196" w14:textId="35205D7D" w:rsidR="00C23EA1" w:rsidRPr="000C4939" w:rsidRDefault="00C23EA1" w:rsidP="00C23EA1">
            <w:pPr>
              <w:jc w:val="right"/>
            </w:pPr>
            <w:r>
              <w:t>776.690</w:t>
            </w:r>
          </w:p>
        </w:tc>
      </w:tr>
      <w:tr w:rsidR="00C23EA1" w:rsidRPr="00A132A0" w14:paraId="6B5422DF" w14:textId="5876D292" w:rsidTr="002B7B85">
        <w:tc>
          <w:tcPr>
            <w:tcW w:w="1135" w:type="dxa"/>
            <w:shd w:val="clear" w:color="auto" w:fill="D9D9D9" w:themeFill="background1" w:themeFillShade="D9"/>
            <w:vAlign w:val="center"/>
          </w:tcPr>
          <w:p w14:paraId="453DBE42" w14:textId="77777777" w:rsidR="00C23EA1" w:rsidRPr="000C4939" w:rsidRDefault="00C23EA1" w:rsidP="00C23EA1">
            <w:pPr>
              <w:spacing w:line="276" w:lineRule="auto"/>
              <w:jc w:val="center"/>
            </w:pPr>
            <w:r w:rsidRPr="000C4939">
              <w:t>(13)</w:t>
            </w:r>
          </w:p>
        </w:tc>
        <w:tc>
          <w:tcPr>
            <w:tcW w:w="1843" w:type="dxa"/>
          </w:tcPr>
          <w:p w14:paraId="6CB8C04B" w14:textId="77777777" w:rsidR="00C23EA1" w:rsidRPr="000C4939" w:rsidRDefault="00C23EA1" w:rsidP="00C23EA1">
            <w:pPr>
              <w:spacing w:line="276" w:lineRule="auto"/>
              <w:rPr>
                <w:sz w:val="19"/>
                <w:szCs w:val="19"/>
              </w:rPr>
            </w:pPr>
            <w:r w:rsidRPr="000C4939">
              <w:rPr>
                <w:sz w:val="19"/>
                <w:szCs w:val="19"/>
              </w:rPr>
              <w:t>Nombre total de colis alimentaires distribués et financés totalement ou partiellement par le PO</w:t>
            </w:r>
          </w:p>
        </w:tc>
        <w:tc>
          <w:tcPr>
            <w:tcW w:w="1134" w:type="dxa"/>
            <w:vAlign w:val="center"/>
          </w:tcPr>
          <w:p w14:paraId="06B5E0AE" w14:textId="77777777" w:rsidR="00C23EA1" w:rsidRPr="000C4939" w:rsidRDefault="00C23EA1" w:rsidP="00C23EA1">
            <w:pPr>
              <w:spacing w:line="276" w:lineRule="auto"/>
              <w:jc w:val="left"/>
            </w:pPr>
            <w:r w:rsidRPr="000C4939">
              <w:t>Chiffre</w:t>
            </w:r>
          </w:p>
        </w:tc>
        <w:tc>
          <w:tcPr>
            <w:tcW w:w="1276" w:type="dxa"/>
            <w:vAlign w:val="center"/>
          </w:tcPr>
          <w:p w14:paraId="0A792830" w14:textId="77777777" w:rsidR="00C23EA1" w:rsidRPr="000C4939" w:rsidRDefault="00C23EA1" w:rsidP="00C23EA1">
            <w:pPr>
              <w:spacing w:line="276" w:lineRule="auto"/>
              <w:jc w:val="right"/>
            </w:pPr>
            <w:r w:rsidRPr="000C4939">
              <w:t>1.377.488</w:t>
            </w:r>
          </w:p>
        </w:tc>
        <w:tc>
          <w:tcPr>
            <w:tcW w:w="1275" w:type="dxa"/>
            <w:vAlign w:val="center"/>
          </w:tcPr>
          <w:p w14:paraId="65077D05" w14:textId="290E9EB3" w:rsidR="00C23EA1" w:rsidRPr="000C4939" w:rsidRDefault="00C23EA1" w:rsidP="00C23EA1">
            <w:pPr>
              <w:spacing w:line="276" w:lineRule="auto"/>
              <w:jc w:val="right"/>
            </w:pPr>
            <w:r w:rsidRPr="000C4939">
              <w:t>1.695.777</w:t>
            </w:r>
          </w:p>
        </w:tc>
        <w:tc>
          <w:tcPr>
            <w:tcW w:w="1276" w:type="dxa"/>
            <w:vAlign w:val="center"/>
          </w:tcPr>
          <w:p w14:paraId="0E37B11B" w14:textId="028594A7" w:rsidR="00C23EA1" w:rsidRPr="000C4939" w:rsidRDefault="00C23EA1" w:rsidP="00C23EA1">
            <w:pPr>
              <w:spacing w:line="276" w:lineRule="auto"/>
              <w:jc w:val="right"/>
            </w:pPr>
            <w:r w:rsidRPr="000C4939">
              <w:t>1.702.987</w:t>
            </w:r>
          </w:p>
        </w:tc>
        <w:tc>
          <w:tcPr>
            <w:tcW w:w="1276" w:type="dxa"/>
            <w:vAlign w:val="center"/>
          </w:tcPr>
          <w:p w14:paraId="63D6FE6E" w14:textId="2D346CE5" w:rsidR="00C23EA1" w:rsidRPr="00A132A0" w:rsidRDefault="00C23EA1" w:rsidP="00C23EA1">
            <w:pPr>
              <w:jc w:val="right"/>
            </w:pPr>
            <w:r>
              <w:t>1.789.069</w:t>
            </w:r>
          </w:p>
        </w:tc>
        <w:tc>
          <w:tcPr>
            <w:tcW w:w="1361" w:type="dxa"/>
            <w:vAlign w:val="center"/>
          </w:tcPr>
          <w:p w14:paraId="61790507" w14:textId="587167B9" w:rsidR="00C23EA1" w:rsidRPr="00A132A0" w:rsidRDefault="00C23EA1" w:rsidP="00C23EA1">
            <w:pPr>
              <w:jc w:val="right"/>
            </w:pPr>
            <w:r>
              <w:t>1.953.248</w:t>
            </w:r>
          </w:p>
        </w:tc>
      </w:tr>
    </w:tbl>
    <w:p w14:paraId="00079CEB" w14:textId="77777777" w:rsidR="004F66E5" w:rsidRDefault="004F66E5" w:rsidP="004F66E5"/>
    <w:p w14:paraId="1E5E87C5" w14:textId="77777777" w:rsidR="000E45F4" w:rsidRDefault="0039613D" w:rsidP="002666E5">
      <w:pPr>
        <w:pStyle w:val="Kop3"/>
        <w:numPr>
          <w:ilvl w:val="2"/>
          <w:numId w:val="1"/>
        </w:numPr>
        <w:spacing w:after="240" w:line="276" w:lineRule="auto"/>
      </w:pPr>
      <w:bookmarkStart w:id="33" w:name="_Toc12629555"/>
      <w:r w:rsidRPr="002978CD">
        <w:t>Indicateurs de résultat relatifs à l'aide alimentaire distribuée</w:t>
      </w:r>
      <w:bookmarkEnd w:id="33"/>
    </w:p>
    <w:tbl>
      <w:tblPr>
        <w:tblStyle w:val="Tabelraster"/>
        <w:tblW w:w="9776" w:type="dxa"/>
        <w:tblLayout w:type="fixed"/>
        <w:tblLook w:val="04A0" w:firstRow="1" w:lastRow="0" w:firstColumn="1" w:lastColumn="0" w:noHBand="0" w:noVBand="1"/>
      </w:tblPr>
      <w:tblGrid>
        <w:gridCol w:w="1101"/>
        <w:gridCol w:w="2722"/>
        <w:gridCol w:w="992"/>
        <w:gridCol w:w="992"/>
        <w:gridCol w:w="992"/>
        <w:gridCol w:w="993"/>
        <w:gridCol w:w="992"/>
        <w:gridCol w:w="992"/>
      </w:tblGrid>
      <w:tr w:rsidR="0080283D" w:rsidRPr="00300295" w14:paraId="00930D06" w14:textId="554F0615" w:rsidTr="00EB579A">
        <w:tc>
          <w:tcPr>
            <w:tcW w:w="1101" w:type="dxa"/>
            <w:shd w:val="clear" w:color="auto" w:fill="A6A6A6" w:themeFill="background1" w:themeFillShade="A6"/>
            <w:vAlign w:val="center"/>
          </w:tcPr>
          <w:p w14:paraId="2B8B4013" w14:textId="77777777" w:rsidR="0080283D" w:rsidRPr="00300295" w:rsidRDefault="0080283D" w:rsidP="00A132A0">
            <w:pPr>
              <w:spacing w:line="276" w:lineRule="auto"/>
              <w:jc w:val="center"/>
            </w:pPr>
            <w:r w:rsidRPr="00300295">
              <w:lastRenderedPageBreak/>
              <w:t>Identifiant de l'indicateur</w:t>
            </w:r>
          </w:p>
        </w:tc>
        <w:tc>
          <w:tcPr>
            <w:tcW w:w="2722" w:type="dxa"/>
            <w:shd w:val="clear" w:color="auto" w:fill="A6A6A6" w:themeFill="background1" w:themeFillShade="A6"/>
            <w:vAlign w:val="center"/>
          </w:tcPr>
          <w:p w14:paraId="1825D286" w14:textId="77777777" w:rsidR="0080283D" w:rsidRPr="00300295" w:rsidRDefault="0080283D" w:rsidP="00A132A0">
            <w:pPr>
              <w:spacing w:line="276" w:lineRule="auto"/>
              <w:jc w:val="center"/>
            </w:pPr>
            <w:r w:rsidRPr="00300295">
              <w:t>Nom de l'indicateur</w:t>
            </w:r>
          </w:p>
        </w:tc>
        <w:tc>
          <w:tcPr>
            <w:tcW w:w="992" w:type="dxa"/>
            <w:shd w:val="clear" w:color="auto" w:fill="A6A6A6" w:themeFill="background1" w:themeFillShade="A6"/>
            <w:vAlign w:val="center"/>
          </w:tcPr>
          <w:p w14:paraId="7E0A2C4D" w14:textId="77777777" w:rsidR="0080283D" w:rsidRPr="00300295" w:rsidRDefault="0080283D" w:rsidP="00A132A0">
            <w:pPr>
              <w:spacing w:line="276" w:lineRule="auto"/>
              <w:jc w:val="center"/>
            </w:pPr>
            <w:r w:rsidRPr="00300295">
              <w:t>Unité</w:t>
            </w:r>
          </w:p>
          <w:p w14:paraId="67528D11" w14:textId="77777777" w:rsidR="0080283D" w:rsidRPr="00300295" w:rsidRDefault="0080283D" w:rsidP="00A132A0">
            <w:pPr>
              <w:spacing w:line="276" w:lineRule="auto"/>
              <w:jc w:val="center"/>
            </w:pPr>
            <w:r w:rsidRPr="00300295">
              <w:t>de mesure</w:t>
            </w:r>
          </w:p>
        </w:tc>
        <w:tc>
          <w:tcPr>
            <w:tcW w:w="992" w:type="dxa"/>
            <w:shd w:val="clear" w:color="auto" w:fill="A6A6A6" w:themeFill="background1" w:themeFillShade="A6"/>
            <w:vAlign w:val="center"/>
          </w:tcPr>
          <w:p w14:paraId="64FAB232" w14:textId="77777777" w:rsidR="0080283D" w:rsidRPr="00300295" w:rsidRDefault="0080283D" w:rsidP="00A132A0">
            <w:pPr>
              <w:spacing w:line="276" w:lineRule="auto"/>
              <w:jc w:val="center"/>
            </w:pPr>
            <w:r w:rsidRPr="00300295">
              <w:t>2014</w:t>
            </w:r>
          </w:p>
        </w:tc>
        <w:tc>
          <w:tcPr>
            <w:tcW w:w="992" w:type="dxa"/>
            <w:shd w:val="clear" w:color="auto" w:fill="A6A6A6" w:themeFill="background1" w:themeFillShade="A6"/>
            <w:vAlign w:val="center"/>
          </w:tcPr>
          <w:p w14:paraId="51ACCE65" w14:textId="22B40D73" w:rsidR="0080283D" w:rsidRPr="00300295" w:rsidRDefault="0080283D" w:rsidP="00A132A0">
            <w:pPr>
              <w:spacing w:line="276" w:lineRule="auto"/>
              <w:jc w:val="center"/>
            </w:pPr>
            <w:r w:rsidRPr="00300295">
              <w:t>2015</w:t>
            </w:r>
          </w:p>
        </w:tc>
        <w:tc>
          <w:tcPr>
            <w:tcW w:w="993" w:type="dxa"/>
            <w:shd w:val="clear" w:color="auto" w:fill="A6A6A6" w:themeFill="background1" w:themeFillShade="A6"/>
            <w:vAlign w:val="center"/>
          </w:tcPr>
          <w:p w14:paraId="46C71BF8" w14:textId="46CEC846" w:rsidR="0080283D" w:rsidRPr="00300295" w:rsidRDefault="0080283D" w:rsidP="00A132A0">
            <w:pPr>
              <w:spacing w:line="276" w:lineRule="auto"/>
              <w:jc w:val="center"/>
            </w:pPr>
            <w:r w:rsidRPr="00300295">
              <w:t>2016</w:t>
            </w:r>
          </w:p>
        </w:tc>
        <w:tc>
          <w:tcPr>
            <w:tcW w:w="992" w:type="dxa"/>
            <w:shd w:val="clear" w:color="auto" w:fill="A6A6A6" w:themeFill="background1" w:themeFillShade="A6"/>
            <w:vAlign w:val="center"/>
          </w:tcPr>
          <w:p w14:paraId="31234556" w14:textId="359CE687" w:rsidR="0080283D" w:rsidRPr="00300295" w:rsidRDefault="0080283D" w:rsidP="00A132A0">
            <w:pPr>
              <w:jc w:val="center"/>
            </w:pPr>
            <w:r w:rsidRPr="00300295">
              <w:t>2017</w:t>
            </w:r>
          </w:p>
        </w:tc>
        <w:tc>
          <w:tcPr>
            <w:tcW w:w="992" w:type="dxa"/>
            <w:shd w:val="clear" w:color="auto" w:fill="A6A6A6" w:themeFill="background1" w:themeFillShade="A6"/>
            <w:vAlign w:val="center"/>
          </w:tcPr>
          <w:p w14:paraId="53A93782" w14:textId="5A47BAE8" w:rsidR="0080283D" w:rsidRPr="00300295" w:rsidRDefault="0080283D" w:rsidP="00A132A0">
            <w:pPr>
              <w:jc w:val="center"/>
            </w:pPr>
            <w:r w:rsidRPr="00300295">
              <w:t>2018</w:t>
            </w:r>
          </w:p>
        </w:tc>
      </w:tr>
      <w:tr w:rsidR="009C7959" w:rsidRPr="00300295" w14:paraId="2A8C755C" w14:textId="1DC354F0" w:rsidTr="00C23EA1">
        <w:tc>
          <w:tcPr>
            <w:tcW w:w="1101" w:type="dxa"/>
            <w:shd w:val="clear" w:color="auto" w:fill="D9D9D9" w:themeFill="background1" w:themeFillShade="D9"/>
            <w:vAlign w:val="center"/>
          </w:tcPr>
          <w:p w14:paraId="24673F07" w14:textId="3DD8013B" w:rsidR="009C7959" w:rsidRPr="00300295" w:rsidRDefault="009C7959" w:rsidP="009C7959">
            <w:pPr>
              <w:spacing w:line="276" w:lineRule="auto"/>
              <w:jc w:val="center"/>
            </w:pPr>
            <w:r w:rsidRPr="00300295">
              <w:t>(14)</w:t>
            </w:r>
          </w:p>
        </w:tc>
        <w:tc>
          <w:tcPr>
            <w:tcW w:w="2722" w:type="dxa"/>
          </w:tcPr>
          <w:p w14:paraId="27E9AA97" w14:textId="77777777" w:rsidR="009C7959" w:rsidRPr="00300295" w:rsidRDefault="009C7959" w:rsidP="009C7959">
            <w:pPr>
              <w:spacing w:line="276" w:lineRule="auto"/>
            </w:pPr>
            <w:r w:rsidRPr="00300295">
              <w:rPr>
                <w:sz w:val="19"/>
                <w:szCs w:val="19"/>
              </w:rPr>
              <w:t>Nombre total de personnes bénéficiant d'une aide alimentaire</w:t>
            </w:r>
          </w:p>
        </w:tc>
        <w:tc>
          <w:tcPr>
            <w:tcW w:w="992" w:type="dxa"/>
            <w:vAlign w:val="center"/>
          </w:tcPr>
          <w:p w14:paraId="4A4226ED" w14:textId="77777777" w:rsidR="009C7959" w:rsidRPr="00300295" w:rsidRDefault="009C7959" w:rsidP="009C7959">
            <w:pPr>
              <w:spacing w:line="276" w:lineRule="auto"/>
            </w:pPr>
            <w:r w:rsidRPr="00300295">
              <w:t>Chiffre</w:t>
            </w:r>
          </w:p>
        </w:tc>
        <w:tc>
          <w:tcPr>
            <w:tcW w:w="992" w:type="dxa"/>
            <w:vAlign w:val="center"/>
          </w:tcPr>
          <w:p w14:paraId="66DC3FE7" w14:textId="77777777" w:rsidR="009C7959" w:rsidRPr="00300295" w:rsidRDefault="009C7959" w:rsidP="009C7959">
            <w:pPr>
              <w:spacing w:line="276" w:lineRule="auto"/>
              <w:jc w:val="right"/>
            </w:pPr>
            <w:r w:rsidRPr="00300295">
              <w:t>225.549</w:t>
            </w:r>
          </w:p>
        </w:tc>
        <w:tc>
          <w:tcPr>
            <w:tcW w:w="992" w:type="dxa"/>
            <w:vAlign w:val="center"/>
          </w:tcPr>
          <w:p w14:paraId="04AAE3BC" w14:textId="1720D8A4" w:rsidR="009C7959" w:rsidRPr="00300295" w:rsidRDefault="009C7959" w:rsidP="009C7959">
            <w:pPr>
              <w:spacing w:line="276" w:lineRule="auto"/>
              <w:jc w:val="right"/>
            </w:pPr>
            <w:r w:rsidRPr="00300295">
              <w:t>273.121</w:t>
            </w:r>
          </w:p>
        </w:tc>
        <w:tc>
          <w:tcPr>
            <w:tcW w:w="993" w:type="dxa"/>
            <w:vAlign w:val="center"/>
          </w:tcPr>
          <w:p w14:paraId="1E8132F7" w14:textId="0DB45806" w:rsidR="009C7959" w:rsidRPr="00300295" w:rsidRDefault="009C7959" w:rsidP="009C7959">
            <w:pPr>
              <w:spacing w:line="276" w:lineRule="auto"/>
              <w:jc w:val="right"/>
            </w:pPr>
            <w:r w:rsidRPr="00300295">
              <w:t>300.526</w:t>
            </w:r>
          </w:p>
        </w:tc>
        <w:tc>
          <w:tcPr>
            <w:tcW w:w="992" w:type="dxa"/>
            <w:vAlign w:val="center"/>
          </w:tcPr>
          <w:p w14:paraId="5C4B2DA1" w14:textId="748D7733" w:rsidR="009C7959" w:rsidRPr="00300295" w:rsidRDefault="009C7959" w:rsidP="009C7959">
            <w:pPr>
              <w:jc w:val="right"/>
            </w:pPr>
            <w:r>
              <w:t>311.205</w:t>
            </w:r>
          </w:p>
        </w:tc>
        <w:tc>
          <w:tcPr>
            <w:tcW w:w="992" w:type="dxa"/>
            <w:vAlign w:val="center"/>
          </w:tcPr>
          <w:p w14:paraId="699E4570" w14:textId="577E47E8" w:rsidR="009C7959" w:rsidRPr="00300295" w:rsidRDefault="009C7959" w:rsidP="009C7959">
            <w:pPr>
              <w:jc w:val="right"/>
            </w:pPr>
            <w:r>
              <w:t>393.824</w:t>
            </w:r>
          </w:p>
        </w:tc>
      </w:tr>
      <w:tr w:rsidR="009C7959" w:rsidRPr="00300295" w14:paraId="2B9D3A65" w14:textId="77DADA1D" w:rsidTr="00C23EA1">
        <w:tc>
          <w:tcPr>
            <w:tcW w:w="1101" w:type="dxa"/>
            <w:shd w:val="clear" w:color="auto" w:fill="D9D9D9" w:themeFill="background1" w:themeFillShade="D9"/>
            <w:vAlign w:val="center"/>
          </w:tcPr>
          <w:p w14:paraId="697F083C" w14:textId="77777777" w:rsidR="009C7959" w:rsidRPr="00300295" w:rsidRDefault="009C7959" w:rsidP="009C7959">
            <w:pPr>
              <w:spacing w:line="276" w:lineRule="auto"/>
              <w:jc w:val="center"/>
            </w:pPr>
            <w:r w:rsidRPr="00300295">
              <w:t>(14a)</w:t>
            </w:r>
          </w:p>
        </w:tc>
        <w:tc>
          <w:tcPr>
            <w:tcW w:w="2722" w:type="dxa"/>
          </w:tcPr>
          <w:p w14:paraId="496BE061" w14:textId="77777777" w:rsidR="009C7959" w:rsidRPr="00300295" w:rsidRDefault="009C7959" w:rsidP="009C7959">
            <w:pPr>
              <w:spacing w:line="276" w:lineRule="auto"/>
            </w:pPr>
            <w:r w:rsidRPr="00300295">
              <w:rPr>
                <w:sz w:val="19"/>
              </w:rPr>
              <w:t>Nombres d'enfants âgés de 15 ans ou moins</w:t>
            </w:r>
          </w:p>
        </w:tc>
        <w:tc>
          <w:tcPr>
            <w:tcW w:w="992" w:type="dxa"/>
            <w:vAlign w:val="center"/>
          </w:tcPr>
          <w:p w14:paraId="4A8BC95F" w14:textId="77777777" w:rsidR="009C7959" w:rsidRPr="00300295" w:rsidRDefault="009C7959" w:rsidP="009C7959">
            <w:pPr>
              <w:spacing w:line="276" w:lineRule="auto"/>
            </w:pPr>
            <w:r w:rsidRPr="00300295">
              <w:t>Chiffre</w:t>
            </w:r>
          </w:p>
        </w:tc>
        <w:tc>
          <w:tcPr>
            <w:tcW w:w="992" w:type="dxa"/>
            <w:vAlign w:val="center"/>
          </w:tcPr>
          <w:p w14:paraId="6FB91D12" w14:textId="77777777" w:rsidR="009C7959" w:rsidRPr="00300295" w:rsidRDefault="009C7959" w:rsidP="009C7959">
            <w:pPr>
              <w:spacing w:line="276" w:lineRule="auto"/>
              <w:jc w:val="right"/>
            </w:pPr>
            <w:r w:rsidRPr="00300295">
              <w:t>61.168</w:t>
            </w:r>
          </w:p>
        </w:tc>
        <w:tc>
          <w:tcPr>
            <w:tcW w:w="992" w:type="dxa"/>
            <w:vAlign w:val="center"/>
          </w:tcPr>
          <w:p w14:paraId="3A84BFBE" w14:textId="3D4659C1" w:rsidR="009C7959" w:rsidRPr="00300295" w:rsidRDefault="009C7959" w:rsidP="009C7959">
            <w:pPr>
              <w:spacing w:line="276" w:lineRule="auto"/>
              <w:jc w:val="right"/>
            </w:pPr>
            <w:r w:rsidRPr="00300295">
              <w:t>70.143</w:t>
            </w:r>
          </w:p>
        </w:tc>
        <w:tc>
          <w:tcPr>
            <w:tcW w:w="993" w:type="dxa"/>
            <w:vAlign w:val="center"/>
          </w:tcPr>
          <w:p w14:paraId="02B96822" w14:textId="49E7122E" w:rsidR="009C7959" w:rsidRPr="00300295" w:rsidRDefault="009C7959" w:rsidP="009C7959">
            <w:pPr>
              <w:spacing w:line="276" w:lineRule="auto"/>
              <w:jc w:val="right"/>
            </w:pPr>
            <w:r w:rsidRPr="00300295">
              <w:t>75.824</w:t>
            </w:r>
          </w:p>
        </w:tc>
        <w:tc>
          <w:tcPr>
            <w:tcW w:w="992" w:type="dxa"/>
            <w:vAlign w:val="center"/>
          </w:tcPr>
          <w:p w14:paraId="03BD5753" w14:textId="3FB711A1" w:rsidR="009C7959" w:rsidRPr="00300295" w:rsidRDefault="009C7959" w:rsidP="009C7959">
            <w:pPr>
              <w:jc w:val="right"/>
            </w:pPr>
            <w:r>
              <w:t>88.141</w:t>
            </w:r>
          </w:p>
        </w:tc>
        <w:tc>
          <w:tcPr>
            <w:tcW w:w="992" w:type="dxa"/>
            <w:vAlign w:val="center"/>
          </w:tcPr>
          <w:p w14:paraId="21EE711D" w14:textId="0A9E3C50" w:rsidR="009C7959" w:rsidRPr="00300295" w:rsidRDefault="009C7959" w:rsidP="009C7959">
            <w:pPr>
              <w:jc w:val="right"/>
            </w:pPr>
            <w:r>
              <w:t>132.867</w:t>
            </w:r>
          </w:p>
        </w:tc>
      </w:tr>
      <w:tr w:rsidR="009C7959" w:rsidRPr="00300295" w14:paraId="7E5FEEF4" w14:textId="537632A3" w:rsidTr="00C23EA1">
        <w:tc>
          <w:tcPr>
            <w:tcW w:w="1101" w:type="dxa"/>
            <w:shd w:val="clear" w:color="auto" w:fill="D9D9D9" w:themeFill="background1" w:themeFillShade="D9"/>
            <w:vAlign w:val="center"/>
          </w:tcPr>
          <w:p w14:paraId="49D5FC19" w14:textId="77777777" w:rsidR="009C7959" w:rsidRPr="00300295" w:rsidRDefault="009C7959" w:rsidP="009C7959">
            <w:pPr>
              <w:spacing w:line="276" w:lineRule="auto"/>
              <w:jc w:val="center"/>
            </w:pPr>
            <w:r w:rsidRPr="00300295">
              <w:t>(14b)</w:t>
            </w:r>
          </w:p>
        </w:tc>
        <w:tc>
          <w:tcPr>
            <w:tcW w:w="2722" w:type="dxa"/>
          </w:tcPr>
          <w:p w14:paraId="313528E5" w14:textId="77777777" w:rsidR="009C7959" w:rsidRPr="00300295" w:rsidRDefault="009C7959" w:rsidP="009C7959">
            <w:pPr>
              <w:spacing w:line="276" w:lineRule="auto"/>
            </w:pPr>
            <w:r w:rsidRPr="00300295">
              <w:rPr>
                <w:sz w:val="19"/>
              </w:rPr>
              <w:t>Nombre de personnes âgées de 65 ans ou plus</w:t>
            </w:r>
          </w:p>
        </w:tc>
        <w:tc>
          <w:tcPr>
            <w:tcW w:w="992" w:type="dxa"/>
            <w:vAlign w:val="center"/>
          </w:tcPr>
          <w:p w14:paraId="5F6E9C8D" w14:textId="77777777" w:rsidR="009C7959" w:rsidRPr="00300295" w:rsidRDefault="009C7959" w:rsidP="009C7959">
            <w:pPr>
              <w:spacing w:line="276" w:lineRule="auto"/>
            </w:pPr>
            <w:r w:rsidRPr="00300295">
              <w:t>Chiffre</w:t>
            </w:r>
          </w:p>
        </w:tc>
        <w:tc>
          <w:tcPr>
            <w:tcW w:w="992" w:type="dxa"/>
            <w:vAlign w:val="center"/>
          </w:tcPr>
          <w:p w14:paraId="3178B261" w14:textId="77777777" w:rsidR="009C7959" w:rsidRPr="00300295" w:rsidRDefault="009C7959" w:rsidP="009C7959">
            <w:pPr>
              <w:spacing w:line="276" w:lineRule="auto"/>
              <w:jc w:val="right"/>
            </w:pPr>
            <w:r w:rsidRPr="00300295">
              <w:t>14.892</w:t>
            </w:r>
          </w:p>
        </w:tc>
        <w:tc>
          <w:tcPr>
            <w:tcW w:w="992" w:type="dxa"/>
            <w:vAlign w:val="center"/>
          </w:tcPr>
          <w:p w14:paraId="0C4C96FB" w14:textId="4EEE05F9" w:rsidR="009C7959" w:rsidRPr="00300295" w:rsidRDefault="009C7959" w:rsidP="009C7959">
            <w:pPr>
              <w:spacing w:line="276" w:lineRule="auto"/>
              <w:jc w:val="right"/>
            </w:pPr>
            <w:r w:rsidRPr="00300295">
              <w:t>19.241</w:t>
            </w:r>
          </w:p>
        </w:tc>
        <w:tc>
          <w:tcPr>
            <w:tcW w:w="993" w:type="dxa"/>
            <w:vAlign w:val="center"/>
          </w:tcPr>
          <w:p w14:paraId="3367AEF3" w14:textId="04913DDF" w:rsidR="009C7959" w:rsidRPr="00300295" w:rsidRDefault="009C7959" w:rsidP="009C7959">
            <w:pPr>
              <w:spacing w:line="276" w:lineRule="auto"/>
              <w:jc w:val="right"/>
            </w:pPr>
            <w:r w:rsidRPr="00300295">
              <w:t>15.782</w:t>
            </w:r>
          </w:p>
        </w:tc>
        <w:tc>
          <w:tcPr>
            <w:tcW w:w="992" w:type="dxa"/>
            <w:vAlign w:val="center"/>
          </w:tcPr>
          <w:p w14:paraId="4DF5D3D6" w14:textId="4FEDEA35" w:rsidR="009C7959" w:rsidRPr="00300295" w:rsidRDefault="009C7959" w:rsidP="009C7959">
            <w:pPr>
              <w:jc w:val="right"/>
            </w:pPr>
            <w:r>
              <w:t>21.980</w:t>
            </w:r>
          </w:p>
        </w:tc>
        <w:tc>
          <w:tcPr>
            <w:tcW w:w="992" w:type="dxa"/>
            <w:vAlign w:val="center"/>
          </w:tcPr>
          <w:p w14:paraId="78816D87" w14:textId="28E8E192" w:rsidR="009C7959" w:rsidRPr="00300295" w:rsidRDefault="009C7959" w:rsidP="009C7959">
            <w:pPr>
              <w:jc w:val="right"/>
            </w:pPr>
            <w:r>
              <w:t>36.368</w:t>
            </w:r>
          </w:p>
        </w:tc>
      </w:tr>
      <w:tr w:rsidR="009C7959" w:rsidRPr="00300295" w14:paraId="2CEB6FE0" w14:textId="1853DDD7" w:rsidTr="00C23EA1">
        <w:tc>
          <w:tcPr>
            <w:tcW w:w="1101" w:type="dxa"/>
            <w:shd w:val="clear" w:color="auto" w:fill="D9D9D9" w:themeFill="background1" w:themeFillShade="D9"/>
            <w:vAlign w:val="center"/>
          </w:tcPr>
          <w:p w14:paraId="415EFDED" w14:textId="77777777" w:rsidR="009C7959" w:rsidRPr="00300295" w:rsidRDefault="009C7959" w:rsidP="009C7959">
            <w:pPr>
              <w:spacing w:line="276" w:lineRule="auto"/>
              <w:jc w:val="center"/>
            </w:pPr>
            <w:r w:rsidRPr="00300295">
              <w:t>(14c)</w:t>
            </w:r>
          </w:p>
        </w:tc>
        <w:tc>
          <w:tcPr>
            <w:tcW w:w="2722" w:type="dxa"/>
          </w:tcPr>
          <w:p w14:paraId="74404D87" w14:textId="77777777" w:rsidR="009C7959" w:rsidRPr="00300295" w:rsidRDefault="009C7959" w:rsidP="009C7959">
            <w:pPr>
              <w:spacing w:line="276" w:lineRule="auto"/>
            </w:pPr>
            <w:r w:rsidRPr="00300295">
              <w:rPr>
                <w:sz w:val="19"/>
              </w:rPr>
              <w:t>Nombre de femmes</w:t>
            </w:r>
          </w:p>
        </w:tc>
        <w:tc>
          <w:tcPr>
            <w:tcW w:w="992" w:type="dxa"/>
            <w:vAlign w:val="center"/>
          </w:tcPr>
          <w:p w14:paraId="61EB2B7A" w14:textId="77777777" w:rsidR="009C7959" w:rsidRPr="00300295" w:rsidRDefault="009C7959" w:rsidP="009C7959">
            <w:pPr>
              <w:spacing w:line="276" w:lineRule="auto"/>
            </w:pPr>
            <w:r w:rsidRPr="00300295">
              <w:t>Chiffre</w:t>
            </w:r>
          </w:p>
        </w:tc>
        <w:tc>
          <w:tcPr>
            <w:tcW w:w="992" w:type="dxa"/>
            <w:vAlign w:val="center"/>
          </w:tcPr>
          <w:p w14:paraId="15EFD5D8" w14:textId="77777777" w:rsidR="009C7959" w:rsidRPr="00300295" w:rsidRDefault="009C7959" w:rsidP="009C7959">
            <w:pPr>
              <w:spacing w:line="276" w:lineRule="auto"/>
              <w:jc w:val="right"/>
            </w:pPr>
            <w:r w:rsidRPr="00300295">
              <w:t>69.589</w:t>
            </w:r>
          </w:p>
        </w:tc>
        <w:tc>
          <w:tcPr>
            <w:tcW w:w="992" w:type="dxa"/>
            <w:vAlign w:val="center"/>
          </w:tcPr>
          <w:p w14:paraId="1474554E" w14:textId="1C67F887" w:rsidR="009C7959" w:rsidRPr="00300295" w:rsidRDefault="009C7959" w:rsidP="009C7959">
            <w:pPr>
              <w:spacing w:line="276" w:lineRule="auto"/>
              <w:jc w:val="right"/>
            </w:pPr>
            <w:r w:rsidRPr="00300295">
              <w:t>89.980</w:t>
            </w:r>
          </w:p>
        </w:tc>
        <w:tc>
          <w:tcPr>
            <w:tcW w:w="993" w:type="dxa"/>
            <w:vAlign w:val="center"/>
          </w:tcPr>
          <w:p w14:paraId="0223EE28" w14:textId="52FF3415" w:rsidR="009C7959" w:rsidRPr="00300295" w:rsidRDefault="009C7959" w:rsidP="009C7959">
            <w:pPr>
              <w:spacing w:line="276" w:lineRule="auto"/>
              <w:jc w:val="right"/>
            </w:pPr>
            <w:r w:rsidRPr="00300295">
              <w:t>87.331</w:t>
            </w:r>
          </w:p>
        </w:tc>
        <w:tc>
          <w:tcPr>
            <w:tcW w:w="992" w:type="dxa"/>
            <w:vAlign w:val="center"/>
          </w:tcPr>
          <w:p w14:paraId="44FDB15A" w14:textId="05EFDC27" w:rsidR="009C7959" w:rsidRPr="00300295" w:rsidRDefault="009C7959" w:rsidP="009C7959">
            <w:pPr>
              <w:jc w:val="right"/>
            </w:pPr>
            <w:r>
              <w:t>98.913</w:t>
            </w:r>
          </w:p>
        </w:tc>
        <w:tc>
          <w:tcPr>
            <w:tcW w:w="992" w:type="dxa"/>
            <w:vAlign w:val="center"/>
          </w:tcPr>
          <w:p w14:paraId="64723614" w14:textId="423A711D" w:rsidR="009C7959" w:rsidRPr="00300295" w:rsidRDefault="009C7959" w:rsidP="009C7959">
            <w:pPr>
              <w:jc w:val="right"/>
            </w:pPr>
            <w:r>
              <w:t>168.206</w:t>
            </w:r>
          </w:p>
        </w:tc>
      </w:tr>
      <w:tr w:rsidR="009C7959" w:rsidRPr="00300295" w14:paraId="55DA5FE1" w14:textId="0C918738" w:rsidTr="00C23EA1">
        <w:tc>
          <w:tcPr>
            <w:tcW w:w="1101" w:type="dxa"/>
            <w:shd w:val="clear" w:color="auto" w:fill="D9D9D9" w:themeFill="background1" w:themeFillShade="D9"/>
            <w:vAlign w:val="center"/>
          </w:tcPr>
          <w:p w14:paraId="5F2FA4E3" w14:textId="77777777" w:rsidR="009C7959" w:rsidRPr="00300295" w:rsidRDefault="009C7959" w:rsidP="009C7959">
            <w:pPr>
              <w:spacing w:line="276" w:lineRule="auto"/>
              <w:jc w:val="center"/>
            </w:pPr>
            <w:r w:rsidRPr="00300295">
              <w:t>(14d)</w:t>
            </w:r>
          </w:p>
        </w:tc>
        <w:tc>
          <w:tcPr>
            <w:tcW w:w="2722" w:type="dxa"/>
          </w:tcPr>
          <w:p w14:paraId="41D5815D" w14:textId="77777777" w:rsidR="009C7959" w:rsidRPr="00300295" w:rsidRDefault="009C7959" w:rsidP="009C7959">
            <w:pPr>
              <w:spacing w:line="276" w:lineRule="auto"/>
            </w:pPr>
            <w:r w:rsidRPr="00300295">
              <w:rPr>
                <w:sz w:val="19"/>
                <w:szCs w:val="19"/>
              </w:rPr>
              <w:t>Nombre de migrants, participants d'origine étrangère, personnes appartenant à des minorités (y compris des communautés marginalisées telles que les Roms)</w:t>
            </w:r>
          </w:p>
        </w:tc>
        <w:tc>
          <w:tcPr>
            <w:tcW w:w="992" w:type="dxa"/>
            <w:vAlign w:val="center"/>
          </w:tcPr>
          <w:p w14:paraId="36D0B204" w14:textId="77777777" w:rsidR="009C7959" w:rsidRPr="00300295" w:rsidRDefault="009C7959" w:rsidP="009C7959">
            <w:pPr>
              <w:spacing w:line="276" w:lineRule="auto"/>
            </w:pPr>
            <w:r w:rsidRPr="00300295">
              <w:t>Chiffre</w:t>
            </w:r>
          </w:p>
        </w:tc>
        <w:tc>
          <w:tcPr>
            <w:tcW w:w="992" w:type="dxa"/>
            <w:vAlign w:val="center"/>
          </w:tcPr>
          <w:p w14:paraId="7F4A0623" w14:textId="77777777" w:rsidR="009C7959" w:rsidRPr="00300295" w:rsidRDefault="009C7959" w:rsidP="009C7959">
            <w:pPr>
              <w:spacing w:line="276" w:lineRule="auto"/>
              <w:jc w:val="right"/>
            </w:pPr>
            <w:r w:rsidRPr="00300295">
              <w:t>87.018</w:t>
            </w:r>
          </w:p>
        </w:tc>
        <w:tc>
          <w:tcPr>
            <w:tcW w:w="992" w:type="dxa"/>
            <w:vAlign w:val="center"/>
          </w:tcPr>
          <w:p w14:paraId="726987D9" w14:textId="5BB60911" w:rsidR="009C7959" w:rsidRPr="00300295" w:rsidRDefault="009C7959" w:rsidP="009C7959">
            <w:pPr>
              <w:spacing w:line="276" w:lineRule="auto"/>
              <w:jc w:val="right"/>
            </w:pPr>
            <w:r w:rsidRPr="00300295">
              <w:t>99.111</w:t>
            </w:r>
          </w:p>
        </w:tc>
        <w:tc>
          <w:tcPr>
            <w:tcW w:w="993" w:type="dxa"/>
            <w:vAlign w:val="center"/>
          </w:tcPr>
          <w:p w14:paraId="7F4679DA" w14:textId="237DD994" w:rsidR="009C7959" w:rsidRPr="00300295" w:rsidRDefault="009C7959" w:rsidP="009C7959">
            <w:pPr>
              <w:spacing w:line="276" w:lineRule="auto"/>
              <w:jc w:val="right"/>
            </w:pPr>
            <w:r w:rsidRPr="00300295">
              <w:t>93.466</w:t>
            </w:r>
          </w:p>
        </w:tc>
        <w:tc>
          <w:tcPr>
            <w:tcW w:w="992" w:type="dxa"/>
            <w:vAlign w:val="center"/>
          </w:tcPr>
          <w:p w14:paraId="63F17DD1" w14:textId="1421482B" w:rsidR="009C7959" w:rsidRPr="00300295" w:rsidRDefault="009C7959" w:rsidP="009C7959">
            <w:pPr>
              <w:jc w:val="right"/>
            </w:pPr>
            <w:r>
              <w:t>102.269</w:t>
            </w:r>
          </w:p>
        </w:tc>
        <w:tc>
          <w:tcPr>
            <w:tcW w:w="992" w:type="dxa"/>
            <w:vAlign w:val="center"/>
          </w:tcPr>
          <w:p w14:paraId="45FD1CAD" w14:textId="477E7BF1" w:rsidR="009C7959" w:rsidRPr="00300295" w:rsidRDefault="009C7959" w:rsidP="009C7959">
            <w:pPr>
              <w:jc w:val="right"/>
            </w:pPr>
            <w:r>
              <w:t>118.448</w:t>
            </w:r>
          </w:p>
        </w:tc>
      </w:tr>
      <w:tr w:rsidR="009C7959" w:rsidRPr="00300295" w14:paraId="4468BC36" w14:textId="1A41EE91" w:rsidTr="00C23EA1">
        <w:tc>
          <w:tcPr>
            <w:tcW w:w="1101" w:type="dxa"/>
            <w:shd w:val="clear" w:color="auto" w:fill="D9D9D9" w:themeFill="background1" w:themeFillShade="D9"/>
            <w:vAlign w:val="center"/>
          </w:tcPr>
          <w:p w14:paraId="359D1B9F" w14:textId="77777777" w:rsidR="009C7959" w:rsidRPr="00300295" w:rsidRDefault="009C7959" w:rsidP="009C7959">
            <w:pPr>
              <w:spacing w:line="276" w:lineRule="auto"/>
              <w:jc w:val="center"/>
            </w:pPr>
            <w:r w:rsidRPr="00300295">
              <w:t>(14e)</w:t>
            </w:r>
          </w:p>
        </w:tc>
        <w:tc>
          <w:tcPr>
            <w:tcW w:w="2722" w:type="dxa"/>
          </w:tcPr>
          <w:p w14:paraId="67397747" w14:textId="77777777" w:rsidR="009C7959" w:rsidRPr="00300295" w:rsidRDefault="009C7959" w:rsidP="009C7959">
            <w:pPr>
              <w:spacing w:line="276" w:lineRule="auto"/>
              <w:rPr>
                <w:sz w:val="19"/>
                <w:szCs w:val="19"/>
              </w:rPr>
            </w:pPr>
            <w:r w:rsidRPr="00300295">
              <w:rPr>
                <w:sz w:val="19"/>
              </w:rPr>
              <w:t>Nombre de personnes handicapées</w:t>
            </w:r>
          </w:p>
        </w:tc>
        <w:tc>
          <w:tcPr>
            <w:tcW w:w="992" w:type="dxa"/>
            <w:vAlign w:val="center"/>
          </w:tcPr>
          <w:p w14:paraId="22A1DACD" w14:textId="77777777" w:rsidR="009C7959" w:rsidRPr="00300295" w:rsidRDefault="009C7959" w:rsidP="009C7959">
            <w:pPr>
              <w:spacing w:line="276" w:lineRule="auto"/>
            </w:pPr>
            <w:r w:rsidRPr="00300295">
              <w:t>Chiffre</w:t>
            </w:r>
          </w:p>
        </w:tc>
        <w:tc>
          <w:tcPr>
            <w:tcW w:w="992" w:type="dxa"/>
            <w:vAlign w:val="center"/>
          </w:tcPr>
          <w:p w14:paraId="3653B58D" w14:textId="77777777" w:rsidR="009C7959" w:rsidRPr="00300295" w:rsidRDefault="009C7959" w:rsidP="009C7959">
            <w:pPr>
              <w:spacing w:line="276" w:lineRule="auto"/>
              <w:jc w:val="right"/>
            </w:pPr>
            <w:r w:rsidRPr="00300295">
              <w:t>5.013</w:t>
            </w:r>
          </w:p>
        </w:tc>
        <w:tc>
          <w:tcPr>
            <w:tcW w:w="992" w:type="dxa"/>
            <w:vAlign w:val="center"/>
          </w:tcPr>
          <w:p w14:paraId="30A254A0" w14:textId="7186A997" w:rsidR="009C7959" w:rsidRPr="00300295" w:rsidRDefault="009C7959" w:rsidP="009C7959">
            <w:pPr>
              <w:spacing w:line="276" w:lineRule="auto"/>
              <w:jc w:val="right"/>
            </w:pPr>
            <w:r w:rsidRPr="00300295">
              <w:t>5.858</w:t>
            </w:r>
          </w:p>
        </w:tc>
        <w:tc>
          <w:tcPr>
            <w:tcW w:w="993" w:type="dxa"/>
            <w:vAlign w:val="center"/>
          </w:tcPr>
          <w:p w14:paraId="7FB66FAD" w14:textId="2E10D557" w:rsidR="009C7959" w:rsidRPr="00300295" w:rsidRDefault="009C7959" w:rsidP="009C7959">
            <w:pPr>
              <w:spacing w:line="276" w:lineRule="auto"/>
              <w:jc w:val="right"/>
            </w:pPr>
            <w:r w:rsidRPr="00300295">
              <w:t>10.611</w:t>
            </w:r>
          </w:p>
        </w:tc>
        <w:tc>
          <w:tcPr>
            <w:tcW w:w="992" w:type="dxa"/>
            <w:vAlign w:val="center"/>
          </w:tcPr>
          <w:p w14:paraId="1078927A" w14:textId="6264B763" w:rsidR="009C7959" w:rsidRPr="00300295" w:rsidRDefault="009C7959" w:rsidP="009C7959">
            <w:pPr>
              <w:jc w:val="right"/>
            </w:pPr>
            <w:r>
              <w:t>9.788</w:t>
            </w:r>
          </w:p>
        </w:tc>
        <w:tc>
          <w:tcPr>
            <w:tcW w:w="992" w:type="dxa"/>
            <w:vAlign w:val="center"/>
          </w:tcPr>
          <w:p w14:paraId="6E6A02B8" w14:textId="1B1F672E" w:rsidR="009C7959" w:rsidRPr="00300295" w:rsidRDefault="009C7959" w:rsidP="009C7959">
            <w:pPr>
              <w:jc w:val="right"/>
            </w:pPr>
            <w:r>
              <w:t>12.658</w:t>
            </w:r>
          </w:p>
        </w:tc>
      </w:tr>
      <w:tr w:rsidR="009C7959" w:rsidRPr="00300C46" w14:paraId="11D221D9" w14:textId="73F74912" w:rsidTr="00C23EA1">
        <w:tc>
          <w:tcPr>
            <w:tcW w:w="1101" w:type="dxa"/>
            <w:shd w:val="clear" w:color="auto" w:fill="D9D9D9" w:themeFill="background1" w:themeFillShade="D9"/>
            <w:vAlign w:val="center"/>
          </w:tcPr>
          <w:p w14:paraId="0109433B" w14:textId="77777777" w:rsidR="009C7959" w:rsidRPr="00300295" w:rsidRDefault="009C7959" w:rsidP="009C7959">
            <w:pPr>
              <w:spacing w:line="276" w:lineRule="auto"/>
              <w:jc w:val="center"/>
            </w:pPr>
            <w:r w:rsidRPr="00300295">
              <w:t>(14f)</w:t>
            </w:r>
          </w:p>
        </w:tc>
        <w:tc>
          <w:tcPr>
            <w:tcW w:w="2722" w:type="dxa"/>
          </w:tcPr>
          <w:p w14:paraId="5B64D937" w14:textId="77777777" w:rsidR="009C7959" w:rsidRPr="00300295" w:rsidRDefault="009C7959" w:rsidP="009C7959">
            <w:pPr>
              <w:spacing w:line="276" w:lineRule="auto"/>
              <w:rPr>
                <w:sz w:val="19"/>
                <w:szCs w:val="19"/>
              </w:rPr>
            </w:pPr>
            <w:r w:rsidRPr="00300295">
              <w:rPr>
                <w:sz w:val="19"/>
              </w:rPr>
              <w:t>Nombre de sans-abri</w:t>
            </w:r>
          </w:p>
        </w:tc>
        <w:tc>
          <w:tcPr>
            <w:tcW w:w="992" w:type="dxa"/>
            <w:vAlign w:val="center"/>
          </w:tcPr>
          <w:p w14:paraId="46EE0852" w14:textId="77777777" w:rsidR="009C7959" w:rsidRPr="00300295" w:rsidRDefault="009C7959" w:rsidP="009C7959">
            <w:pPr>
              <w:spacing w:line="276" w:lineRule="auto"/>
            </w:pPr>
            <w:r w:rsidRPr="00300295">
              <w:t>Chiffre</w:t>
            </w:r>
          </w:p>
        </w:tc>
        <w:tc>
          <w:tcPr>
            <w:tcW w:w="992" w:type="dxa"/>
            <w:vAlign w:val="center"/>
          </w:tcPr>
          <w:p w14:paraId="34C201F7" w14:textId="77777777" w:rsidR="009C7959" w:rsidRPr="00300295" w:rsidRDefault="009C7959" w:rsidP="009C7959">
            <w:pPr>
              <w:spacing w:line="276" w:lineRule="auto"/>
              <w:jc w:val="right"/>
            </w:pPr>
            <w:r w:rsidRPr="00300295">
              <w:t>21.349</w:t>
            </w:r>
          </w:p>
        </w:tc>
        <w:tc>
          <w:tcPr>
            <w:tcW w:w="992" w:type="dxa"/>
            <w:vAlign w:val="center"/>
          </w:tcPr>
          <w:p w14:paraId="1F237585" w14:textId="77777777" w:rsidR="009C7959" w:rsidRPr="00300295" w:rsidRDefault="009C7959" w:rsidP="009C7959">
            <w:pPr>
              <w:spacing w:line="276" w:lineRule="auto"/>
              <w:jc w:val="right"/>
            </w:pPr>
            <w:r w:rsidRPr="00300295">
              <w:t>11.021</w:t>
            </w:r>
          </w:p>
        </w:tc>
        <w:tc>
          <w:tcPr>
            <w:tcW w:w="993" w:type="dxa"/>
            <w:vAlign w:val="center"/>
          </w:tcPr>
          <w:p w14:paraId="062C68ED" w14:textId="56D52486" w:rsidR="009C7959" w:rsidRPr="00300295" w:rsidRDefault="009C7959" w:rsidP="009C7959">
            <w:pPr>
              <w:spacing w:line="276" w:lineRule="auto"/>
              <w:jc w:val="right"/>
            </w:pPr>
            <w:r w:rsidRPr="00300295">
              <w:t>10.378</w:t>
            </w:r>
          </w:p>
        </w:tc>
        <w:tc>
          <w:tcPr>
            <w:tcW w:w="992" w:type="dxa"/>
            <w:vAlign w:val="center"/>
          </w:tcPr>
          <w:p w14:paraId="7184995D" w14:textId="399BC1E2" w:rsidR="009C7959" w:rsidRPr="00300295" w:rsidRDefault="009C7959" w:rsidP="009C7959">
            <w:pPr>
              <w:jc w:val="right"/>
            </w:pPr>
            <w:r>
              <w:t>20.414</w:t>
            </w:r>
          </w:p>
        </w:tc>
        <w:tc>
          <w:tcPr>
            <w:tcW w:w="992" w:type="dxa"/>
            <w:vAlign w:val="center"/>
          </w:tcPr>
          <w:p w14:paraId="70BB3E08" w14:textId="5F6AA4C0" w:rsidR="009C7959" w:rsidRPr="00A132A0" w:rsidRDefault="009C7959" w:rsidP="009C7959">
            <w:pPr>
              <w:jc w:val="right"/>
            </w:pPr>
            <w:r>
              <w:t>19.929</w:t>
            </w:r>
          </w:p>
        </w:tc>
      </w:tr>
    </w:tbl>
    <w:p w14:paraId="6F4BD396" w14:textId="77777777" w:rsidR="000E45F4" w:rsidRPr="00407488" w:rsidRDefault="0039613D" w:rsidP="002666E5">
      <w:pPr>
        <w:pStyle w:val="Kop3"/>
        <w:numPr>
          <w:ilvl w:val="2"/>
          <w:numId w:val="1"/>
        </w:numPr>
        <w:spacing w:after="240" w:line="276" w:lineRule="auto"/>
      </w:pPr>
      <w:bookmarkStart w:id="34" w:name="_Toc12629556"/>
      <w:r w:rsidRPr="00407488">
        <w:t>Indicateurs de sortie relatifs à l'aide matérielle de base fournie</w:t>
      </w:r>
      <w:bookmarkEnd w:id="34"/>
    </w:p>
    <w:p w14:paraId="4B010D8A" w14:textId="77777777" w:rsidR="000E45F4" w:rsidRPr="00407488" w:rsidRDefault="000E45F4" w:rsidP="002666E5">
      <w:r w:rsidRPr="00407488">
        <w:t xml:space="preserve">Pas applicable. </w:t>
      </w:r>
    </w:p>
    <w:p w14:paraId="02713E47" w14:textId="77777777" w:rsidR="000E45F4" w:rsidRPr="00407488" w:rsidRDefault="0039613D" w:rsidP="002666E5">
      <w:pPr>
        <w:pStyle w:val="Kop3"/>
        <w:numPr>
          <w:ilvl w:val="2"/>
          <w:numId w:val="1"/>
        </w:numPr>
        <w:spacing w:after="240" w:line="276" w:lineRule="auto"/>
      </w:pPr>
      <w:bookmarkStart w:id="35" w:name="_Toc12629557"/>
      <w:r w:rsidRPr="00407488">
        <w:t>Indicateurs de résultat relatifs à l'aide matérielle de base fournie</w:t>
      </w:r>
      <w:bookmarkEnd w:id="35"/>
    </w:p>
    <w:p w14:paraId="1EA80AD3" w14:textId="08D603D1" w:rsidR="008E71BB" w:rsidRPr="00407488" w:rsidRDefault="000E45F4" w:rsidP="002666E5">
      <w:r w:rsidRPr="00407488">
        <w:t xml:space="preserve">Pas </w:t>
      </w:r>
      <w:r w:rsidR="00BE4C7A">
        <w:t>d’application</w:t>
      </w:r>
      <w:r w:rsidRPr="00407488">
        <w:t>.</w:t>
      </w:r>
    </w:p>
    <w:p w14:paraId="32988151" w14:textId="77777777" w:rsidR="000E45F4" w:rsidRPr="00407488" w:rsidRDefault="000E45F4" w:rsidP="002666E5">
      <w:pPr>
        <w:pStyle w:val="Kop1"/>
        <w:numPr>
          <w:ilvl w:val="0"/>
          <w:numId w:val="2"/>
        </w:numPr>
      </w:pPr>
      <w:bookmarkStart w:id="36" w:name="_Toc422390659"/>
      <w:bookmarkStart w:id="37" w:name="_Toc12629558"/>
      <w:r w:rsidRPr="00407488">
        <w:t>Rapports présentés en 2017, 2022 et rapport final d'exécution</w:t>
      </w:r>
      <w:bookmarkEnd w:id="36"/>
      <w:bookmarkEnd w:id="37"/>
    </w:p>
    <w:p w14:paraId="1FA5D82B" w14:textId="77777777" w:rsidR="000E45F4" w:rsidRPr="00694F8F" w:rsidRDefault="000E45F4" w:rsidP="002666E5">
      <w:pPr>
        <w:pStyle w:val="Kop2"/>
        <w:numPr>
          <w:ilvl w:val="0"/>
          <w:numId w:val="1"/>
        </w:numPr>
        <w:spacing w:after="240" w:line="276" w:lineRule="auto"/>
      </w:pPr>
      <w:bookmarkStart w:id="38" w:name="_Toc422390660"/>
      <w:bookmarkStart w:id="39" w:name="_Toc12629559"/>
      <w:r w:rsidRPr="00694F8F">
        <w:t>Contribution à la réalisation des objectifs spécifiques et globaux du FEAD</w:t>
      </w:r>
      <w:bookmarkEnd w:id="38"/>
      <w:bookmarkEnd w:id="39"/>
    </w:p>
    <w:p w14:paraId="11DE37A9" w14:textId="0130B9E7" w:rsidR="000222CF" w:rsidRPr="008C4E0F" w:rsidRDefault="000E45F4" w:rsidP="002666E5">
      <w:pPr>
        <w:pStyle w:val="Kop3"/>
        <w:numPr>
          <w:ilvl w:val="1"/>
          <w:numId w:val="1"/>
        </w:numPr>
        <w:spacing w:after="240" w:line="276" w:lineRule="auto"/>
      </w:pPr>
      <w:bookmarkStart w:id="40" w:name="_Toc422390661"/>
      <w:bookmarkStart w:id="41" w:name="_Toc12629560"/>
      <w:r w:rsidRPr="0080371F">
        <w:t>Information et évaluation de la contribution à la réalisation des objectifs spécifiques et globaux du FEAD, tels que spécifiés dans l'article 3 du règlement (UE) nº 223/2014</w:t>
      </w:r>
      <w:bookmarkEnd w:id="40"/>
      <w:bookmarkEnd w:id="41"/>
    </w:p>
    <w:p w14:paraId="4CB65671" w14:textId="5D327AFB" w:rsidR="000222CF" w:rsidRPr="000222CF" w:rsidRDefault="001479D3" w:rsidP="008C4E0F">
      <w:pPr>
        <w:pStyle w:val="Kop4"/>
        <w:spacing w:after="240"/>
        <w:rPr>
          <w:lang w:val="fr-BE"/>
        </w:rPr>
      </w:pPr>
      <w:r>
        <w:rPr>
          <w:lang w:val="fr-BE"/>
        </w:rPr>
        <w:t>N/A</w:t>
      </w:r>
    </w:p>
    <w:p w14:paraId="42754DE2" w14:textId="5075AAC3" w:rsidR="000E45F4" w:rsidRPr="00407488" w:rsidRDefault="00E74292" w:rsidP="002666E5">
      <w:pPr>
        <w:pStyle w:val="Kop1"/>
        <w:numPr>
          <w:ilvl w:val="0"/>
          <w:numId w:val="2"/>
        </w:numPr>
        <w:spacing w:after="240"/>
      </w:pPr>
      <w:bookmarkStart w:id="42" w:name="_Toc422390662"/>
      <w:bookmarkStart w:id="43" w:name="_Toc12629561"/>
      <w:r w:rsidRPr="00407488">
        <w:t>Annexes</w:t>
      </w:r>
      <w:bookmarkEnd w:id="42"/>
      <w:bookmarkEnd w:id="43"/>
    </w:p>
    <w:p w14:paraId="2939A494" w14:textId="3A8DF55A" w:rsidR="0087680D" w:rsidRPr="00407488" w:rsidRDefault="0087680D" w:rsidP="002666E5">
      <w:r w:rsidRPr="00407488">
        <w:t>Annexe I</w:t>
      </w:r>
      <w:r w:rsidRPr="00407488">
        <w:tab/>
        <w:t>Indicateurs de résultat</w:t>
      </w:r>
      <w:r w:rsidR="00E03095">
        <w:t xml:space="preserve"> </w:t>
      </w:r>
    </w:p>
    <w:p w14:paraId="6DFCC62C" w14:textId="154B691E" w:rsidR="008C4944" w:rsidRDefault="0087680D" w:rsidP="002666E5">
      <w:r w:rsidRPr="00407488">
        <w:lastRenderedPageBreak/>
        <w:t>Annexe II</w:t>
      </w:r>
      <w:r w:rsidRPr="00407488">
        <w:tab/>
        <w:t xml:space="preserve">Indicateurs </w:t>
      </w:r>
      <w:r w:rsidR="007617E0">
        <w:t>de réalisation</w:t>
      </w:r>
    </w:p>
    <w:p w14:paraId="090C635E" w14:textId="265001B2" w:rsidR="008C4944" w:rsidRDefault="008C4944" w:rsidP="008C4944">
      <w:pPr>
        <w:pStyle w:val="Kop1"/>
        <w:numPr>
          <w:ilvl w:val="0"/>
          <w:numId w:val="2"/>
        </w:numPr>
      </w:pPr>
      <w:bookmarkStart w:id="44" w:name="_Toc12629562"/>
      <w:r>
        <w:t xml:space="preserve">Annexe: </w:t>
      </w:r>
      <w:r w:rsidRPr="008C4944">
        <w:t>RÉSUMÉ DES OBSERVATIONS DES PARTIES PRENANTES CONC</w:t>
      </w:r>
      <w:r>
        <w:t>ERNÉES CONFORMÉMENT À L'ARTICLE 13, PARAGRAPHE 2, DU RÈGLEMENT (UE) N°</w:t>
      </w:r>
      <w:r w:rsidRPr="008C4944">
        <w:t>223/2014</w:t>
      </w:r>
      <w:bookmarkEnd w:id="44"/>
    </w:p>
    <w:p w14:paraId="118A9BED" w14:textId="77777777" w:rsidR="008C4944" w:rsidRPr="00300295" w:rsidRDefault="008C4944" w:rsidP="008C4944">
      <w:pPr>
        <w:shd w:val="clear" w:color="auto" w:fill="FFFFFF"/>
        <w:spacing w:before="100" w:beforeAutospacing="1" w:after="100" w:afterAutospacing="1" w:line="270" w:lineRule="atLeast"/>
        <w:textAlignment w:val="top"/>
        <w:rPr>
          <w:lang w:val="fr-BE"/>
        </w:rPr>
      </w:pPr>
      <w:r w:rsidRPr="00300295">
        <w:rPr>
          <w:lang w:val="fr-BE"/>
        </w:rPr>
        <w:t>Comme prévu dans le règlement, l’AG a soumis le projet de rapport annuel à tous ses partenaires.</w:t>
      </w:r>
    </w:p>
    <w:p w14:paraId="4AE8CDC6" w14:textId="77777777" w:rsidR="00E03095" w:rsidRPr="00300295" w:rsidRDefault="00E03095" w:rsidP="00E03095">
      <w:pPr>
        <w:shd w:val="clear" w:color="auto" w:fill="FFFFFF"/>
        <w:spacing w:before="100" w:beforeAutospacing="1" w:after="100" w:afterAutospacing="1" w:line="270" w:lineRule="atLeast"/>
        <w:textAlignment w:val="top"/>
        <w:rPr>
          <w:lang w:val="fr-BE"/>
        </w:rPr>
      </w:pPr>
      <w:r w:rsidRPr="00300295">
        <w:rPr>
          <w:lang w:val="fr-BE"/>
        </w:rPr>
        <w:t xml:space="preserve">Concrètement, le rapport a été envoyé à la Fédération belge des Banques alimentaires, la Croix-Rouge, la Fédération des Services Sociaux (FDSS), le Réseau belge de Lutte contre la Pauvreté (BAPN), </w:t>
      </w:r>
      <w:proofErr w:type="spellStart"/>
      <w:r w:rsidRPr="00300295">
        <w:rPr>
          <w:lang w:val="fr-BE"/>
        </w:rPr>
        <w:t>Level</w:t>
      </w:r>
      <w:proofErr w:type="spellEnd"/>
      <w:r w:rsidRPr="00300295">
        <w:rPr>
          <w:lang w:val="fr-BE"/>
        </w:rPr>
        <w:t xml:space="preserve"> IT, </w:t>
      </w:r>
      <w:proofErr w:type="spellStart"/>
      <w:r w:rsidRPr="00300295">
        <w:rPr>
          <w:lang w:val="fr-BE"/>
        </w:rPr>
        <w:t>Komosie</w:t>
      </w:r>
      <w:proofErr w:type="spellEnd"/>
      <w:r w:rsidRPr="00300295">
        <w:rPr>
          <w:lang w:val="fr-BE"/>
        </w:rPr>
        <w:t xml:space="preserve">, </w:t>
      </w:r>
      <w:proofErr w:type="spellStart"/>
      <w:r w:rsidRPr="00300295">
        <w:rPr>
          <w:lang w:val="fr-BE"/>
        </w:rPr>
        <w:t>Welzijnsschakels</w:t>
      </w:r>
      <w:proofErr w:type="spellEnd"/>
      <w:r w:rsidRPr="00300295">
        <w:rPr>
          <w:lang w:val="fr-BE"/>
        </w:rPr>
        <w:t>, notre cellule stratégique et les associations des villes et communes.</w:t>
      </w:r>
    </w:p>
    <w:p w14:paraId="602B0EF4" w14:textId="39BAB3F4" w:rsidR="00E03095" w:rsidRPr="00300295" w:rsidRDefault="00E03095" w:rsidP="00E03095">
      <w:pPr>
        <w:shd w:val="clear" w:color="auto" w:fill="FFFFFF"/>
        <w:spacing w:before="100" w:beforeAutospacing="1" w:after="100" w:afterAutospacing="1" w:line="270" w:lineRule="atLeast"/>
        <w:textAlignment w:val="top"/>
        <w:rPr>
          <w:lang w:val="fr-BE"/>
        </w:rPr>
      </w:pPr>
      <w:r w:rsidRPr="00300295">
        <w:rPr>
          <w:lang w:val="fr-BE"/>
        </w:rPr>
        <w:t xml:space="preserve">Nous avons demandé une réponse au plus tard pour le </w:t>
      </w:r>
      <w:r w:rsidR="00BA52D0" w:rsidRPr="00300295">
        <w:rPr>
          <w:lang w:val="fr-BE"/>
        </w:rPr>
        <w:t>28/06</w:t>
      </w:r>
      <w:r w:rsidRPr="00300295">
        <w:rPr>
          <w:lang w:val="fr-BE"/>
        </w:rPr>
        <w:t>/201</w:t>
      </w:r>
      <w:r w:rsidR="00BA52D0" w:rsidRPr="00300295">
        <w:rPr>
          <w:lang w:val="fr-BE"/>
        </w:rPr>
        <w:t>9</w:t>
      </w:r>
      <w:r w:rsidRPr="00300295">
        <w:rPr>
          <w:lang w:val="fr-BE"/>
        </w:rPr>
        <w:t>.</w:t>
      </w:r>
    </w:p>
    <w:p w14:paraId="730A4480" w14:textId="34F941A5" w:rsidR="00E03095" w:rsidRPr="00C52BD8" w:rsidRDefault="003D5A52" w:rsidP="008C4944">
      <w:pPr>
        <w:shd w:val="clear" w:color="auto" w:fill="FFFFFF"/>
        <w:spacing w:before="100" w:beforeAutospacing="1" w:after="100" w:afterAutospacing="1" w:line="270" w:lineRule="atLeast"/>
        <w:textAlignment w:val="top"/>
        <w:rPr>
          <w:lang w:val="fr-BE"/>
        </w:rPr>
      </w:pPr>
      <w:r w:rsidRPr="00300295">
        <w:rPr>
          <w:lang w:val="fr-BE"/>
        </w:rPr>
        <w:t>Les commentaires ont été intégrés dans la version finale</w:t>
      </w:r>
      <w:r w:rsidR="00E03095" w:rsidRPr="00300295">
        <w:rPr>
          <w:lang w:val="fr-BE"/>
        </w:rPr>
        <w:t>.</w:t>
      </w:r>
    </w:p>
    <w:p w14:paraId="712F2722" w14:textId="77777777" w:rsidR="004B5BBC" w:rsidRPr="00407488" w:rsidRDefault="004B5BBC" w:rsidP="002666E5">
      <w:pPr>
        <w:pStyle w:val="Kop1"/>
        <w:numPr>
          <w:ilvl w:val="0"/>
          <w:numId w:val="2"/>
        </w:numPr>
      </w:pPr>
      <w:bookmarkStart w:id="45" w:name="_Toc422390663"/>
      <w:bookmarkStart w:id="46" w:name="_Toc12629563"/>
      <w:r w:rsidRPr="00407488">
        <w:t>Liste des abréviations utilisées</w:t>
      </w:r>
      <w:bookmarkEnd w:id="45"/>
      <w:bookmarkEnd w:id="46"/>
    </w:p>
    <w:p w14:paraId="38FD46DA" w14:textId="77777777" w:rsidR="004B5BBC" w:rsidRPr="00407488" w:rsidRDefault="004B5BBC" w:rsidP="002666E5"/>
    <w:p w14:paraId="6793EAA4" w14:textId="77777777" w:rsidR="00A779F6" w:rsidRDefault="00A779F6" w:rsidP="002666E5">
      <w:pPr>
        <w:ind w:left="1410" w:hanging="1410"/>
      </w:pPr>
      <w:r>
        <w:t>AA</w:t>
      </w:r>
      <w:r>
        <w:tab/>
        <w:t>Autorité d’audit</w:t>
      </w:r>
    </w:p>
    <w:p w14:paraId="309D806D" w14:textId="77777777" w:rsidR="0087680D" w:rsidRDefault="0087680D" w:rsidP="002666E5">
      <w:pPr>
        <w:ind w:left="1410" w:hanging="1410"/>
      </w:pPr>
      <w:r w:rsidRPr="00407488">
        <w:t>AG</w:t>
      </w:r>
      <w:r w:rsidRPr="00407488">
        <w:tab/>
        <w:t>Autorité de gestion</w:t>
      </w:r>
    </w:p>
    <w:p w14:paraId="2554B030" w14:textId="77777777" w:rsidR="00A779F6" w:rsidRPr="00407488" w:rsidRDefault="00A779F6" w:rsidP="002666E5">
      <w:pPr>
        <w:ind w:left="1410" w:hanging="1410"/>
      </w:pPr>
      <w:r>
        <w:t>AC</w:t>
      </w:r>
      <w:r>
        <w:tab/>
        <w:t>Autorité de certification</w:t>
      </w:r>
    </w:p>
    <w:p w14:paraId="0E281EB9" w14:textId="77777777" w:rsidR="0087680D" w:rsidRDefault="00737C26" w:rsidP="002666E5">
      <w:r>
        <w:t>AFSCA</w:t>
      </w:r>
      <w:r>
        <w:tab/>
      </w:r>
      <w:r w:rsidR="0087680D" w:rsidRPr="00407488">
        <w:t>Agence fédérale pour la sécurité de la chaîne alimentaire</w:t>
      </w:r>
    </w:p>
    <w:p w14:paraId="342F4AD1" w14:textId="77777777" w:rsidR="0087680D" w:rsidRPr="00407488" w:rsidRDefault="0087680D" w:rsidP="002666E5">
      <w:r w:rsidRPr="00407488">
        <w:t>FDSS</w:t>
      </w:r>
      <w:r w:rsidRPr="00407488">
        <w:tab/>
      </w:r>
      <w:r w:rsidRPr="00407488">
        <w:tab/>
        <w:t>la Fédération des Services Sociaux</w:t>
      </w:r>
    </w:p>
    <w:p w14:paraId="155602D4" w14:textId="77777777" w:rsidR="0087680D" w:rsidRPr="0090351D" w:rsidRDefault="00737C26" w:rsidP="002666E5">
      <w:pPr>
        <w:ind w:left="1410" w:hanging="1410"/>
        <w:rPr>
          <w:lang w:val="en-US"/>
        </w:rPr>
      </w:pPr>
      <w:r>
        <w:rPr>
          <w:lang w:val="en-US"/>
        </w:rPr>
        <w:t>FEAD</w:t>
      </w:r>
      <w:r>
        <w:rPr>
          <w:lang w:val="en-US"/>
        </w:rPr>
        <w:tab/>
      </w:r>
      <w:r w:rsidR="0087680D" w:rsidRPr="0090351D">
        <w:rPr>
          <w:lang w:val="en-US"/>
        </w:rPr>
        <w:t xml:space="preserve">Fund of European Aid to the Most Deprived – Fonds </w:t>
      </w:r>
      <w:proofErr w:type="spellStart"/>
      <w:r w:rsidR="0087680D" w:rsidRPr="0090351D">
        <w:rPr>
          <w:lang w:val="en-US"/>
        </w:rPr>
        <w:t>européen</w:t>
      </w:r>
      <w:proofErr w:type="spellEnd"/>
      <w:r w:rsidR="0087680D" w:rsidRPr="0090351D">
        <w:rPr>
          <w:lang w:val="en-US"/>
        </w:rPr>
        <w:t xml:space="preserve"> </w:t>
      </w:r>
      <w:proofErr w:type="spellStart"/>
      <w:r w:rsidR="0087680D" w:rsidRPr="0090351D">
        <w:rPr>
          <w:lang w:val="en-US"/>
        </w:rPr>
        <w:t>d'aide</w:t>
      </w:r>
      <w:proofErr w:type="spellEnd"/>
      <w:r w:rsidR="0087680D" w:rsidRPr="0090351D">
        <w:rPr>
          <w:lang w:val="en-US"/>
        </w:rPr>
        <w:t xml:space="preserve"> aux plus </w:t>
      </w:r>
      <w:proofErr w:type="spellStart"/>
      <w:r w:rsidR="0087680D" w:rsidRPr="0090351D">
        <w:rPr>
          <w:lang w:val="en-US"/>
        </w:rPr>
        <w:t>démunis</w:t>
      </w:r>
      <w:proofErr w:type="spellEnd"/>
    </w:p>
    <w:p w14:paraId="1FB73CC2" w14:textId="77777777" w:rsidR="0087680D" w:rsidRPr="00407488" w:rsidRDefault="00737C26" w:rsidP="002666E5">
      <w:pPr>
        <w:ind w:left="1410" w:hanging="1410"/>
      </w:pPr>
      <w:r>
        <w:t>PO</w:t>
      </w:r>
      <w:r>
        <w:tab/>
      </w:r>
      <w:r w:rsidR="0087680D" w:rsidRPr="00407488">
        <w:t>Programme opérationnel</w:t>
      </w:r>
    </w:p>
    <w:p w14:paraId="53A2ABBA" w14:textId="77777777" w:rsidR="0087680D" w:rsidRDefault="0087680D" w:rsidP="002666E5">
      <w:r w:rsidRPr="00407488">
        <w:t>SPP IS</w:t>
      </w:r>
      <w:r w:rsidRPr="00407488">
        <w:tab/>
      </w:r>
      <w:r w:rsidR="00737C26">
        <w:tab/>
      </w:r>
      <w:r w:rsidRPr="00407488">
        <w:t>SPP Intégration sociale</w:t>
      </w:r>
    </w:p>
    <w:p w14:paraId="22A2E2D4" w14:textId="7FDC5160" w:rsidR="00A779F6" w:rsidRPr="00407488" w:rsidRDefault="00A779F6" w:rsidP="002666E5">
      <w:r>
        <w:t>CE</w:t>
      </w:r>
      <w:r>
        <w:tab/>
      </w:r>
      <w:r>
        <w:tab/>
        <w:t>Commission européen</w:t>
      </w:r>
      <w:r w:rsidR="00DE251D">
        <w:t>ne</w:t>
      </w:r>
    </w:p>
    <w:sectPr w:rsidR="00A779F6" w:rsidRPr="00407488">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DFF26" w14:textId="77777777" w:rsidR="005B0B5E" w:rsidRDefault="005B0B5E" w:rsidP="00AB0894">
      <w:pPr>
        <w:spacing w:after="0" w:line="240" w:lineRule="auto"/>
      </w:pPr>
      <w:r>
        <w:separator/>
      </w:r>
    </w:p>
  </w:endnote>
  <w:endnote w:type="continuationSeparator" w:id="0">
    <w:p w14:paraId="0724FA0F" w14:textId="77777777" w:rsidR="005B0B5E" w:rsidRDefault="005B0B5E" w:rsidP="00AB0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EC Square Sans Pro Medium">
    <w:altName w:val="EC Square Sans Pro Medium"/>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7603580"/>
      <w:docPartObj>
        <w:docPartGallery w:val="Page Numbers (Bottom of Page)"/>
        <w:docPartUnique/>
      </w:docPartObj>
    </w:sdtPr>
    <w:sdtEndPr/>
    <w:sdtContent>
      <w:sdt>
        <w:sdtPr>
          <w:id w:val="860082579"/>
          <w:docPartObj>
            <w:docPartGallery w:val="Page Numbers (Top of Page)"/>
            <w:docPartUnique/>
          </w:docPartObj>
        </w:sdtPr>
        <w:sdtEndPr/>
        <w:sdtContent>
          <w:p w14:paraId="17D0D681" w14:textId="48255AF0" w:rsidR="005B0B5E" w:rsidRDefault="005B0B5E">
            <w:pPr>
              <w:pStyle w:val="Voettekst"/>
              <w:jc w:val="right"/>
            </w:pPr>
            <w:r>
              <w:t xml:space="preserve">Page </w:t>
            </w:r>
            <w:r>
              <w:rPr>
                <w:b/>
                <w:bCs/>
                <w:szCs w:val="24"/>
              </w:rPr>
              <w:fldChar w:fldCharType="begin"/>
            </w:r>
            <w:r>
              <w:rPr>
                <w:b/>
                <w:bCs/>
              </w:rPr>
              <w:instrText>PAGE</w:instrText>
            </w:r>
            <w:r>
              <w:rPr>
                <w:b/>
                <w:bCs/>
                <w:szCs w:val="24"/>
              </w:rPr>
              <w:fldChar w:fldCharType="separate"/>
            </w:r>
            <w:r w:rsidR="0002477E">
              <w:rPr>
                <w:b/>
                <w:bCs/>
                <w:noProof/>
              </w:rPr>
              <w:t>14</w:t>
            </w:r>
            <w:r>
              <w:rPr>
                <w:b/>
                <w:bCs/>
                <w:szCs w:val="24"/>
              </w:rPr>
              <w:fldChar w:fldCharType="end"/>
            </w:r>
            <w:r>
              <w:t xml:space="preserve"> de </w:t>
            </w:r>
            <w:r>
              <w:rPr>
                <w:b/>
                <w:bCs/>
                <w:szCs w:val="24"/>
              </w:rPr>
              <w:fldChar w:fldCharType="begin"/>
            </w:r>
            <w:r>
              <w:rPr>
                <w:b/>
                <w:bCs/>
              </w:rPr>
              <w:instrText>NUMPAGES</w:instrText>
            </w:r>
            <w:r>
              <w:rPr>
                <w:b/>
                <w:bCs/>
                <w:szCs w:val="24"/>
              </w:rPr>
              <w:fldChar w:fldCharType="separate"/>
            </w:r>
            <w:r w:rsidR="0002477E">
              <w:rPr>
                <w:b/>
                <w:bCs/>
                <w:noProof/>
              </w:rPr>
              <w:t>33</w:t>
            </w:r>
            <w:r>
              <w:rPr>
                <w:b/>
                <w:bCs/>
                <w:szCs w:val="24"/>
              </w:rPr>
              <w:fldChar w:fldCharType="end"/>
            </w:r>
          </w:p>
        </w:sdtContent>
      </w:sdt>
    </w:sdtContent>
  </w:sdt>
  <w:p w14:paraId="41C1C5AA" w14:textId="77777777" w:rsidR="005B0B5E" w:rsidRDefault="005B0B5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8017F" w14:textId="77777777" w:rsidR="005B0B5E" w:rsidRDefault="005B0B5E" w:rsidP="00AB0894">
      <w:pPr>
        <w:spacing w:after="0" w:line="240" w:lineRule="auto"/>
      </w:pPr>
      <w:r>
        <w:separator/>
      </w:r>
    </w:p>
  </w:footnote>
  <w:footnote w:type="continuationSeparator" w:id="0">
    <w:p w14:paraId="7DB8D072" w14:textId="77777777" w:rsidR="005B0B5E" w:rsidRDefault="005B0B5E" w:rsidP="00AB08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8618A"/>
    <w:multiLevelType w:val="multilevel"/>
    <w:tmpl w:val="79A4F3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4BF41C1"/>
    <w:multiLevelType w:val="hybridMultilevel"/>
    <w:tmpl w:val="94003C5C"/>
    <w:lvl w:ilvl="0" w:tplc="4F68C69A">
      <w:numFmt w:val="bullet"/>
      <w:lvlText w:val="-"/>
      <w:lvlJc w:val="left"/>
      <w:pPr>
        <w:ind w:left="720" w:hanging="360"/>
      </w:pPr>
      <w:rPr>
        <w:rFonts w:ascii="Verdana" w:eastAsia="Times New Roman" w:hAnsi="Verdana" w:cs="Times New Roman" w:hint="default"/>
        <w:b/>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5CE4FE6"/>
    <w:multiLevelType w:val="hybridMultilevel"/>
    <w:tmpl w:val="A324381A"/>
    <w:lvl w:ilvl="0" w:tplc="0EEA9BCE">
      <w:numFmt w:val="bullet"/>
      <w:lvlText w:val="-"/>
      <w:lvlJc w:val="left"/>
      <w:pPr>
        <w:ind w:left="720" w:hanging="360"/>
      </w:pPr>
      <w:rPr>
        <w:rFonts w:ascii="Calibri" w:eastAsia="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 w15:restartNumberingAfterBreak="0">
    <w:nsid w:val="06A355E3"/>
    <w:multiLevelType w:val="hybridMultilevel"/>
    <w:tmpl w:val="A8D0AB9A"/>
    <w:lvl w:ilvl="0" w:tplc="DEE6A62E">
      <w:start w:val="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7074AA4"/>
    <w:multiLevelType w:val="hybridMultilevel"/>
    <w:tmpl w:val="875C37D6"/>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0C6C30CD"/>
    <w:multiLevelType w:val="hybridMultilevel"/>
    <w:tmpl w:val="896C7D9C"/>
    <w:lvl w:ilvl="0" w:tplc="CFD6E46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04D124B"/>
    <w:multiLevelType w:val="hybridMultilevel"/>
    <w:tmpl w:val="0500430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4F65F56"/>
    <w:multiLevelType w:val="hybridMultilevel"/>
    <w:tmpl w:val="6BC4BE92"/>
    <w:lvl w:ilvl="0" w:tplc="E9168FD6">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9FC1958"/>
    <w:multiLevelType w:val="hybridMultilevel"/>
    <w:tmpl w:val="9E70C38A"/>
    <w:lvl w:ilvl="0" w:tplc="7F7630E2">
      <w:start w:val="3302"/>
      <w:numFmt w:val="bullet"/>
      <w:lvlText w:val="-"/>
      <w:lvlJc w:val="left"/>
      <w:pPr>
        <w:ind w:left="720" w:hanging="360"/>
      </w:pPr>
      <w:rPr>
        <w:rFonts w:ascii="Calibri" w:eastAsiaTheme="minorHAnsi" w:hAnsi="Calibri"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D713772"/>
    <w:multiLevelType w:val="hybridMultilevel"/>
    <w:tmpl w:val="A81EFBFE"/>
    <w:lvl w:ilvl="0" w:tplc="E0A483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06371"/>
    <w:multiLevelType w:val="hybridMultilevel"/>
    <w:tmpl w:val="4D762E9E"/>
    <w:lvl w:ilvl="0" w:tplc="AE06CEAC">
      <w:numFmt w:val="bullet"/>
      <w:lvlText w:val="-"/>
      <w:lvlJc w:val="left"/>
      <w:pPr>
        <w:ind w:left="720" w:hanging="360"/>
      </w:pPr>
      <w:rPr>
        <w:rFonts w:ascii="Calibri" w:eastAsia="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1" w15:restartNumberingAfterBreak="0">
    <w:nsid w:val="1E80466A"/>
    <w:multiLevelType w:val="hybridMultilevel"/>
    <w:tmpl w:val="A51EEAB0"/>
    <w:lvl w:ilvl="0" w:tplc="080C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1EC3638E"/>
    <w:multiLevelType w:val="hybridMultilevel"/>
    <w:tmpl w:val="1FA2E73C"/>
    <w:lvl w:ilvl="0" w:tplc="0B1EDA52">
      <w:numFmt w:val="bullet"/>
      <w:lvlText w:val="-"/>
      <w:lvlJc w:val="left"/>
      <w:pPr>
        <w:ind w:left="720" w:hanging="360"/>
      </w:pPr>
      <w:rPr>
        <w:rFonts w:ascii="Calibri" w:eastAsia="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3" w15:restartNumberingAfterBreak="0">
    <w:nsid w:val="2A3D19F6"/>
    <w:multiLevelType w:val="hybridMultilevel"/>
    <w:tmpl w:val="03D2FBF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2A8C754D"/>
    <w:multiLevelType w:val="hybridMultilevel"/>
    <w:tmpl w:val="297A8368"/>
    <w:lvl w:ilvl="0" w:tplc="19764D92">
      <w:start w:val="1"/>
      <w:numFmt w:val="bullet"/>
      <w:lvlText w:val="-"/>
      <w:lvlJc w:val="left"/>
      <w:pPr>
        <w:ind w:left="720" w:hanging="360"/>
      </w:pPr>
      <w:rPr>
        <w:rFonts w:ascii="Gill Sans MT" w:eastAsiaTheme="minorHAnsi" w:hAnsi="Gill Sans MT"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AC04EAA"/>
    <w:multiLevelType w:val="hybridMultilevel"/>
    <w:tmpl w:val="8C3A02DA"/>
    <w:lvl w:ilvl="0" w:tplc="CF2A2610">
      <w:numFmt w:val="bullet"/>
      <w:lvlText w:val="-"/>
      <w:lvlJc w:val="left"/>
      <w:pPr>
        <w:ind w:left="720" w:hanging="360"/>
      </w:pPr>
      <w:rPr>
        <w:rFonts w:ascii="Calibri" w:eastAsia="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6" w15:restartNumberingAfterBreak="0">
    <w:nsid w:val="2CD63E55"/>
    <w:multiLevelType w:val="hybridMultilevel"/>
    <w:tmpl w:val="08B0ADB4"/>
    <w:lvl w:ilvl="0" w:tplc="3CEA427C">
      <w:start w:val="1"/>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7" w15:restartNumberingAfterBreak="0">
    <w:nsid w:val="2DEF7704"/>
    <w:multiLevelType w:val="hybridMultilevel"/>
    <w:tmpl w:val="6BB0A0F0"/>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B043B56"/>
    <w:multiLevelType w:val="hybridMultilevel"/>
    <w:tmpl w:val="A95E08D2"/>
    <w:lvl w:ilvl="0" w:tplc="4F68C69A">
      <w:numFmt w:val="bullet"/>
      <w:lvlText w:val="-"/>
      <w:lvlJc w:val="left"/>
      <w:pPr>
        <w:ind w:left="720" w:hanging="360"/>
      </w:pPr>
      <w:rPr>
        <w:rFonts w:ascii="Verdana" w:eastAsia="Times New Roman" w:hAnsi="Verdana" w:cs="Times New Roman"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FCB0B20"/>
    <w:multiLevelType w:val="hybridMultilevel"/>
    <w:tmpl w:val="93E64DE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40DB42F8"/>
    <w:multiLevelType w:val="hybridMultilevel"/>
    <w:tmpl w:val="1A1AD4F4"/>
    <w:lvl w:ilvl="0" w:tplc="8730D334">
      <w:numFmt w:val="bullet"/>
      <w:lvlText w:val="-"/>
      <w:lvlJc w:val="left"/>
      <w:pPr>
        <w:ind w:left="720" w:hanging="360"/>
      </w:pPr>
      <w:rPr>
        <w:rFonts w:ascii="Gill Sans MT" w:eastAsiaTheme="minorHAnsi"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506059"/>
    <w:multiLevelType w:val="hybridMultilevel"/>
    <w:tmpl w:val="6B147344"/>
    <w:lvl w:ilvl="0" w:tplc="465238B8">
      <w:start w:val="6"/>
      <w:numFmt w:val="bullet"/>
      <w:lvlText w:val="-"/>
      <w:lvlJc w:val="left"/>
      <w:pPr>
        <w:ind w:left="720" w:hanging="360"/>
      </w:pPr>
      <w:rPr>
        <w:rFonts w:ascii="Calibri" w:eastAsia="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2" w15:restartNumberingAfterBreak="0">
    <w:nsid w:val="4BC87A8D"/>
    <w:multiLevelType w:val="hybridMultilevel"/>
    <w:tmpl w:val="408ED88C"/>
    <w:lvl w:ilvl="0" w:tplc="A49A36F2">
      <w:start w:val="66"/>
      <w:numFmt w:val="bullet"/>
      <w:lvlText w:val="-"/>
      <w:lvlJc w:val="left"/>
      <w:pPr>
        <w:ind w:left="720" w:hanging="360"/>
      </w:pPr>
      <w:rPr>
        <w:rFonts w:ascii="Gill Sans MT" w:eastAsiaTheme="minorHAnsi" w:hAnsi="Gill Sans MT"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4ECD5959"/>
    <w:multiLevelType w:val="hybridMultilevel"/>
    <w:tmpl w:val="614E510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548373B0"/>
    <w:multiLevelType w:val="hybridMultilevel"/>
    <w:tmpl w:val="DFAC8368"/>
    <w:lvl w:ilvl="0" w:tplc="7750DD14">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5" w15:restartNumberingAfterBreak="0">
    <w:nsid w:val="589F0B58"/>
    <w:multiLevelType w:val="hybridMultilevel"/>
    <w:tmpl w:val="44FCD4D8"/>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58B73BF4"/>
    <w:multiLevelType w:val="hybridMultilevel"/>
    <w:tmpl w:val="BD1ED07E"/>
    <w:lvl w:ilvl="0" w:tplc="7284AEA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D4A21AD"/>
    <w:multiLevelType w:val="hybridMultilevel"/>
    <w:tmpl w:val="185618D4"/>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6DD026DE"/>
    <w:multiLevelType w:val="hybridMultilevel"/>
    <w:tmpl w:val="808E25BC"/>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2D77581"/>
    <w:multiLevelType w:val="hybridMultilevel"/>
    <w:tmpl w:val="2C9E283E"/>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0" w15:restartNumberingAfterBreak="0">
    <w:nsid w:val="76C70E9E"/>
    <w:multiLevelType w:val="hybridMultilevel"/>
    <w:tmpl w:val="FA1CBC54"/>
    <w:lvl w:ilvl="0" w:tplc="4F5CEBE2">
      <w:numFmt w:val="bullet"/>
      <w:lvlText w:val="-"/>
      <w:lvlJc w:val="left"/>
      <w:pPr>
        <w:ind w:left="720" w:hanging="360"/>
      </w:pPr>
      <w:rPr>
        <w:rFonts w:ascii="Calibri" w:eastAsia="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1" w15:restartNumberingAfterBreak="0">
    <w:nsid w:val="76D46739"/>
    <w:multiLevelType w:val="hybridMultilevel"/>
    <w:tmpl w:val="CF7676E6"/>
    <w:lvl w:ilvl="0" w:tplc="8E189E1A">
      <w:start w:val="2014"/>
      <w:numFmt w:val="bullet"/>
      <w:lvlText w:val=""/>
      <w:lvlJc w:val="left"/>
      <w:pPr>
        <w:ind w:left="1080" w:hanging="360"/>
      </w:pPr>
      <w:rPr>
        <w:rFonts w:ascii="Symbol" w:eastAsiaTheme="majorEastAsia" w:hAnsi="Symbol" w:cstheme="maj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2" w15:restartNumberingAfterBreak="0">
    <w:nsid w:val="78227FB1"/>
    <w:multiLevelType w:val="hybridMultilevel"/>
    <w:tmpl w:val="2C7A91D8"/>
    <w:lvl w:ilvl="0" w:tplc="080C0013">
      <w:start w:val="1"/>
      <w:numFmt w:val="upperRoman"/>
      <w:lvlText w:val="%1."/>
      <w:lvlJc w:val="right"/>
      <w:pPr>
        <w:ind w:left="720" w:hanging="360"/>
      </w:pPr>
      <w:rPr>
        <w:rFonts w:hint="default"/>
      </w:rPr>
    </w:lvl>
    <w:lvl w:ilvl="1" w:tplc="A5AC3D84">
      <w:start w:val="1"/>
      <w:numFmt w:val="decimal"/>
      <w:lvlText w:val="%2."/>
      <w:lvlJc w:val="left"/>
      <w:pPr>
        <w:ind w:left="1440" w:hanging="3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79586ED4"/>
    <w:multiLevelType w:val="multilevel"/>
    <w:tmpl w:val="79A4F3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797E25D3"/>
    <w:multiLevelType w:val="hybridMultilevel"/>
    <w:tmpl w:val="B150D8BC"/>
    <w:lvl w:ilvl="0" w:tplc="BC941F1A">
      <w:start w:val="1"/>
      <w:numFmt w:val="bullet"/>
      <w:lvlText w:val="-"/>
      <w:lvlJc w:val="left"/>
      <w:pPr>
        <w:ind w:left="720" w:hanging="360"/>
      </w:pPr>
      <w:rPr>
        <w:rFonts w:ascii="Arial" w:eastAsia="Calibr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5" w15:restartNumberingAfterBreak="0">
    <w:nsid w:val="7F0835C9"/>
    <w:multiLevelType w:val="hybridMultilevel"/>
    <w:tmpl w:val="9078C08C"/>
    <w:lvl w:ilvl="0" w:tplc="194CB9D8">
      <w:start w:val="4"/>
      <w:numFmt w:val="bullet"/>
      <w:lvlText w:val="-"/>
      <w:lvlJc w:val="left"/>
      <w:pPr>
        <w:ind w:left="720" w:hanging="360"/>
      </w:pPr>
      <w:rPr>
        <w:rFonts w:ascii="Gill Sans MT" w:eastAsiaTheme="majorEastAsia" w:hAnsi="Gill Sans MT" w:cstheme="maj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3"/>
  </w:num>
  <w:num w:numId="2">
    <w:abstractNumId w:val="32"/>
  </w:num>
  <w:num w:numId="3">
    <w:abstractNumId w:val="35"/>
  </w:num>
  <w:num w:numId="4">
    <w:abstractNumId w:val="34"/>
  </w:num>
  <w:num w:numId="5">
    <w:abstractNumId w:val="16"/>
  </w:num>
  <w:num w:numId="6">
    <w:abstractNumId w:val="3"/>
  </w:num>
  <w:num w:numId="7">
    <w:abstractNumId w:val="20"/>
  </w:num>
  <w:num w:numId="8">
    <w:abstractNumId w:val="18"/>
  </w:num>
  <w:num w:numId="9">
    <w:abstractNumId w:val="4"/>
  </w:num>
  <w:num w:numId="10">
    <w:abstractNumId w:val="14"/>
  </w:num>
  <w:num w:numId="11">
    <w:abstractNumId w:val="35"/>
  </w:num>
  <w:num w:numId="12">
    <w:abstractNumId w:val="13"/>
  </w:num>
  <w:num w:numId="13">
    <w:abstractNumId w:val="28"/>
  </w:num>
  <w:num w:numId="14">
    <w:abstractNumId w:val="17"/>
  </w:num>
  <w:num w:numId="15">
    <w:abstractNumId w:val="1"/>
  </w:num>
  <w:num w:numId="16">
    <w:abstractNumId w:val="15"/>
  </w:num>
  <w:num w:numId="17">
    <w:abstractNumId w:val="15"/>
  </w:num>
  <w:num w:numId="18">
    <w:abstractNumId w:val="0"/>
  </w:num>
  <w:num w:numId="19">
    <w:abstractNumId w:val="7"/>
  </w:num>
  <w:num w:numId="20">
    <w:abstractNumId w:val="21"/>
  </w:num>
  <w:num w:numId="21">
    <w:abstractNumId w:val="9"/>
  </w:num>
  <w:num w:numId="22">
    <w:abstractNumId w:val="35"/>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8"/>
  </w:num>
  <w:num w:numId="26">
    <w:abstractNumId w:val="29"/>
  </w:num>
  <w:num w:numId="27">
    <w:abstractNumId w:val="26"/>
  </w:num>
  <w:num w:numId="28">
    <w:abstractNumId w:val="30"/>
  </w:num>
  <w:num w:numId="29">
    <w:abstractNumId w:val="2"/>
  </w:num>
  <w:num w:numId="30">
    <w:abstractNumId w:val="23"/>
  </w:num>
  <w:num w:numId="31">
    <w:abstractNumId w:val="31"/>
  </w:num>
  <w:num w:numId="32">
    <w:abstractNumId w:val="11"/>
  </w:num>
  <w:num w:numId="33">
    <w:abstractNumId w:val="6"/>
  </w:num>
  <w:num w:numId="34">
    <w:abstractNumId w:val="19"/>
  </w:num>
  <w:num w:numId="35">
    <w:abstractNumId w:val="27"/>
  </w:num>
  <w:num w:numId="36">
    <w:abstractNumId w:val="25"/>
  </w:num>
  <w:num w:numId="37">
    <w:abstractNumId w:val="22"/>
  </w:num>
  <w:num w:numId="38">
    <w:abstractNumId w:val="5"/>
  </w:num>
  <w:num w:numId="39">
    <w:abstractNumId w:val="24"/>
  </w:num>
  <w:num w:numId="40">
    <w:abstractNumId w:val="12"/>
  </w:num>
  <w:num w:numId="41">
    <w:abstractNumId w:val="10"/>
  </w:num>
  <w:num w:numId="42">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2BA"/>
    <w:rsid w:val="00000FBA"/>
    <w:rsid w:val="000021CD"/>
    <w:rsid w:val="0000230F"/>
    <w:rsid w:val="00002D69"/>
    <w:rsid w:val="00006276"/>
    <w:rsid w:val="000074C1"/>
    <w:rsid w:val="00007581"/>
    <w:rsid w:val="00010989"/>
    <w:rsid w:val="00010DF4"/>
    <w:rsid w:val="0001188C"/>
    <w:rsid w:val="00011BB7"/>
    <w:rsid w:val="00011F50"/>
    <w:rsid w:val="0001201B"/>
    <w:rsid w:val="000126C6"/>
    <w:rsid w:val="0001314B"/>
    <w:rsid w:val="000168BB"/>
    <w:rsid w:val="00016A7D"/>
    <w:rsid w:val="0002013B"/>
    <w:rsid w:val="000222CF"/>
    <w:rsid w:val="000225C3"/>
    <w:rsid w:val="0002477E"/>
    <w:rsid w:val="00027CA3"/>
    <w:rsid w:val="00030581"/>
    <w:rsid w:val="000324D6"/>
    <w:rsid w:val="00035B57"/>
    <w:rsid w:val="00036765"/>
    <w:rsid w:val="00040C60"/>
    <w:rsid w:val="00042495"/>
    <w:rsid w:val="00045D95"/>
    <w:rsid w:val="00045E9A"/>
    <w:rsid w:val="0005192A"/>
    <w:rsid w:val="00052041"/>
    <w:rsid w:val="0005336F"/>
    <w:rsid w:val="000558BF"/>
    <w:rsid w:val="0006072E"/>
    <w:rsid w:val="000652BA"/>
    <w:rsid w:val="00065432"/>
    <w:rsid w:val="00066BE2"/>
    <w:rsid w:val="0007200F"/>
    <w:rsid w:val="00073E7B"/>
    <w:rsid w:val="00077510"/>
    <w:rsid w:val="0008043B"/>
    <w:rsid w:val="000815C0"/>
    <w:rsid w:val="0008171E"/>
    <w:rsid w:val="000824C7"/>
    <w:rsid w:val="00082AA6"/>
    <w:rsid w:val="00082D29"/>
    <w:rsid w:val="0008489A"/>
    <w:rsid w:val="00085A9E"/>
    <w:rsid w:val="0008704F"/>
    <w:rsid w:val="00095C3F"/>
    <w:rsid w:val="000A07C5"/>
    <w:rsid w:val="000A0957"/>
    <w:rsid w:val="000A23F6"/>
    <w:rsid w:val="000A2C8B"/>
    <w:rsid w:val="000A5DE6"/>
    <w:rsid w:val="000A6196"/>
    <w:rsid w:val="000A6B99"/>
    <w:rsid w:val="000B5F55"/>
    <w:rsid w:val="000B6AD3"/>
    <w:rsid w:val="000C0339"/>
    <w:rsid w:val="000C1ABB"/>
    <w:rsid w:val="000C2A90"/>
    <w:rsid w:val="000C4939"/>
    <w:rsid w:val="000C65F3"/>
    <w:rsid w:val="000C6EC3"/>
    <w:rsid w:val="000C7B32"/>
    <w:rsid w:val="000D0373"/>
    <w:rsid w:val="000D120C"/>
    <w:rsid w:val="000D52C2"/>
    <w:rsid w:val="000D6C49"/>
    <w:rsid w:val="000D7348"/>
    <w:rsid w:val="000E0A1F"/>
    <w:rsid w:val="000E108B"/>
    <w:rsid w:val="000E45F4"/>
    <w:rsid w:val="000F0A26"/>
    <w:rsid w:val="000F3A31"/>
    <w:rsid w:val="000F77E2"/>
    <w:rsid w:val="001001FB"/>
    <w:rsid w:val="0010036C"/>
    <w:rsid w:val="00100DB5"/>
    <w:rsid w:val="001010AE"/>
    <w:rsid w:val="001010B4"/>
    <w:rsid w:val="00102C21"/>
    <w:rsid w:val="0010309D"/>
    <w:rsid w:val="00103C14"/>
    <w:rsid w:val="001107E6"/>
    <w:rsid w:val="00111D85"/>
    <w:rsid w:val="00111E1A"/>
    <w:rsid w:val="00117985"/>
    <w:rsid w:val="001179FE"/>
    <w:rsid w:val="00121181"/>
    <w:rsid w:val="00122406"/>
    <w:rsid w:val="00123F7D"/>
    <w:rsid w:val="00124585"/>
    <w:rsid w:val="00127603"/>
    <w:rsid w:val="00132CF2"/>
    <w:rsid w:val="00135F56"/>
    <w:rsid w:val="00137DE1"/>
    <w:rsid w:val="0014132C"/>
    <w:rsid w:val="00141AF8"/>
    <w:rsid w:val="00143728"/>
    <w:rsid w:val="00146C66"/>
    <w:rsid w:val="00147130"/>
    <w:rsid w:val="001479D3"/>
    <w:rsid w:val="00152F91"/>
    <w:rsid w:val="001543E9"/>
    <w:rsid w:val="0015448B"/>
    <w:rsid w:val="00155376"/>
    <w:rsid w:val="001557B6"/>
    <w:rsid w:val="00155B0E"/>
    <w:rsid w:val="001605C2"/>
    <w:rsid w:val="001607D7"/>
    <w:rsid w:val="00160A0A"/>
    <w:rsid w:val="00163489"/>
    <w:rsid w:val="001644AC"/>
    <w:rsid w:val="00165104"/>
    <w:rsid w:val="0016743E"/>
    <w:rsid w:val="00170D65"/>
    <w:rsid w:val="00172350"/>
    <w:rsid w:val="00173817"/>
    <w:rsid w:val="001831EE"/>
    <w:rsid w:val="001836AF"/>
    <w:rsid w:val="001849A2"/>
    <w:rsid w:val="00185B3C"/>
    <w:rsid w:val="00185E56"/>
    <w:rsid w:val="00187396"/>
    <w:rsid w:val="0018748E"/>
    <w:rsid w:val="001878B5"/>
    <w:rsid w:val="0018794F"/>
    <w:rsid w:val="001916A5"/>
    <w:rsid w:val="00191974"/>
    <w:rsid w:val="001929C1"/>
    <w:rsid w:val="00192A04"/>
    <w:rsid w:val="00193DB4"/>
    <w:rsid w:val="00195040"/>
    <w:rsid w:val="0019564F"/>
    <w:rsid w:val="001959C7"/>
    <w:rsid w:val="00197C69"/>
    <w:rsid w:val="00197F51"/>
    <w:rsid w:val="001A0064"/>
    <w:rsid w:val="001A0A1B"/>
    <w:rsid w:val="001A2664"/>
    <w:rsid w:val="001A3CDA"/>
    <w:rsid w:val="001A697E"/>
    <w:rsid w:val="001A790B"/>
    <w:rsid w:val="001B0A90"/>
    <w:rsid w:val="001B15BA"/>
    <w:rsid w:val="001B27B9"/>
    <w:rsid w:val="001B2D59"/>
    <w:rsid w:val="001B67F8"/>
    <w:rsid w:val="001B7527"/>
    <w:rsid w:val="001B7D89"/>
    <w:rsid w:val="001C13A1"/>
    <w:rsid w:val="001C158B"/>
    <w:rsid w:val="001C381D"/>
    <w:rsid w:val="001C5154"/>
    <w:rsid w:val="001D1BBD"/>
    <w:rsid w:val="001D3B78"/>
    <w:rsid w:val="001D3F58"/>
    <w:rsid w:val="001D54D8"/>
    <w:rsid w:val="001D72F3"/>
    <w:rsid w:val="001E1B38"/>
    <w:rsid w:val="001E1BDF"/>
    <w:rsid w:val="001E1C7F"/>
    <w:rsid w:val="001E2D37"/>
    <w:rsid w:val="001E5E9D"/>
    <w:rsid w:val="001E740E"/>
    <w:rsid w:val="001E7E5C"/>
    <w:rsid w:val="001E7FB5"/>
    <w:rsid w:val="001F0A02"/>
    <w:rsid w:val="001F0A71"/>
    <w:rsid w:val="001F0AC5"/>
    <w:rsid w:val="001F4523"/>
    <w:rsid w:val="001F7F3B"/>
    <w:rsid w:val="0020110D"/>
    <w:rsid w:val="00201FBD"/>
    <w:rsid w:val="00204317"/>
    <w:rsid w:val="00205059"/>
    <w:rsid w:val="0020585A"/>
    <w:rsid w:val="002063B3"/>
    <w:rsid w:val="0020647A"/>
    <w:rsid w:val="00206C4B"/>
    <w:rsid w:val="00210BAA"/>
    <w:rsid w:val="0021219D"/>
    <w:rsid w:val="00213BC3"/>
    <w:rsid w:val="002161BA"/>
    <w:rsid w:val="002212FB"/>
    <w:rsid w:val="00221466"/>
    <w:rsid w:val="002233C7"/>
    <w:rsid w:val="00224623"/>
    <w:rsid w:val="00225DF2"/>
    <w:rsid w:val="00226F14"/>
    <w:rsid w:val="002274A1"/>
    <w:rsid w:val="00230013"/>
    <w:rsid w:val="00230D2C"/>
    <w:rsid w:val="0023312A"/>
    <w:rsid w:val="00236272"/>
    <w:rsid w:val="00243E4A"/>
    <w:rsid w:val="0024469F"/>
    <w:rsid w:val="00245D64"/>
    <w:rsid w:val="00247276"/>
    <w:rsid w:val="00250130"/>
    <w:rsid w:val="00251FEE"/>
    <w:rsid w:val="002528F7"/>
    <w:rsid w:val="002605C2"/>
    <w:rsid w:val="00261126"/>
    <w:rsid w:val="00261DAF"/>
    <w:rsid w:val="00264BCA"/>
    <w:rsid w:val="00266028"/>
    <w:rsid w:val="002666E5"/>
    <w:rsid w:val="00272CE3"/>
    <w:rsid w:val="0027417C"/>
    <w:rsid w:val="002756EF"/>
    <w:rsid w:val="00276C65"/>
    <w:rsid w:val="00283F2D"/>
    <w:rsid w:val="00284B51"/>
    <w:rsid w:val="0028522B"/>
    <w:rsid w:val="0028628E"/>
    <w:rsid w:val="00287B8C"/>
    <w:rsid w:val="0029297D"/>
    <w:rsid w:val="002940B8"/>
    <w:rsid w:val="0029495A"/>
    <w:rsid w:val="00294EE0"/>
    <w:rsid w:val="002978CD"/>
    <w:rsid w:val="00297AA5"/>
    <w:rsid w:val="002A021A"/>
    <w:rsid w:val="002A13A8"/>
    <w:rsid w:val="002A17DF"/>
    <w:rsid w:val="002A287A"/>
    <w:rsid w:val="002A3D1E"/>
    <w:rsid w:val="002A56D8"/>
    <w:rsid w:val="002A5715"/>
    <w:rsid w:val="002A6E97"/>
    <w:rsid w:val="002B1A2B"/>
    <w:rsid w:val="002B53AC"/>
    <w:rsid w:val="002B57AF"/>
    <w:rsid w:val="002B6DDE"/>
    <w:rsid w:val="002B70BC"/>
    <w:rsid w:val="002B7B85"/>
    <w:rsid w:val="002C11BB"/>
    <w:rsid w:val="002C1F27"/>
    <w:rsid w:val="002C2D90"/>
    <w:rsid w:val="002C316D"/>
    <w:rsid w:val="002C31D6"/>
    <w:rsid w:val="002C38D8"/>
    <w:rsid w:val="002C657B"/>
    <w:rsid w:val="002C71DF"/>
    <w:rsid w:val="002D1434"/>
    <w:rsid w:val="002D34C4"/>
    <w:rsid w:val="002D381E"/>
    <w:rsid w:val="002D5FCD"/>
    <w:rsid w:val="002D63EE"/>
    <w:rsid w:val="002D6DF6"/>
    <w:rsid w:val="002D7369"/>
    <w:rsid w:val="002E17C5"/>
    <w:rsid w:val="002E6C3C"/>
    <w:rsid w:val="002F0A14"/>
    <w:rsid w:val="002F0B35"/>
    <w:rsid w:val="002F14EC"/>
    <w:rsid w:val="002F22F3"/>
    <w:rsid w:val="002F24DE"/>
    <w:rsid w:val="002F2F7E"/>
    <w:rsid w:val="002F3C06"/>
    <w:rsid w:val="002F46D8"/>
    <w:rsid w:val="002F60CE"/>
    <w:rsid w:val="00300295"/>
    <w:rsid w:val="00300C46"/>
    <w:rsid w:val="00302054"/>
    <w:rsid w:val="00302F1B"/>
    <w:rsid w:val="003032C3"/>
    <w:rsid w:val="00303444"/>
    <w:rsid w:val="00304384"/>
    <w:rsid w:val="00305506"/>
    <w:rsid w:val="003055E4"/>
    <w:rsid w:val="0030740F"/>
    <w:rsid w:val="003140AB"/>
    <w:rsid w:val="003150FD"/>
    <w:rsid w:val="00316634"/>
    <w:rsid w:val="00316C21"/>
    <w:rsid w:val="003208A6"/>
    <w:rsid w:val="00320F94"/>
    <w:rsid w:val="003217BA"/>
    <w:rsid w:val="00321CB6"/>
    <w:rsid w:val="003224B5"/>
    <w:rsid w:val="0032293F"/>
    <w:rsid w:val="00324336"/>
    <w:rsid w:val="00325CB8"/>
    <w:rsid w:val="00331F62"/>
    <w:rsid w:val="00332391"/>
    <w:rsid w:val="00336135"/>
    <w:rsid w:val="003378D1"/>
    <w:rsid w:val="00337EB2"/>
    <w:rsid w:val="0034050F"/>
    <w:rsid w:val="00346743"/>
    <w:rsid w:val="00351BE1"/>
    <w:rsid w:val="003528EA"/>
    <w:rsid w:val="00354A55"/>
    <w:rsid w:val="00356BF9"/>
    <w:rsid w:val="0035716A"/>
    <w:rsid w:val="0035767E"/>
    <w:rsid w:val="00360D9B"/>
    <w:rsid w:val="003612C5"/>
    <w:rsid w:val="00361E72"/>
    <w:rsid w:val="003631E5"/>
    <w:rsid w:val="00364185"/>
    <w:rsid w:val="003652A3"/>
    <w:rsid w:val="00372085"/>
    <w:rsid w:val="00372B88"/>
    <w:rsid w:val="00374D69"/>
    <w:rsid w:val="00374D73"/>
    <w:rsid w:val="00375A35"/>
    <w:rsid w:val="00376E2B"/>
    <w:rsid w:val="00381100"/>
    <w:rsid w:val="003818B5"/>
    <w:rsid w:val="00382ECD"/>
    <w:rsid w:val="003831E4"/>
    <w:rsid w:val="00385BC1"/>
    <w:rsid w:val="00386557"/>
    <w:rsid w:val="00386D8A"/>
    <w:rsid w:val="00386DBC"/>
    <w:rsid w:val="00387A97"/>
    <w:rsid w:val="00392D08"/>
    <w:rsid w:val="00393FEA"/>
    <w:rsid w:val="00394FBA"/>
    <w:rsid w:val="003955C4"/>
    <w:rsid w:val="0039613D"/>
    <w:rsid w:val="00396D77"/>
    <w:rsid w:val="003A01BF"/>
    <w:rsid w:val="003A1162"/>
    <w:rsid w:val="003A1E67"/>
    <w:rsid w:val="003A34DC"/>
    <w:rsid w:val="003A363C"/>
    <w:rsid w:val="003A3963"/>
    <w:rsid w:val="003A3A34"/>
    <w:rsid w:val="003B24B7"/>
    <w:rsid w:val="003B28E9"/>
    <w:rsid w:val="003B3C9A"/>
    <w:rsid w:val="003B60EA"/>
    <w:rsid w:val="003C07BA"/>
    <w:rsid w:val="003C153D"/>
    <w:rsid w:val="003C5103"/>
    <w:rsid w:val="003C6219"/>
    <w:rsid w:val="003C6B06"/>
    <w:rsid w:val="003C7776"/>
    <w:rsid w:val="003D19AE"/>
    <w:rsid w:val="003D2CE7"/>
    <w:rsid w:val="003D3557"/>
    <w:rsid w:val="003D5A52"/>
    <w:rsid w:val="003D5F9D"/>
    <w:rsid w:val="003E26BD"/>
    <w:rsid w:val="003E2DCC"/>
    <w:rsid w:val="003E3335"/>
    <w:rsid w:val="003E6836"/>
    <w:rsid w:val="003E78A9"/>
    <w:rsid w:val="003E7C09"/>
    <w:rsid w:val="003F0435"/>
    <w:rsid w:val="003F1CC6"/>
    <w:rsid w:val="003F2D3D"/>
    <w:rsid w:val="003F4D8F"/>
    <w:rsid w:val="00401AB2"/>
    <w:rsid w:val="004054EB"/>
    <w:rsid w:val="00406A15"/>
    <w:rsid w:val="00407488"/>
    <w:rsid w:val="00411D00"/>
    <w:rsid w:val="0041495D"/>
    <w:rsid w:val="00414C8A"/>
    <w:rsid w:val="004160FD"/>
    <w:rsid w:val="00417886"/>
    <w:rsid w:val="00420D7D"/>
    <w:rsid w:val="0042594B"/>
    <w:rsid w:val="004269B1"/>
    <w:rsid w:val="00427525"/>
    <w:rsid w:val="00427D70"/>
    <w:rsid w:val="00430A47"/>
    <w:rsid w:val="00434CAE"/>
    <w:rsid w:val="00435789"/>
    <w:rsid w:val="0043665F"/>
    <w:rsid w:val="00436AD0"/>
    <w:rsid w:val="00440689"/>
    <w:rsid w:val="00444947"/>
    <w:rsid w:val="00444EB0"/>
    <w:rsid w:val="00445DCD"/>
    <w:rsid w:val="00446A36"/>
    <w:rsid w:val="00446C69"/>
    <w:rsid w:val="00451B28"/>
    <w:rsid w:val="004520E5"/>
    <w:rsid w:val="00455C7C"/>
    <w:rsid w:val="004569A1"/>
    <w:rsid w:val="00460C56"/>
    <w:rsid w:val="00461D6A"/>
    <w:rsid w:val="00461E88"/>
    <w:rsid w:val="00462402"/>
    <w:rsid w:val="004624B4"/>
    <w:rsid w:val="004627C7"/>
    <w:rsid w:val="00466B9F"/>
    <w:rsid w:val="00467321"/>
    <w:rsid w:val="00470D5A"/>
    <w:rsid w:val="00475EA2"/>
    <w:rsid w:val="0048177B"/>
    <w:rsid w:val="00482D77"/>
    <w:rsid w:val="00483071"/>
    <w:rsid w:val="0048341B"/>
    <w:rsid w:val="0048359C"/>
    <w:rsid w:val="00483A2E"/>
    <w:rsid w:val="004845D9"/>
    <w:rsid w:val="004855F7"/>
    <w:rsid w:val="0049173E"/>
    <w:rsid w:val="00492A5A"/>
    <w:rsid w:val="004946EA"/>
    <w:rsid w:val="00495A4A"/>
    <w:rsid w:val="00497A2F"/>
    <w:rsid w:val="004A31F3"/>
    <w:rsid w:val="004A4402"/>
    <w:rsid w:val="004A58EC"/>
    <w:rsid w:val="004A644D"/>
    <w:rsid w:val="004A6747"/>
    <w:rsid w:val="004B0AC5"/>
    <w:rsid w:val="004B5BBC"/>
    <w:rsid w:val="004C225E"/>
    <w:rsid w:val="004C2DE0"/>
    <w:rsid w:val="004C351A"/>
    <w:rsid w:val="004C46EA"/>
    <w:rsid w:val="004D23F2"/>
    <w:rsid w:val="004D2B05"/>
    <w:rsid w:val="004D2B9D"/>
    <w:rsid w:val="004D4882"/>
    <w:rsid w:val="004D6162"/>
    <w:rsid w:val="004D6A7B"/>
    <w:rsid w:val="004D7530"/>
    <w:rsid w:val="004E0BFA"/>
    <w:rsid w:val="004E0C8D"/>
    <w:rsid w:val="004E1C90"/>
    <w:rsid w:val="004E20B0"/>
    <w:rsid w:val="004E30CB"/>
    <w:rsid w:val="004E663C"/>
    <w:rsid w:val="004F11D8"/>
    <w:rsid w:val="004F40A7"/>
    <w:rsid w:val="004F66E5"/>
    <w:rsid w:val="004F6AA4"/>
    <w:rsid w:val="004F72FC"/>
    <w:rsid w:val="0050028D"/>
    <w:rsid w:val="00500984"/>
    <w:rsid w:val="00503F5C"/>
    <w:rsid w:val="0051045B"/>
    <w:rsid w:val="0051101C"/>
    <w:rsid w:val="005111F0"/>
    <w:rsid w:val="00512A57"/>
    <w:rsid w:val="00513F56"/>
    <w:rsid w:val="005141DD"/>
    <w:rsid w:val="00515B08"/>
    <w:rsid w:val="00520193"/>
    <w:rsid w:val="005208D3"/>
    <w:rsid w:val="00521B65"/>
    <w:rsid w:val="00522569"/>
    <w:rsid w:val="00522A73"/>
    <w:rsid w:val="00523E38"/>
    <w:rsid w:val="00524BD2"/>
    <w:rsid w:val="00525E0C"/>
    <w:rsid w:val="00527B17"/>
    <w:rsid w:val="00531331"/>
    <w:rsid w:val="005324CB"/>
    <w:rsid w:val="00532856"/>
    <w:rsid w:val="005337FD"/>
    <w:rsid w:val="00533DC1"/>
    <w:rsid w:val="00534252"/>
    <w:rsid w:val="00534B4C"/>
    <w:rsid w:val="00535565"/>
    <w:rsid w:val="005422CF"/>
    <w:rsid w:val="005425EB"/>
    <w:rsid w:val="00542E8C"/>
    <w:rsid w:val="0054421C"/>
    <w:rsid w:val="00546AF2"/>
    <w:rsid w:val="0055037F"/>
    <w:rsid w:val="0055426F"/>
    <w:rsid w:val="00554567"/>
    <w:rsid w:val="0055537D"/>
    <w:rsid w:val="00560BD3"/>
    <w:rsid w:val="00561339"/>
    <w:rsid w:val="005614FE"/>
    <w:rsid w:val="005638C7"/>
    <w:rsid w:val="00564750"/>
    <w:rsid w:val="00566AAF"/>
    <w:rsid w:val="00567C9B"/>
    <w:rsid w:val="00570378"/>
    <w:rsid w:val="005707D2"/>
    <w:rsid w:val="00573398"/>
    <w:rsid w:val="00574B9C"/>
    <w:rsid w:val="00576A01"/>
    <w:rsid w:val="00576DB6"/>
    <w:rsid w:val="005806D2"/>
    <w:rsid w:val="00584AFE"/>
    <w:rsid w:val="005915A1"/>
    <w:rsid w:val="00592B96"/>
    <w:rsid w:val="00593F33"/>
    <w:rsid w:val="00595064"/>
    <w:rsid w:val="005977F9"/>
    <w:rsid w:val="005A09C8"/>
    <w:rsid w:val="005A417B"/>
    <w:rsid w:val="005B05A6"/>
    <w:rsid w:val="005B0B5E"/>
    <w:rsid w:val="005B15B8"/>
    <w:rsid w:val="005B16C6"/>
    <w:rsid w:val="005B1999"/>
    <w:rsid w:val="005B31F6"/>
    <w:rsid w:val="005B54F1"/>
    <w:rsid w:val="005B69F4"/>
    <w:rsid w:val="005B6C30"/>
    <w:rsid w:val="005C0E05"/>
    <w:rsid w:val="005C35C9"/>
    <w:rsid w:val="005C5C42"/>
    <w:rsid w:val="005D00D5"/>
    <w:rsid w:val="005D1595"/>
    <w:rsid w:val="005D3827"/>
    <w:rsid w:val="005D4117"/>
    <w:rsid w:val="005D5CC7"/>
    <w:rsid w:val="005D5DAE"/>
    <w:rsid w:val="005E058D"/>
    <w:rsid w:val="005E4723"/>
    <w:rsid w:val="005F14C0"/>
    <w:rsid w:val="005F1E71"/>
    <w:rsid w:val="005F2CF1"/>
    <w:rsid w:val="005F36F4"/>
    <w:rsid w:val="005F72A6"/>
    <w:rsid w:val="005F7863"/>
    <w:rsid w:val="0060562F"/>
    <w:rsid w:val="006059DB"/>
    <w:rsid w:val="00606F22"/>
    <w:rsid w:val="00611E67"/>
    <w:rsid w:val="00613A37"/>
    <w:rsid w:val="00616AEE"/>
    <w:rsid w:val="00616B54"/>
    <w:rsid w:val="00616D3C"/>
    <w:rsid w:val="00623D3F"/>
    <w:rsid w:val="0062463E"/>
    <w:rsid w:val="0062494A"/>
    <w:rsid w:val="006257EF"/>
    <w:rsid w:val="0062793F"/>
    <w:rsid w:val="00630C42"/>
    <w:rsid w:val="00631A56"/>
    <w:rsid w:val="00632B45"/>
    <w:rsid w:val="00633005"/>
    <w:rsid w:val="006337F0"/>
    <w:rsid w:val="00633EF3"/>
    <w:rsid w:val="0063421E"/>
    <w:rsid w:val="006344B9"/>
    <w:rsid w:val="006354EB"/>
    <w:rsid w:val="006361DC"/>
    <w:rsid w:val="00636EBF"/>
    <w:rsid w:val="006379EE"/>
    <w:rsid w:val="00641CE4"/>
    <w:rsid w:val="006422A5"/>
    <w:rsid w:val="0064695E"/>
    <w:rsid w:val="00646AE9"/>
    <w:rsid w:val="006479A4"/>
    <w:rsid w:val="00650952"/>
    <w:rsid w:val="00652D1C"/>
    <w:rsid w:val="00655B1F"/>
    <w:rsid w:val="00655FA4"/>
    <w:rsid w:val="0065665E"/>
    <w:rsid w:val="00656EB8"/>
    <w:rsid w:val="006603A6"/>
    <w:rsid w:val="00661AFE"/>
    <w:rsid w:val="00662721"/>
    <w:rsid w:val="00663869"/>
    <w:rsid w:val="00675389"/>
    <w:rsid w:val="0067547E"/>
    <w:rsid w:val="006775E8"/>
    <w:rsid w:val="006805DD"/>
    <w:rsid w:val="00685243"/>
    <w:rsid w:val="00685602"/>
    <w:rsid w:val="00690E4A"/>
    <w:rsid w:val="00694943"/>
    <w:rsid w:val="00694F8F"/>
    <w:rsid w:val="006973AE"/>
    <w:rsid w:val="006977A6"/>
    <w:rsid w:val="006A0EAC"/>
    <w:rsid w:val="006B1965"/>
    <w:rsid w:val="006B1A6A"/>
    <w:rsid w:val="006B1DE2"/>
    <w:rsid w:val="006B286F"/>
    <w:rsid w:val="006B2C43"/>
    <w:rsid w:val="006B2FE6"/>
    <w:rsid w:val="006B4B37"/>
    <w:rsid w:val="006B4D6D"/>
    <w:rsid w:val="006B5A3B"/>
    <w:rsid w:val="006B61CE"/>
    <w:rsid w:val="006B6327"/>
    <w:rsid w:val="006B682B"/>
    <w:rsid w:val="006B74F4"/>
    <w:rsid w:val="006B7EFD"/>
    <w:rsid w:val="006C0EDF"/>
    <w:rsid w:val="006C11C1"/>
    <w:rsid w:val="006C2F8D"/>
    <w:rsid w:val="006C3E17"/>
    <w:rsid w:val="006C5A8E"/>
    <w:rsid w:val="006C7A00"/>
    <w:rsid w:val="006D36E7"/>
    <w:rsid w:val="006D55FF"/>
    <w:rsid w:val="006D6CA6"/>
    <w:rsid w:val="006D6D4E"/>
    <w:rsid w:val="006E0117"/>
    <w:rsid w:val="006E08B7"/>
    <w:rsid w:val="006E0CA8"/>
    <w:rsid w:val="006E3922"/>
    <w:rsid w:val="006E3E4D"/>
    <w:rsid w:val="006E437D"/>
    <w:rsid w:val="006F1A18"/>
    <w:rsid w:val="006F581B"/>
    <w:rsid w:val="007002C1"/>
    <w:rsid w:val="00700314"/>
    <w:rsid w:val="00702FF7"/>
    <w:rsid w:val="00703844"/>
    <w:rsid w:val="00714272"/>
    <w:rsid w:val="00723624"/>
    <w:rsid w:val="007241E2"/>
    <w:rsid w:val="007265A8"/>
    <w:rsid w:val="00726F34"/>
    <w:rsid w:val="007279F0"/>
    <w:rsid w:val="007300C6"/>
    <w:rsid w:val="00733754"/>
    <w:rsid w:val="00736B01"/>
    <w:rsid w:val="007370A5"/>
    <w:rsid w:val="00737C26"/>
    <w:rsid w:val="00740627"/>
    <w:rsid w:val="00741E09"/>
    <w:rsid w:val="0074478D"/>
    <w:rsid w:val="00750DBC"/>
    <w:rsid w:val="0075574F"/>
    <w:rsid w:val="00757736"/>
    <w:rsid w:val="007579C2"/>
    <w:rsid w:val="00757C75"/>
    <w:rsid w:val="007617E0"/>
    <w:rsid w:val="00762090"/>
    <w:rsid w:val="007620CA"/>
    <w:rsid w:val="007622AE"/>
    <w:rsid w:val="00765CF9"/>
    <w:rsid w:val="007706A8"/>
    <w:rsid w:val="00772232"/>
    <w:rsid w:val="00772EA3"/>
    <w:rsid w:val="007744DD"/>
    <w:rsid w:val="007769CD"/>
    <w:rsid w:val="00780A5F"/>
    <w:rsid w:val="00780F87"/>
    <w:rsid w:val="0078335A"/>
    <w:rsid w:val="0078460E"/>
    <w:rsid w:val="00785A30"/>
    <w:rsid w:val="00786D71"/>
    <w:rsid w:val="00787110"/>
    <w:rsid w:val="00790648"/>
    <w:rsid w:val="00791424"/>
    <w:rsid w:val="00792796"/>
    <w:rsid w:val="00794462"/>
    <w:rsid w:val="007947E9"/>
    <w:rsid w:val="007954DB"/>
    <w:rsid w:val="007967E6"/>
    <w:rsid w:val="00797C74"/>
    <w:rsid w:val="007A06B8"/>
    <w:rsid w:val="007A0C9E"/>
    <w:rsid w:val="007A1555"/>
    <w:rsid w:val="007A3D7C"/>
    <w:rsid w:val="007A45E8"/>
    <w:rsid w:val="007A5836"/>
    <w:rsid w:val="007A7744"/>
    <w:rsid w:val="007A7D63"/>
    <w:rsid w:val="007B1279"/>
    <w:rsid w:val="007B3411"/>
    <w:rsid w:val="007B3426"/>
    <w:rsid w:val="007B3568"/>
    <w:rsid w:val="007B6B33"/>
    <w:rsid w:val="007B76DD"/>
    <w:rsid w:val="007C716E"/>
    <w:rsid w:val="007C71E4"/>
    <w:rsid w:val="007C7FEA"/>
    <w:rsid w:val="007D4615"/>
    <w:rsid w:val="007D60E8"/>
    <w:rsid w:val="007D7185"/>
    <w:rsid w:val="007D77C5"/>
    <w:rsid w:val="007E0BEF"/>
    <w:rsid w:val="007E2754"/>
    <w:rsid w:val="007E35AD"/>
    <w:rsid w:val="007E3CEE"/>
    <w:rsid w:val="007E515E"/>
    <w:rsid w:val="007E5849"/>
    <w:rsid w:val="007E5B58"/>
    <w:rsid w:val="007E5D36"/>
    <w:rsid w:val="007E6300"/>
    <w:rsid w:val="007F1AF8"/>
    <w:rsid w:val="007F3815"/>
    <w:rsid w:val="007F467B"/>
    <w:rsid w:val="007F7D3C"/>
    <w:rsid w:val="0080053B"/>
    <w:rsid w:val="008013D6"/>
    <w:rsid w:val="0080283D"/>
    <w:rsid w:val="0080371F"/>
    <w:rsid w:val="00806949"/>
    <w:rsid w:val="008102D9"/>
    <w:rsid w:val="0081082F"/>
    <w:rsid w:val="00812BAB"/>
    <w:rsid w:val="008130F4"/>
    <w:rsid w:val="00815214"/>
    <w:rsid w:val="00815999"/>
    <w:rsid w:val="00815D72"/>
    <w:rsid w:val="008160D9"/>
    <w:rsid w:val="008200EB"/>
    <w:rsid w:val="0082144B"/>
    <w:rsid w:val="00826523"/>
    <w:rsid w:val="00826AD4"/>
    <w:rsid w:val="0082709E"/>
    <w:rsid w:val="0083178B"/>
    <w:rsid w:val="00832A54"/>
    <w:rsid w:val="00840193"/>
    <w:rsid w:val="00840B11"/>
    <w:rsid w:val="00840FBC"/>
    <w:rsid w:val="0084113E"/>
    <w:rsid w:val="00841173"/>
    <w:rsid w:val="0084135B"/>
    <w:rsid w:val="00841D38"/>
    <w:rsid w:val="008423EA"/>
    <w:rsid w:val="00842479"/>
    <w:rsid w:val="00842CC6"/>
    <w:rsid w:val="00843D80"/>
    <w:rsid w:val="008441A3"/>
    <w:rsid w:val="00852064"/>
    <w:rsid w:val="00852B51"/>
    <w:rsid w:val="00852F60"/>
    <w:rsid w:val="00854ADB"/>
    <w:rsid w:val="00855BC7"/>
    <w:rsid w:val="0085695D"/>
    <w:rsid w:val="00856ACC"/>
    <w:rsid w:val="008608B3"/>
    <w:rsid w:val="008617D4"/>
    <w:rsid w:val="00861812"/>
    <w:rsid w:val="0086384F"/>
    <w:rsid w:val="0087110D"/>
    <w:rsid w:val="00871BDE"/>
    <w:rsid w:val="00872EAF"/>
    <w:rsid w:val="00876728"/>
    <w:rsid w:val="0087680D"/>
    <w:rsid w:val="00881947"/>
    <w:rsid w:val="008831EE"/>
    <w:rsid w:val="00884455"/>
    <w:rsid w:val="00887063"/>
    <w:rsid w:val="008876C7"/>
    <w:rsid w:val="00890204"/>
    <w:rsid w:val="00891238"/>
    <w:rsid w:val="00891837"/>
    <w:rsid w:val="0089287E"/>
    <w:rsid w:val="00892B52"/>
    <w:rsid w:val="00893AE2"/>
    <w:rsid w:val="0089569D"/>
    <w:rsid w:val="008970D4"/>
    <w:rsid w:val="008A0355"/>
    <w:rsid w:val="008A1871"/>
    <w:rsid w:val="008A1946"/>
    <w:rsid w:val="008A326F"/>
    <w:rsid w:val="008A70C3"/>
    <w:rsid w:val="008A7278"/>
    <w:rsid w:val="008A7EBD"/>
    <w:rsid w:val="008B2849"/>
    <w:rsid w:val="008B4171"/>
    <w:rsid w:val="008B4A61"/>
    <w:rsid w:val="008B53AE"/>
    <w:rsid w:val="008C138B"/>
    <w:rsid w:val="008C1493"/>
    <w:rsid w:val="008C1BA6"/>
    <w:rsid w:val="008C1D40"/>
    <w:rsid w:val="008C1FD9"/>
    <w:rsid w:val="008C4944"/>
    <w:rsid w:val="008C4E0F"/>
    <w:rsid w:val="008C5BCF"/>
    <w:rsid w:val="008C754C"/>
    <w:rsid w:val="008D2329"/>
    <w:rsid w:val="008D2480"/>
    <w:rsid w:val="008D6358"/>
    <w:rsid w:val="008D7463"/>
    <w:rsid w:val="008E1286"/>
    <w:rsid w:val="008E27D2"/>
    <w:rsid w:val="008E2A81"/>
    <w:rsid w:val="008E2C51"/>
    <w:rsid w:val="008E6038"/>
    <w:rsid w:val="008E71BB"/>
    <w:rsid w:val="008F13A0"/>
    <w:rsid w:val="008F1983"/>
    <w:rsid w:val="008F341A"/>
    <w:rsid w:val="008F3890"/>
    <w:rsid w:val="008F505F"/>
    <w:rsid w:val="008F6000"/>
    <w:rsid w:val="008F69D9"/>
    <w:rsid w:val="008F6FB3"/>
    <w:rsid w:val="008F746B"/>
    <w:rsid w:val="008F77B1"/>
    <w:rsid w:val="0090351D"/>
    <w:rsid w:val="0090394A"/>
    <w:rsid w:val="00903B54"/>
    <w:rsid w:val="00905D07"/>
    <w:rsid w:val="00907BF6"/>
    <w:rsid w:val="009108DE"/>
    <w:rsid w:val="00910C35"/>
    <w:rsid w:val="0091184E"/>
    <w:rsid w:val="00912438"/>
    <w:rsid w:val="00912460"/>
    <w:rsid w:val="00912E94"/>
    <w:rsid w:val="00915B3C"/>
    <w:rsid w:val="00916237"/>
    <w:rsid w:val="00916F5D"/>
    <w:rsid w:val="00921BE6"/>
    <w:rsid w:val="0092222A"/>
    <w:rsid w:val="009277DE"/>
    <w:rsid w:val="0093046D"/>
    <w:rsid w:val="00930487"/>
    <w:rsid w:val="00930A88"/>
    <w:rsid w:val="0093239D"/>
    <w:rsid w:val="00933052"/>
    <w:rsid w:val="009354CC"/>
    <w:rsid w:val="0094282B"/>
    <w:rsid w:val="00943280"/>
    <w:rsid w:val="00943D39"/>
    <w:rsid w:val="00944CA6"/>
    <w:rsid w:val="00947301"/>
    <w:rsid w:val="009546DC"/>
    <w:rsid w:val="00956797"/>
    <w:rsid w:val="00956799"/>
    <w:rsid w:val="00957645"/>
    <w:rsid w:val="00960072"/>
    <w:rsid w:val="0096058B"/>
    <w:rsid w:val="0096092D"/>
    <w:rsid w:val="00960D65"/>
    <w:rsid w:val="0096137A"/>
    <w:rsid w:val="00961456"/>
    <w:rsid w:val="009619C9"/>
    <w:rsid w:val="00964E3E"/>
    <w:rsid w:val="00965591"/>
    <w:rsid w:val="00965CF7"/>
    <w:rsid w:val="00970979"/>
    <w:rsid w:val="0097108C"/>
    <w:rsid w:val="00971A85"/>
    <w:rsid w:val="00973304"/>
    <w:rsid w:val="00973A99"/>
    <w:rsid w:val="009753BC"/>
    <w:rsid w:val="00975A43"/>
    <w:rsid w:val="00975B99"/>
    <w:rsid w:val="009857FF"/>
    <w:rsid w:val="0098681B"/>
    <w:rsid w:val="00987A28"/>
    <w:rsid w:val="0099344D"/>
    <w:rsid w:val="009941D5"/>
    <w:rsid w:val="00994E90"/>
    <w:rsid w:val="009961F2"/>
    <w:rsid w:val="009A1C09"/>
    <w:rsid w:val="009A1F6A"/>
    <w:rsid w:val="009A34EC"/>
    <w:rsid w:val="009A3C64"/>
    <w:rsid w:val="009A4B6C"/>
    <w:rsid w:val="009A5E2F"/>
    <w:rsid w:val="009A618C"/>
    <w:rsid w:val="009A7C70"/>
    <w:rsid w:val="009B0078"/>
    <w:rsid w:val="009B2473"/>
    <w:rsid w:val="009B34D1"/>
    <w:rsid w:val="009B3A39"/>
    <w:rsid w:val="009B4B7A"/>
    <w:rsid w:val="009B53B4"/>
    <w:rsid w:val="009B5789"/>
    <w:rsid w:val="009C0BB7"/>
    <w:rsid w:val="009C220F"/>
    <w:rsid w:val="009C2D53"/>
    <w:rsid w:val="009C3467"/>
    <w:rsid w:val="009C4CE9"/>
    <w:rsid w:val="009C4DE4"/>
    <w:rsid w:val="009C6497"/>
    <w:rsid w:val="009C7069"/>
    <w:rsid w:val="009C72E2"/>
    <w:rsid w:val="009C7416"/>
    <w:rsid w:val="009C7959"/>
    <w:rsid w:val="009D1438"/>
    <w:rsid w:val="009E3302"/>
    <w:rsid w:val="009E33BF"/>
    <w:rsid w:val="009E3D75"/>
    <w:rsid w:val="009E402C"/>
    <w:rsid w:val="009E466E"/>
    <w:rsid w:val="009E6F51"/>
    <w:rsid w:val="009F042D"/>
    <w:rsid w:val="009F0515"/>
    <w:rsid w:val="009F3236"/>
    <w:rsid w:val="009F4F6F"/>
    <w:rsid w:val="009F540D"/>
    <w:rsid w:val="00A01394"/>
    <w:rsid w:val="00A03098"/>
    <w:rsid w:val="00A07F46"/>
    <w:rsid w:val="00A07F4B"/>
    <w:rsid w:val="00A132A0"/>
    <w:rsid w:val="00A135BA"/>
    <w:rsid w:val="00A146F7"/>
    <w:rsid w:val="00A14886"/>
    <w:rsid w:val="00A15A97"/>
    <w:rsid w:val="00A2001F"/>
    <w:rsid w:val="00A2069C"/>
    <w:rsid w:val="00A209CA"/>
    <w:rsid w:val="00A21080"/>
    <w:rsid w:val="00A25570"/>
    <w:rsid w:val="00A26376"/>
    <w:rsid w:val="00A278C1"/>
    <w:rsid w:val="00A30328"/>
    <w:rsid w:val="00A322F1"/>
    <w:rsid w:val="00A3247B"/>
    <w:rsid w:val="00A33B32"/>
    <w:rsid w:val="00A37EB1"/>
    <w:rsid w:val="00A408F5"/>
    <w:rsid w:val="00A40FE4"/>
    <w:rsid w:val="00A42C91"/>
    <w:rsid w:val="00A450BC"/>
    <w:rsid w:val="00A45C85"/>
    <w:rsid w:val="00A47CBC"/>
    <w:rsid w:val="00A51FCB"/>
    <w:rsid w:val="00A53905"/>
    <w:rsid w:val="00A54BF8"/>
    <w:rsid w:val="00A55CD9"/>
    <w:rsid w:val="00A563CF"/>
    <w:rsid w:val="00A5763F"/>
    <w:rsid w:val="00A57EA4"/>
    <w:rsid w:val="00A60713"/>
    <w:rsid w:val="00A61425"/>
    <w:rsid w:val="00A61F8A"/>
    <w:rsid w:val="00A64E3E"/>
    <w:rsid w:val="00A64FA4"/>
    <w:rsid w:val="00A66CC7"/>
    <w:rsid w:val="00A66EB9"/>
    <w:rsid w:val="00A67F76"/>
    <w:rsid w:val="00A67FC9"/>
    <w:rsid w:val="00A74A96"/>
    <w:rsid w:val="00A74EEC"/>
    <w:rsid w:val="00A779F6"/>
    <w:rsid w:val="00A80FB9"/>
    <w:rsid w:val="00A81C17"/>
    <w:rsid w:val="00A8208D"/>
    <w:rsid w:val="00A8360B"/>
    <w:rsid w:val="00A8542B"/>
    <w:rsid w:val="00A90DFB"/>
    <w:rsid w:val="00A90F71"/>
    <w:rsid w:val="00A91791"/>
    <w:rsid w:val="00A93585"/>
    <w:rsid w:val="00A9421E"/>
    <w:rsid w:val="00A9436F"/>
    <w:rsid w:val="00A94F52"/>
    <w:rsid w:val="00A950CC"/>
    <w:rsid w:val="00A960CA"/>
    <w:rsid w:val="00AA085C"/>
    <w:rsid w:val="00AA218C"/>
    <w:rsid w:val="00AA3ACE"/>
    <w:rsid w:val="00AA3CEC"/>
    <w:rsid w:val="00AA4ACA"/>
    <w:rsid w:val="00AA765C"/>
    <w:rsid w:val="00AB0894"/>
    <w:rsid w:val="00AB1B46"/>
    <w:rsid w:val="00AB1BC5"/>
    <w:rsid w:val="00AB67E8"/>
    <w:rsid w:val="00AC007F"/>
    <w:rsid w:val="00AC2F2E"/>
    <w:rsid w:val="00AD3038"/>
    <w:rsid w:val="00AD427E"/>
    <w:rsid w:val="00AE153D"/>
    <w:rsid w:val="00AE3425"/>
    <w:rsid w:val="00AE5F00"/>
    <w:rsid w:val="00AE62FF"/>
    <w:rsid w:val="00AF2ACD"/>
    <w:rsid w:val="00AF60A1"/>
    <w:rsid w:val="00AF7973"/>
    <w:rsid w:val="00B04220"/>
    <w:rsid w:val="00B10FF8"/>
    <w:rsid w:val="00B150A3"/>
    <w:rsid w:val="00B17BFF"/>
    <w:rsid w:val="00B20568"/>
    <w:rsid w:val="00B23DD8"/>
    <w:rsid w:val="00B24DE4"/>
    <w:rsid w:val="00B25F77"/>
    <w:rsid w:val="00B2698A"/>
    <w:rsid w:val="00B27E66"/>
    <w:rsid w:val="00B305A2"/>
    <w:rsid w:val="00B32787"/>
    <w:rsid w:val="00B400BF"/>
    <w:rsid w:val="00B4186F"/>
    <w:rsid w:val="00B4236A"/>
    <w:rsid w:val="00B43A07"/>
    <w:rsid w:val="00B46C36"/>
    <w:rsid w:val="00B47674"/>
    <w:rsid w:val="00B47E2F"/>
    <w:rsid w:val="00B51FE0"/>
    <w:rsid w:val="00B525E8"/>
    <w:rsid w:val="00B53B8D"/>
    <w:rsid w:val="00B54F4A"/>
    <w:rsid w:val="00B561C0"/>
    <w:rsid w:val="00B566F6"/>
    <w:rsid w:val="00B6431A"/>
    <w:rsid w:val="00B6567E"/>
    <w:rsid w:val="00B67657"/>
    <w:rsid w:val="00B715D2"/>
    <w:rsid w:val="00B72E42"/>
    <w:rsid w:val="00B76F2C"/>
    <w:rsid w:val="00B85DF7"/>
    <w:rsid w:val="00B86AF8"/>
    <w:rsid w:val="00B917A1"/>
    <w:rsid w:val="00B92CC1"/>
    <w:rsid w:val="00B94058"/>
    <w:rsid w:val="00B949A1"/>
    <w:rsid w:val="00B95113"/>
    <w:rsid w:val="00B95618"/>
    <w:rsid w:val="00B95B76"/>
    <w:rsid w:val="00B96D3D"/>
    <w:rsid w:val="00B9736A"/>
    <w:rsid w:val="00BA0432"/>
    <w:rsid w:val="00BA2240"/>
    <w:rsid w:val="00BA27D9"/>
    <w:rsid w:val="00BA2F4D"/>
    <w:rsid w:val="00BA337C"/>
    <w:rsid w:val="00BA52D0"/>
    <w:rsid w:val="00BA5FB3"/>
    <w:rsid w:val="00BA6403"/>
    <w:rsid w:val="00BB135D"/>
    <w:rsid w:val="00BB20DB"/>
    <w:rsid w:val="00BB24F8"/>
    <w:rsid w:val="00BB3D93"/>
    <w:rsid w:val="00BB4190"/>
    <w:rsid w:val="00BB46F8"/>
    <w:rsid w:val="00BB5B1A"/>
    <w:rsid w:val="00BB6548"/>
    <w:rsid w:val="00BB6C89"/>
    <w:rsid w:val="00BC0251"/>
    <w:rsid w:val="00BC1BE3"/>
    <w:rsid w:val="00BC1DD7"/>
    <w:rsid w:val="00BC3EE5"/>
    <w:rsid w:val="00BC412F"/>
    <w:rsid w:val="00BC489D"/>
    <w:rsid w:val="00BC5040"/>
    <w:rsid w:val="00BC5A4E"/>
    <w:rsid w:val="00BC5E7F"/>
    <w:rsid w:val="00BC6E9F"/>
    <w:rsid w:val="00BD3481"/>
    <w:rsid w:val="00BD3FC1"/>
    <w:rsid w:val="00BD4194"/>
    <w:rsid w:val="00BD541A"/>
    <w:rsid w:val="00BD636B"/>
    <w:rsid w:val="00BE1148"/>
    <w:rsid w:val="00BE1788"/>
    <w:rsid w:val="00BE429F"/>
    <w:rsid w:val="00BE4C7A"/>
    <w:rsid w:val="00BE7B3A"/>
    <w:rsid w:val="00BF3C72"/>
    <w:rsid w:val="00BF3F3B"/>
    <w:rsid w:val="00BF74F4"/>
    <w:rsid w:val="00C10B42"/>
    <w:rsid w:val="00C1164B"/>
    <w:rsid w:val="00C15608"/>
    <w:rsid w:val="00C15AE2"/>
    <w:rsid w:val="00C200A6"/>
    <w:rsid w:val="00C20D7E"/>
    <w:rsid w:val="00C23EA1"/>
    <w:rsid w:val="00C24955"/>
    <w:rsid w:val="00C27177"/>
    <w:rsid w:val="00C2749C"/>
    <w:rsid w:val="00C27A7A"/>
    <w:rsid w:val="00C31E38"/>
    <w:rsid w:val="00C3250A"/>
    <w:rsid w:val="00C34A14"/>
    <w:rsid w:val="00C36441"/>
    <w:rsid w:val="00C401E0"/>
    <w:rsid w:val="00C4023B"/>
    <w:rsid w:val="00C40D5C"/>
    <w:rsid w:val="00C4284D"/>
    <w:rsid w:val="00C43521"/>
    <w:rsid w:val="00C47882"/>
    <w:rsid w:val="00C51A9D"/>
    <w:rsid w:val="00C51DDD"/>
    <w:rsid w:val="00C52BD8"/>
    <w:rsid w:val="00C52EA2"/>
    <w:rsid w:val="00C53DDD"/>
    <w:rsid w:val="00C54F68"/>
    <w:rsid w:val="00C61313"/>
    <w:rsid w:val="00C62675"/>
    <w:rsid w:val="00C642BD"/>
    <w:rsid w:val="00C70541"/>
    <w:rsid w:val="00C71A79"/>
    <w:rsid w:val="00C71CC7"/>
    <w:rsid w:val="00C75A01"/>
    <w:rsid w:val="00C808D0"/>
    <w:rsid w:val="00C8249C"/>
    <w:rsid w:val="00C8294C"/>
    <w:rsid w:val="00C87271"/>
    <w:rsid w:val="00C94629"/>
    <w:rsid w:val="00C954FE"/>
    <w:rsid w:val="00C95588"/>
    <w:rsid w:val="00C9568C"/>
    <w:rsid w:val="00C95C84"/>
    <w:rsid w:val="00C9759C"/>
    <w:rsid w:val="00C975FB"/>
    <w:rsid w:val="00CA1C96"/>
    <w:rsid w:val="00CA36AE"/>
    <w:rsid w:val="00CA38E4"/>
    <w:rsid w:val="00CA7B1C"/>
    <w:rsid w:val="00CB0C68"/>
    <w:rsid w:val="00CB42C7"/>
    <w:rsid w:val="00CB4B1D"/>
    <w:rsid w:val="00CB4B6D"/>
    <w:rsid w:val="00CB5793"/>
    <w:rsid w:val="00CB581B"/>
    <w:rsid w:val="00CB603F"/>
    <w:rsid w:val="00CB7EC7"/>
    <w:rsid w:val="00CC0F35"/>
    <w:rsid w:val="00CC21D8"/>
    <w:rsid w:val="00CC4CC4"/>
    <w:rsid w:val="00CC5281"/>
    <w:rsid w:val="00CD35BE"/>
    <w:rsid w:val="00CD61BA"/>
    <w:rsid w:val="00CE1965"/>
    <w:rsid w:val="00CE1DEE"/>
    <w:rsid w:val="00CE69E1"/>
    <w:rsid w:val="00CE6C3D"/>
    <w:rsid w:val="00CE7AF0"/>
    <w:rsid w:val="00CF0733"/>
    <w:rsid w:val="00CF2A8F"/>
    <w:rsid w:val="00CF501E"/>
    <w:rsid w:val="00CF5994"/>
    <w:rsid w:val="00CF5AB3"/>
    <w:rsid w:val="00CF70EB"/>
    <w:rsid w:val="00D012BD"/>
    <w:rsid w:val="00D059F7"/>
    <w:rsid w:val="00D077C2"/>
    <w:rsid w:val="00D07958"/>
    <w:rsid w:val="00D13D3A"/>
    <w:rsid w:val="00D17848"/>
    <w:rsid w:val="00D21DAB"/>
    <w:rsid w:val="00D241E4"/>
    <w:rsid w:val="00D24EB0"/>
    <w:rsid w:val="00D25245"/>
    <w:rsid w:val="00D25366"/>
    <w:rsid w:val="00D27A1B"/>
    <w:rsid w:val="00D301B3"/>
    <w:rsid w:val="00D34CFE"/>
    <w:rsid w:val="00D35136"/>
    <w:rsid w:val="00D361FE"/>
    <w:rsid w:val="00D37763"/>
    <w:rsid w:val="00D416DE"/>
    <w:rsid w:val="00D45025"/>
    <w:rsid w:val="00D455FF"/>
    <w:rsid w:val="00D45ACB"/>
    <w:rsid w:val="00D563FF"/>
    <w:rsid w:val="00D60186"/>
    <w:rsid w:val="00D6095F"/>
    <w:rsid w:val="00D6320E"/>
    <w:rsid w:val="00D70F25"/>
    <w:rsid w:val="00D74793"/>
    <w:rsid w:val="00D75440"/>
    <w:rsid w:val="00D77BC0"/>
    <w:rsid w:val="00D8172B"/>
    <w:rsid w:val="00D8261D"/>
    <w:rsid w:val="00D840D8"/>
    <w:rsid w:val="00D847D3"/>
    <w:rsid w:val="00D84DCF"/>
    <w:rsid w:val="00D8552D"/>
    <w:rsid w:val="00D87338"/>
    <w:rsid w:val="00D90CAE"/>
    <w:rsid w:val="00D93520"/>
    <w:rsid w:val="00D94823"/>
    <w:rsid w:val="00D94BD6"/>
    <w:rsid w:val="00D97186"/>
    <w:rsid w:val="00DA0446"/>
    <w:rsid w:val="00DA0D93"/>
    <w:rsid w:val="00DA0E9E"/>
    <w:rsid w:val="00DA7190"/>
    <w:rsid w:val="00DA7236"/>
    <w:rsid w:val="00DB117B"/>
    <w:rsid w:val="00DB3984"/>
    <w:rsid w:val="00DB437A"/>
    <w:rsid w:val="00DB5EBA"/>
    <w:rsid w:val="00DB644A"/>
    <w:rsid w:val="00DB6F77"/>
    <w:rsid w:val="00DB7249"/>
    <w:rsid w:val="00DB77FE"/>
    <w:rsid w:val="00DC01D4"/>
    <w:rsid w:val="00DC29CA"/>
    <w:rsid w:val="00DC4395"/>
    <w:rsid w:val="00DC784F"/>
    <w:rsid w:val="00DD134E"/>
    <w:rsid w:val="00DD1E0E"/>
    <w:rsid w:val="00DD23CE"/>
    <w:rsid w:val="00DD5DC2"/>
    <w:rsid w:val="00DD69E0"/>
    <w:rsid w:val="00DE1523"/>
    <w:rsid w:val="00DE20AD"/>
    <w:rsid w:val="00DE251D"/>
    <w:rsid w:val="00DE4ECD"/>
    <w:rsid w:val="00DE623A"/>
    <w:rsid w:val="00DE72F3"/>
    <w:rsid w:val="00DF1070"/>
    <w:rsid w:val="00DF7DA1"/>
    <w:rsid w:val="00E006E4"/>
    <w:rsid w:val="00E03095"/>
    <w:rsid w:val="00E033E8"/>
    <w:rsid w:val="00E036D3"/>
    <w:rsid w:val="00E06100"/>
    <w:rsid w:val="00E10332"/>
    <w:rsid w:val="00E11EE1"/>
    <w:rsid w:val="00E1323F"/>
    <w:rsid w:val="00E13492"/>
    <w:rsid w:val="00E20932"/>
    <w:rsid w:val="00E20FAC"/>
    <w:rsid w:val="00E217F2"/>
    <w:rsid w:val="00E260CF"/>
    <w:rsid w:val="00E30635"/>
    <w:rsid w:val="00E309A2"/>
    <w:rsid w:val="00E31071"/>
    <w:rsid w:val="00E31F46"/>
    <w:rsid w:val="00E33F97"/>
    <w:rsid w:val="00E351B9"/>
    <w:rsid w:val="00E351E1"/>
    <w:rsid w:val="00E35A36"/>
    <w:rsid w:val="00E3792E"/>
    <w:rsid w:val="00E40485"/>
    <w:rsid w:val="00E4087D"/>
    <w:rsid w:val="00E40B16"/>
    <w:rsid w:val="00E433A8"/>
    <w:rsid w:val="00E43659"/>
    <w:rsid w:val="00E450F9"/>
    <w:rsid w:val="00E4530F"/>
    <w:rsid w:val="00E476CF"/>
    <w:rsid w:val="00E47E32"/>
    <w:rsid w:val="00E51527"/>
    <w:rsid w:val="00E52E4B"/>
    <w:rsid w:val="00E620C2"/>
    <w:rsid w:val="00E6256B"/>
    <w:rsid w:val="00E65C38"/>
    <w:rsid w:val="00E6683B"/>
    <w:rsid w:val="00E701C8"/>
    <w:rsid w:val="00E70AEA"/>
    <w:rsid w:val="00E70C31"/>
    <w:rsid w:val="00E730F9"/>
    <w:rsid w:val="00E73545"/>
    <w:rsid w:val="00E74292"/>
    <w:rsid w:val="00E77E7A"/>
    <w:rsid w:val="00E8007C"/>
    <w:rsid w:val="00E814D6"/>
    <w:rsid w:val="00E81A8A"/>
    <w:rsid w:val="00E82B11"/>
    <w:rsid w:val="00E83798"/>
    <w:rsid w:val="00E85007"/>
    <w:rsid w:val="00E87D21"/>
    <w:rsid w:val="00E91641"/>
    <w:rsid w:val="00E947C1"/>
    <w:rsid w:val="00E950B4"/>
    <w:rsid w:val="00E95116"/>
    <w:rsid w:val="00E95767"/>
    <w:rsid w:val="00E95C4D"/>
    <w:rsid w:val="00E9749A"/>
    <w:rsid w:val="00E97A35"/>
    <w:rsid w:val="00E97BB0"/>
    <w:rsid w:val="00EA36B2"/>
    <w:rsid w:val="00EA44BA"/>
    <w:rsid w:val="00EA7F75"/>
    <w:rsid w:val="00EB0BB4"/>
    <w:rsid w:val="00EB1FC7"/>
    <w:rsid w:val="00EB2D0F"/>
    <w:rsid w:val="00EB404F"/>
    <w:rsid w:val="00EB579A"/>
    <w:rsid w:val="00EB59BC"/>
    <w:rsid w:val="00EC05E9"/>
    <w:rsid w:val="00EC0AED"/>
    <w:rsid w:val="00EC2C2F"/>
    <w:rsid w:val="00EC4339"/>
    <w:rsid w:val="00EC608F"/>
    <w:rsid w:val="00EC6EBD"/>
    <w:rsid w:val="00EC7FEF"/>
    <w:rsid w:val="00ED0290"/>
    <w:rsid w:val="00ED04EB"/>
    <w:rsid w:val="00ED6E6A"/>
    <w:rsid w:val="00EE09EA"/>
    <w:rsid w:val="00EE181F"/>
    <w:rsid w:val="00EE387B"/>
    <w:rsid w:val="00EE5202"/>
    <w:rsid w:val="00EE5541"/>
    <w:rsid w:val="00EE5632"/>
    <w:rsid w:val="00EE7243"/>
    <w:rsid w:val="00EF294A"/>
    <w:rsid w:val="00EF50C5"/>
    <w:rsid w:val="00EF6154"/>
    <w:rsid w:val="00EF6615"/>
    <w:rsid w:val="00EF66E3"/>
    <w:rsid w:val="00F015C8"/>
    <w:rsid w:val="00F01AB4"/>
    <w:rsid w:val="00F050FB"/>
    <w:rsid w:val="00F05680"/>
    <w:rsid w:val="00F07827"/>
    <w:rsid w:val="00F07D9C"/>
    <w:rsid w:val="00F11FAA"/>
    <w:rsid w:val="00F122D6"/>
    <w:rsid w:val="00F144AF"/>
    <w:rsid w:val="00F176FF"/>
    <w:rsid w:val="00F17F81"/>
    <w:rsid w:val="00F20F58"/>
    <w:rsid w:val="00F246CF"/>
    <w:rsid w:val="00F30F4F"/>
    <w:rsid w:val="00F314AB"/>
    <w:rsid w:val="00F31CBB"/>
    <w:rsid w:val="00F31CFC"/>
    <w:rsid w:val="00F31F4B"/>
    <w:rsid w:val="00F32D5F"/>
    <w:rsid w:val="00F33940"/>
    <w:rsid w:val="00F41287"/>
    <w:rsid w:val="00F41D69"/>
    <w:rsid w:val="00F42F09"/>
    <w:rsid w:val="00F448D2"/>
    <w:rsid w:val="00F474C4"/>
    <w:rsid w:val="00F50136"/>
    <w:rsid w:val="00F503AD"/>
    <w:rsid w:val="00F5163F"/>
    <w:rsid w:val="00F51DAB"/>
    <w:rsid w:val="00F52FE5"/>
    <w:rsid w:val="00F55844"/>
    <w:rsid w:val="00F679DF"/>
    <w:rsid w:val="00F70295"/>
    <w:rsid w:val="00F711CF"/>
    <w:rsid w:val="00F737E8"/>
    <w:rsid w:val="00F74C2D"/>
    <w:rsid w:val="00F74E96"/>
    <w:rsid w:val="00F74F03"/>
    <w:rsid w:val="00F76216"/>
    <w:rsid w:val="00F7796B"/>
    <w:rsid w:val="00F80EBE"/>
    <w:rsid w:val="00F865EA"/>
    <w:rsid w:val="00F86EFD"/>
    <w:rsid w:val="00F925DF"/>
    <w:rsid w:val="00F973CA"/>
    <w:rsid w:val="00FA4649"/>
    <w:rsid w:val="00FA51CB"/>
    <w:rsid w:val="00FA7BBB"/>
    <w:rsid w:val="00FB011F"/>
    <w:rsid w:val="00FB0AE2"/>
    <w:rsid w:val="00FB0C84"/>
    <w:rsid w:val="00FB3103"/>
    <w:rsid w:val="00FB44F8"/>
    <w:rsid w:val="00FB4902"/>
    <w:rsid w:val="00FC22E4"/>
    <w:rsid w:val="00FC23BB"/>
    <w:rsid w:val="00FD26CD"/>
    <w:rsid w:val="00FD60F3"/>
    <w:rsid w:val="00FD61DF"/>
    <w:rsid w:val="00FE06CE"/>
    <w:rsid w:val="00FE0BFC"/>
    <w:rsid w:val="00FE58FC"/>
    <w:rsid w:val="00FE6FC5"/>
    <w:rsid w:val="00FE7045"/>
    <w:rsid w:val="00FF0534"/>
    <w:rsid w:val="00FF083E"/>
    <w:rsid w:val="00FF272D"/>
    <w:rsid w:val="00FF41B3"/>
    <w:rsid w:val="00FF4DA0"/>
    <w:rsid w:val="00FF619F"/>
    <w:rsid w:val="00FF7598"/>
    <w:rsid w:val="00FF79E8"/>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CAA68"/>
  <w15:docId w15:val="{6314EB46-A0CE-44A6-9144-89F9CF659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fr-FR" w:eastAsia="fr-FR" w:bidi="fr-FR"/>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831EE"/>
    <w:pPr>
      <w:jc w:val="both"/>
    </w:pPr>
    <w:rPr>
      <w:rFonts w:ascii="Gill Sans MT" w:hAnsi="Gill Sans MT"/>
      <w:sz w:val="24"/>
    </w:rPr>
  </w:style>
  <w:style w:type="paragraph" w:styleId="Kop1">
    <w:name w:val="heading 1"/>
    <w:basedOn w:val="Standaard"/>
    <w:next w:val="Standaard"/>
    <w:link w:val="Kop1Char"/>
    <w:uiPriority w:val="9"/>
    <w:qFormat/>
    <w:rsid w:val="005614FE"/>
    <w:pPr>
      <w:spacing w:before="480" w:after="0"/>
      <w:contextualSpacing/>
      <w:outlineLvl w:val="0"/>
    </w:pPr>
    <w:rPr>
      <w:smallCaps/>
      <w:spacing w:val="5"/>
      <w:sz w:val="36"/>
      <w:szCs w:val="36"/>
    </w:rPr>
  </w:style>
  <w:style w:type="paragraph" w:styleId="Kop2">
    <w:name w:val="heading 2"/>
    <w:basedOn w:val="Standaard"/>
    <w:next w:val="Standaard"/>
    <w:link w:val="Kop2Char"/>
    <w:uiPriority w:val="9"/>
    <w:unhideWhenUsed/>
    <w:qFormat/>
    <w:rsid w:val="005614FE"/>
    <w:pPr>
      <w:spacing w:before="200" w:after="0" w:line="271" w:lineRule="auto"/>
      <w:outlineLvl w:val="1"/>
    </w:pPr>
    <w:rPr>
      <w:smallCaps/>
      <w:sz w:val="28"/>
      <w:szCs w:val="28"/>
    </w:rPr>
  </w:style>
  <w:style w:type="paragraph" w:styleId="Kop3">
    <w:name w:val="heading 3"/>
    <w:basedOn w:val="Standaard"/>
    <w:next w:val="Standaard"/>
    <w:link w:val="Kop3Char"/>
    <w:uiPriority w:val="9"/>
    <w:unhideWhenUsed/>
    <w:qFormat/>
    <w:rsid w:val="005614FE"/>
    <w:pPr>
      <w:spacing w:before="200" w:after="0" w:line="271" w:lineRule="auto"/>
      <w:outlineLvl w:val="2"/>
    </w:pPr>
    <w:rPr>
      <w:i/>
      <w:iCs/>
      <w:smallCaps/>
      <w:spacing w:val="5"/>
      <w:sz w:val="26"/>
      <w:szCs w:val="26"/>
    </w:rPr>
  </w:style>
  <w:style w:type="paragraph" w:styleId="Kop4">
    <w:name w:val="heading 4"/>
    <w:basedOn w:val="Standaard"/>
    <w:next w:val="Standaard"/>
    <w:link w:val="Kop4Char"/>
    <w:uiPriority w:val="9"/>
    <w:unhideWhenUsed/>
    <w:qFormat/>
    <w:rsid w:val="005614FE"/>
    <w:pPr>
      <w:spacing w:after="0" w:line="271" w:lineRule="auto"/>
      <w:outlineLvl w:val="3"/>
    </w:pPr>
    <w:rPr>
      <w:b/>
      <w:bCs/>
      <w:spacing w:val="5"/>
      <w:szCs w:val="24"/>
    </w:rPr>
  </w:style>
  <w:style w:type="paragraph" w:styleId="Kop5">
    <w:name w:val="heading 5"/>
    <w:basedOn w:val="Standaard"/>
    <w:next w:val="Standaard"/>
    <w:link w:val="Kop5Char"/>
    <w:uiPriority w:val="9"/>
    <w:unhideWhenUsed/>
    <w:qFormat/>
    <w:rsid w:val="005614FE"/>
    <w:pPr>
      <w:spacing w:after="0" w:line="271" w:lineRule="auto"/>
      <w:outlineLvl w:val="4"/>
    </w:pPr>
    <w:rPr>
      <w:i/>
      <w:iCs/>
      <w:szCs w:val="24"/>
    </w:rPr>
  </w:style>
  <w:style w:type="paragraph" w:styleId="Kop6">
    <w:name w:val="heading 6"/>
    <w:basedOn w:val="Standaard"/>
    <w:next w:val="Standaard"/>
    <w:link w:val="Kop6Char"/>
    <w:uiPriority w:val="9"/>
    <w:semiHidden/>
    <w:unhideWhenUsed/>
    <w:qFormat/>
    <w:rsid w:val="005614FE"/>
    <w:pPr>
      <w:shd w:val="clear" w:color="auto" w:fill="FFFFFF" w:themeFill="background1"/>
      <w:spacing w:after="0" w:line="271" w:lineRule="auto"/>
      <w:outlineLvl w:val="5"/>
    </w:pPr>
    <w:rPr>
      <w:b/>
      <w:bCs/>
      <w:color w:val="595959" w:themeColor="text1" w:themeTint="A6"/>
      <w:spacing w:val="5"/>
    </w:rPr>
  </w:style>
  <w:style w:type="paragraph" w:styleId="Kop7">
    <w:name w:val="heading 7"/>
    <w:basedOn w:val="Standaard"/>
    <w:next w:val="Standaard"/>
    <w:link w:val="Kop7Char"/>
    <w:uiPriority w:val="9"/>
    <w:semiHidden/>
    <w:unhideWhenUsed/>
    <w:qFormat/>
    <w:rsid w:val="005614FE"/>
    <w:pPr>
      <w:spacing w:after="0"/>
      <w:outlineLvl w:val="6"/>
    </w:pPr>
    <w:rPr>
      <w:b/>
      <w:bCs/>
      <w:i/>
      <w:iCs/>
      <w:color w:val="5A5A5A" w:themeColor="text1" w:themeTint="A5"/>
      <w:sz w:val="20"/>
      <w:szCs w:val="20"/>
    </w:rPr>
  </w:style>
  <w:style w:type="paragraph" w:styleId="Kop8">
    <w:name w:val="heading 8"/>
    <w:basedOn w:val="Standaard"/>
    <w:next w:val="Standaard"/>
    <w:link w:val="Kop8Char"/>
    <w:uiPriority w:val="9"/>
    <w:semiHidden/>
    <w:unhideWhenUsed/>
    <w:qFormat/>
    <w:rsid w:val="005614FE"/>
    <w:pPr>
      <w:spacing w:after="0"/>
      <w:outlineLvl w:val="7"/>
    </w:pPr>
    <w:rPr>
      <w:b/>
      <w:bCs/>
      <w:color w:val="7F7F7F" w:themeColor="text1" w:themeTint="80"/>
      <w:sz w:val="20"/>
      <w:szCs w:val="20"/>
    </w:rPr>
  </w:style>
  <w:style w:type="paragraph" w:styleId="Kop9">
    <w:name w:val="heading 9"/>
    <w:basedOn w:val="Standaard"/>
    <w:next w:val="Standaard"/>
    <w:link w:val="Kop9Char"/>
    <w:uiPriority w:val="9"/>
    <w:semiHidden/>
    <w:unhideWhenUsed/>
    <w:qFormat/>
    <w:rsid w:val="005614FE"/>
    <w:pPr>
      <w:spacing w:after="0" w:line="271" w:lineRule="auto"/>
      <w:outlineLvl w:val="8"/>
    </w:pPr>
    <w:rPr>
      <w:b/>
      <w:bCs/>
      <w:i/>
      <w:iCs/>
      <w:color w:val="7F7F7F" w:themeColor="text1" w:themeTint="8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46C6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46C69"/>
    <w:rPr>
      <w:rFonts w:ascii="Tahoma" w:hAnsi="Tahoma" w:cs="Tahoma"/>
      <w:sz w:val="16"/>
      <w:szCs w:val="16"/>
    </w:rPr>
  </w:style>
  <w:style w:type="paragraph" w:styleId="Duidelijkcitaat">
    <w:name w:val="Intense Quote"/>
    <w:basedOn w:val="Standaard"/>
    <w:next w:val="Standaard"/>
    <w:link w:val="DuidelijkcitaatChar"/>
    <w:uiPriority w:val="30"/>
    <w:qFormat/>
    <w:rsid w:val="005614FE"/>
    <w:pPr>
      <w:pBdr>
        <w:top w:val="single" w:sz="4" w:space="10" w:color="auto"/>
        <w:bottom w:val="single" w:sz="4" w:space="10" w:color="auto"/>
      </w:pBdr>
      <w:spacing w:before="240" w:after="240" w:line="300" w:lineRule="auto"/>
      <w:ind w:left="1152" w:right="1152"/>
    </w:pPr>
    <w:rPr>
      <w:i/>
      <w:iCs/>
    </w:rPr>
  </w:style>
  <w:style w:type="character" w:customStyle="1" w:styleId="DuidelijkcitaatChar">
    <w:name w:val="Duidelijk citaat Char"/>
    <w:basedOn w:val="Standaardalinea-lettertype"/>
    <w:link w:val="Duidelijkcitaat"/>
    <w:uiPriority w:val="30"/>
    <w:rsid w:val="005614FE"/>
    <w:rPr>
      <w:i/>
      <w:iCs/>
    </w:rPr>
  </w:style>
  <w:style w:type="character" w:customStyle="1" w:styleId="Kop1Char">
    <w:name w:val="Kop 1 Char"/>
    <w:basedOn w:val="Standaardalinea-lettertype"/>
    <w:link w:val="Kop1"/>
    <w:uiPriority w:val="9"/>
    <w:rsid w:val="005614FE"/>
    <w:rPr>
      <w:smallCaps/>
      <w:spacing w:val="5"/>
      <w:sz w:val="36"/>
      <w:szCs w:val="36"/>
    </w:rPr>
  </w:style>
  <w:style w:type="character" w:customStyle="1" w:styleId="Kop2Char">
    <w:name w:val="Kop 2 Char"/>
    <w:basedOn w:val="Standaardalinea-lettertype"/>
    <w:link w:val="Kop2"/>
    <w:uiPriority w:val="9"/>
    <w:rsid w:val="005614FE"/>
    <w:rPr>
      <w:smallCaps/>
      <w:sz w:val="28"/>
      <w:szCs w:val="28"/>
    </w:rPr>
  </w:style>
  <w:style w:type="character" w:customStyle="1" w:styleId="Kop3Char">
    <w:name w:val="Kop 3 Char"/>
    <w:basedOn w:val="Standaardalinea-lettertype"/>
    <w:link w:val="Kop3"/>
    <w:uiPriority w:val="9"/>
    <w:rsid w:val="005614FE"/>
    <w:rPr>
      <w:i/>
      <w:iCs/>
      <w:smallCaps/>
      <w:spacing w:val="5"/>
      <w:sz w:val="26"/>
      <w:szCs w:val="26"/>
    </w:rPr>
  </w:style>
  <w:style w:type="character" w:customStyle="1" w:styleId="Kop4Char">
    <w:name w:val="Kop 4 Char"/>
    <w:basedOn w:val="Standaardalinea-lettertype"/>
    <w:link w:val="Kop4"/>
    <w:uiPriority w:val="9"/>
    <w:rsid w:val="005614FE"/>
    <w:rPr>
      <w:b/>
      <w:bCs/>
      <w:spacing w:val="5"/>
      <w:sz w:val="24"/>
      <w:szCs w:val="24"/>
    </w:rPr>
  </w:style>
  <w:style w:type="character" w:customStyle="1" w:styleId="Kop5Char">
    <w:name w:val="Kop 5 Char"/>
    <w:basedOn w:val="Standaardalinea-lettertype"/>
    <w:link w:val="Kop5"/>
    <w:uiPriority w:val="9"/>
    <w:rsid w:val="005614FE"/>
    <w:rPr>
      <w:i/>
      <w:iCs/>
      <w:sz w:val="24"/>
      <w:szCs w:val="24"/>
    </w:rPr>
  </w:style>
  <w:style w:type="character" w:customStyle="1" w:styleId="Kop6Char">
    <w:name w:val="Kop 6 Char"/>
    <w:basedOn w:val="Standaardalinea-lettertype"/>
    <w:link w:val="Kop6"/>
    <w:uiPriority w:val="9"/>
    <w:semiHidden/>
    <w:rsid w:val="005614FE"/>
    <w:rPr>
      <w:b/>
      <w:bCs/>
      <w:color w:val="595959" w:themeColor="text1" w:themeTint="A6"/>
      <w:spacing w:val="5"/>
      <w:shd w:val="clear" w:color="auto" w:fill="FFFFFF" w:themeFill="background1"/>
    </w:rPr>
  </w:style>
  <w:style w:type="character" w:customStyle="1" w:styleId="Kop7Char">
    <w:name w:val="Kop 7 Char"/>
    <w:basedOn w:val="Standaardalinea-lettertype"/>
    <w:link w:val="Kop7"/>
    <w:uiPriority w:val="9"/>
    <w:semiHidden/>
    <w:rsid w:val="005614FE"/>
    <w:rPr>
      <w:b/>
      <w:bCs/>
      <w:i/>
      <w:iCs/>
      <w:color w:val="5A5A5A" w:themeColor="text1" w:themeTint="A5"/>
      <w:sz w:val="20"/>
      <w:szCs w:val="20"/>
    </w:rPr>
  </w:style>
  <w:style w:type="character" w:customStyle="1" w:styleId="Kop8Char">
    <w:name w:val="Kop 8 Char"/>
    <w:basedOn w:val="Standaardalinea-lettertype"/>
    <w:link w:val="Kop8"/>
    <w:uiPriority w:val="9"/>
    <w:semiHidden/>
    <w:rsid w:val="005614FE"/>
    <w:rPr>
      <w:b/>
      <w:bCs/>
      <w:color w:val="7F7F7F" w:themeColor="text1" w:themeTint="80"/>
      <w:sz w:val="20"/>
      <w:szCs w:val="20"/>
    </w:rPr>
  </w:style>
  <w:style w:type="character" w:customStyle="1" w:styleId="Kop9Char">
    <w:name w:val="Kop 9 Char"/>
    <w:basedOn w:val="Standaardalinea-lettertype"/>
    <w:link w:val="Kop9"/>
    <w:uiPriority w:val="9"/>
    <w:semiHidden/>
    <w:rsid w:val="005614FE"/>
    <w:rPr>
      <w:b/>
      <w:bCs/>
      <w:i/>
      <w:iCs/>
      <w:color w:val="7F7F7F" w:themeColor="text1" w:themeTint="80"/>
      <w:sz w:val="18"/>
      <w:szCs w:val="18"/>
    </w:rPr>
  </w:style>
  <w:style w:type="paragraph" w:styleId="Titel">
    <w:name w:val="Title"/>
    <w:basedOn w:val="Standaard"/>
    <w:next w:val="Standaard"/>
    <w:link w:val="TitelChar"/>
    <w:uiPriority w:val="10"/>
    <w:qFormat/>
    <w:rsid w:val="005614FE"/>
    <w:pPr>
      <w:spacing w:after="300" w:line="240" w:lineRule="auto"/>
      <w:contextualSpacing/>
    </w:pPr>
    <w:rPr>
      <w:smallCaps/>
      <w:sz w:val="52"/>
      <w:szCs w:val="52"/>
    </w:rPr>
  </w:style>
  <w:style w:type="character" w:customStyle="1" w:styleId="TitelChar">
    <w:name w:val="Titel Char"/>
    <w:basedOn w:val="Standaardalinea-lettertype"/>
    <w:link w:val="Titel"/>
    <w:uiPriority w:val="10"/>
    <w:rsid w:val="005614FE"/>
    <w:rPr>
      <w:smallCaps/>
      <w:sz w:val="52"/>
      <w:szCs w:val="52"/>
    </w:rPr>
  </w:style>
  <w:style w:type="paragraph" w:styleId="Ondertitel">
    <w:name w:val="Subtitle"/>
    <w:basedOn w:val="Standaard"/>
    <w:next w:val="Standaard"/>
    <w:link w:val="OndertitelChar"/>
    <w:uiPriority w:val="11"/>
    <w:qFormat/>
    <w:rsid w:val="005614FE"/>
    <w:rPr>
      <w:i/>
      <w:iCs/>
      <w:smallCaps/>
      <w:spacing w:val="10"/>
      <w:sz w:val="28"/>
      <w:szCs w:val="28"/>
    </w:rPr>
  </w:style>
  <w:style w:type="character" w:customStyle="1" w:styleId="OndertitelChar">
    <w:name w:val="Ondertitel Char"/>
    <w:basedOn w:val="Standaardalinea-lettertype"/>
    <w:link w:val="Ondertitel"/>
    <w:uiPriority w:val="11"/>
    <w:rsid w:val="005614FE"/>
    <w:rPr>
      <w:i/>
      <w:iCs/>
      <w:smallCaps/>
      <w:spacing w:val="10"/>
      <w:sz w:val="28"/>
      <w:szCs w:val="28"/>
    </w:rPr>
  </w:style>
  <w:style w:type="character" w:styleId="Zwaar">
    <w:name w:val="Strong"/>
    <w:uiPriority w:val="22"/>
    <w:qFormat/>
    <w:rsid w:val="005614FE"/>
    <w:rPr>
      <w:b/>
      <w:bCs/>
    </w:rPr>
  </w:style>
  <w:style w:type="character" w:styleId="Nadruk">
    <w:name w:val="Emphasis"/>
    <w:uiPriority w:val="20"/>
    <w:qFormat/>
    <w:rsid w:val="005614FE"/>
    <w:rPr>
      <w:b/>
      <w:bCs/>
      <w:i/>
      <w:iCs/>
      <w:spacing w:val="10"/>
    </w:rPr>
  </w:style>
  <w:style w:type="paragraph" w:styleId="Geenafstand">
    <w:name w:val="No Spacing"/>
    <w:basedOn w:val="Standaard"/>
    <w:uiPriority w:val="1"/>
    <w:qFormat/>
    <w:rsid w:val="005614FE"/>
    <w:pPr>
      <w:spacing w:after="0" w:line="240" w:lineRule="auto"/>
    </w:pPr>
  </w:style>
  <w:style w:type="paragraph" w:styleId="Lijstalinea">
    <w:name w:val="List Paragraph"/>
    <w:basedOn w:val="Standaard"/>
    <w:uiPriority w:val="34"/>
    <w:qFormat/>
    <w:rsid w:val="005614FE"/>
    <w:pPr>
      <w:ind w:left="720"/>
      <w:contextualSpacing/>
    </w:pPr>
  </w:style>
  <w:style w:type="paragraph" w:styleId="Citaat">
    <w:name w:val="Quote"/>
    <w:basedOn w:val="Standaard"/>
    <w:next w:val="Standaard"/>
    <w:link w:val="CitaatChar"/>
    <w:uiPriority w:val="29"/>
    <w:qFormat/>
    <w:rsid w:val="005614FE"/>
    <w:rPr>
      <w:i/>
      <w:iCs/>
    </w:rPr>
  </w:style>
  <w:style w:type="character" w:customStyle="1" w:styleId="CitaatChar">
    <w:name w:val="Citaat Char"/>
    <w:basedOn w:val="Standaardalinea-lettertype"/>
    <w:link w:val="Citaat"/>
    <w:uiPriority w:val="29"/>
    <w:rsid w:val="005614FE"/>
    <w:rPr>
      <w:i/>
      <w:iCs/>
    </w:rPr>
  </w:style>
  <w:style w:type="character" w:styleId="Subtielebenadrukking">
    <w:name w:val="Subtle Emphasis"/>
    <w:uiPriority w:val="19"/>
    <w:qFormat/>
    <w:rsid w:val="005614FE"/>
    <w:rPr>
      <w:i/>
      <w:iCs/>
    </w:rPr>
  </w:style>
  <w:style w:type="character" w:styleId="Intensievebenadrukking">
    <w:name w:val="Intense Emphasis"/>
    <w:uiPriority w:val="21"/>
    <w:qFormat/>
    <w:rsid w:val="005614FE"/>
    <w:rPr>
      <w:b/>
      <w:bCs/>
      <w:i/>
      <w:iCs/>
    </w:rPr>
  </w:style>
  <w:style w:type="character" w:styleId="Subtieleverwijzing">
    <w:name w:val="Subtle Reference"/>
    <w:basedOn w:val="Standaardalinea-lettertype"/>
    <w:uiPriority w:val="31"/>
    <w:qFormat/>
    <w:rsid w:val="005614FE"/>
    <w:rPr>
      <w:smallCaps/>
    </w:rPr>
  </w:style>
  <w:style w:type="character" w:styleId="Intensieveverwijzing">
    <w:name w:val="Intense Reference"/>
    <w:uiPriority w:val="32"/>
    <w:qFormat/>
    <w:rsid w:val="005614FE"/>
    <w:rPr>
      <w:b/>
      <w:bCs/>
      <w:smallCaps/>
    </w:rPr>
  </w:style>
  <w:style w:type="character" w:styleId="Titelvanboek">
    <w:name w:val="Book Title"/>
    <w:basedOn w:val="Standaardalinea-lettertype"/>
    <w:uiPriority w:val="33"/>
    <w:qFormat/>
    <w:rsid w:val="005614FE"/>
    <w:rPr>
      <w:i/>
      <w:iCs/>
      <w:smallCaps/>
      <w:spacing w:val="5"/>
    </w:rPr>
  </w:style>
  <w:style w:type="paragraph" w:styleId="Kopvaninhoudsopgave">
    <w:name w:val="TOC Heading"/>
    <w:basedOn w:val="Kop1"/>
    <w:next w:val="Standaard"/>
    <w:uiPriority w:val="39"/>
    <w:semiHidden/>
    <w:unhideWhenUsed/>
    <w:qFormat/>
    <w:rsid w:val="005614FE"/>
    <w:pPr>
      <w:outlineLvl w:val="9"/>
    </w:pPr>
  </w:style>
  <w:style w:type="table" w:styleId="Tabelraster">
    <w:name w:val="Table Grid"/>
    <w:basedOn w:val="Standaardtabel"/>
    <w:rsid w:val="00561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AB089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B0894"/>
  </w:style>
  <w:style w:type="paragraph" w:styleId="Voettekst">
    <w:name w:val="footer"/>
    <w:basedOn w:val="Standaard"/>
    <w:link w:val="VoettekstChar"/>
    <w:uiPriority w:val="99"/>
    <w:unhideWhenUsed/>
    <w:rsid w:val="00AB089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B0894"/>
  </w:style>
  <w:style w:type="paragraph" w:customStyle="1" w:styleId="CM1">
    <w:name w:val="CM1"/>
    <w:basedOn w:val="Standaard"/>
    <w:next w:val="Standaard"/>
    <w:uiPriority w:val="99"/>
    <w:rsid w:val="00E82B11"/>
    <w:pPr>
      <w:autoSpaceDE w:val="0"/>
      <w:autoSpaceDN w:val="0"/>
      <w:adjustRightInd w:val="0"/>
      <w:spacing w:after="0" w:line="240" w:lineRule="auto"/>
      <w:jc w:val="left"/>
    </w:pPr>
    <w:rPr>
      <w:rFonts w:ascii="EUAlbertina" w:hAnsi="EUAlbertina"/>
      <w:szCs w:val="24"/>
    </w:rPr>
  </w:style>
  <w:style w:type="paragraph" w:customStyle="1" w:styleId="CM3">
    <w:name w:val="CM3"/>
    <w:basedOn w:val="Standaard"/>
    <w:next w:val="Standaard"/>
    <w:uiPriority w:val="99"/>
    <w:rsid w:val="00E82B11"/>
    <w:pPr>
      <w:autoSpaceDE w:val="0"/>
      <w:autoSpaceDN w:val="0"/>
      <w:adjustRightInd w:val="0"/>
      <w:spacing w:after="0" w:line="240" w:lineRule="auto"/>
      <w:jc w:val="left"/>
    </w:pPr>
    <w:rPr>
      <w:rFonts w:ascii="EUAlbertina" w:hAnsi="EUAlbertina"/>
      <w:szCs w:val="24"/>
    </w:rPr>
  </w:style>
  <w:style w:type="character" w:styleId="Hyperlink">
    <w:name w:val="Hyperlink"/>
    <w:basedOn w:val="Standaardalinea-lettertype"/>
    <w:uiPriority w:val="99"/>
    <w:unhideWhenUsed/>
    <w:rsid w:val="00576DB6"/>
    <w:rPr>
      <w:color w:val="0000FF" w:themeColor="hyperlink"/>
      <w:u w:val="single"/>
    </w:rPr>
  </w:style>
  <w:style w:type="paragraph" w:customStyle="1" w:styleId="Default">
    <w:name w:val="Default"/>
    <w:rsid w:val="00297AA5"/>
    <w:pPr>
      <w:autoSpaceDE w:val="0"/>
      <w:autoSpaceDN w:val="0"/>
      <w:adjustRightInd w:val="0"/>
      <w:spacing w:after="0" w:line="240" w:lineRule="auto"/>
    </w:pPr>
    <w:rPr>
      <w:rFonts w:ascii="EUAlbertina" w:eastAsia="Calibri" w:hAnsi="EUAlbertina" w:cs="EUAlbertina"/>
      <w:color w:val="000000"/>
      <w:sz w:val="24"/>
      <w:szCs w:val="24"/>
    </w:rPr>
  </w:style>
  <w:style w:type="paragraph" w:styleId="Inhopg1">
    <w:name w:val="toc 1"/>
    <w:basedOn w:val="Standaard"/>
    <w:next w:val="Standaard"/>
    <w:autoRedefine/>
    <w:uiPriority w:val="39"/>
    <w:unhideWhenUsed/>
    <w:rsid w:val="00E74292"/>
    <w:pPr>
      <w:spacing w:after="100"/>
    </w:pPr>
  </w:style>
  <w:style w:type="paragraph" w:styleId="Inhopg2">
    <w:name w:val="toc 2"/>
    <w:basedOn w:val="Standaard"/>
    <w:next w:val="Standaard"/>
    <w:autoRedefine/>
    <w:uiPriority w:val="39"/>
    <w:unhideWhenUsed/>
    <w:rsid w:val="00E74292"/>
    <w:pPr>
      <w:spacing w:after="100"/>
      <w:ind w:left="240"/>
    </w:pPr>
  </w:style>
  <w:style w:type="paragraph" w:styleId="Inhopg3">
    <w:name w:val="toc 3"/>
    <w:basedOn w:val="Standaard"/>
    <w:next w:val="Standaard"/>
    <w:autoRedefine/>
    <w:uiPriority w:val="39"/>
    <w:unhideWhenUsed/>
    <w:rsid w:val="00965591"/>
    <w:pPr>
      <w:tabs>
        <w:tab w:val="left" w:pos="1100"/>
        <w:tab w:val="right" w:leader="dot" w:pos="9062"/>
      </w:tabs>
      <w:spacing w:after="100"/>
      <w:ind w:left="480"/>
    </w:pPr>
    <w:rPr>
      <w:noProof/>
    </w:rPr>
  </w:style>
  <w:style w:type="character" w:customStyle="1" w:styleId="citecrochet1">
    <w:name w:val="cite_crochet1"/>
    <w:basedOn w:val="Standaardalinea-lettertype"/>
    <w:rsid w:val="00321CB6"/>
    <w:rPr>
      <w:vanish/>
      <w:webHidden w:val="0"/>
      <w:specVanish w:val="0"/>
    </w:rPr>
  </w:style>
  <w:style w:type="paragraph" w:styleId="HTML-voorafopgemaakt">
    <w:name w:val="HTML Preformatted"/>
    <w:basedOn w:val="Standaard"/>
    <w:link w:val="HTML-voorafopgemaaktChar"/>
    <w:uiPriority w:val="99"/>
    <w:unhideWhenUsed/>
    <w:rsid w:val="00E37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val="nl-BE" w:eastAsia="nl-BE" w:bidi="ar-SA"/>
    </w:rPr>
  </w:style>
  <w:style w:type="character" w:customStyle="1" w:styleId="HTML-voorafopgemaaktChar">
    <w:name w:val="HTML - vooraf opgemaakt Char"/>
    <w:basedOn w:val="Standaardalinea-lettertype"/>
    <w:link w:val="HTML-voorafopgemaakt"/>
    <w:uiPriority w:val="99"/>
    <w:rsid w:val="00E3792E"/>
    <w:rPr>
      <w:rFonts w:ascii="Courier New" w:eastAsia="Times New Roman" w:hAnsi="Courier New" w:cs="Courier New"/>
      <w:sz w:val="20"/>
      <w:szCs w:val="20"/>
      <w:lang w:val="nl-BE" w:eastAsia="nl-BE" w:bidi="ar-SA"/>
    </w:rPr>
  </w:style>
  <w:style w:type="paragraph" w:customStyle="1" w:styleId="Letter">
    <w:name w:val="Letter"/>
    <w:basedOn w:val="Standaard"/>
    <w:rsid w:val="009B5789"/>
    <w:pPr>
      <w:spacing w:after="0" w:line="240" w:lineRule="auto"/>
      <w:jc w:val="left"/>
    </w:pPr>
    <w:rPr>
      <w:rFonts w:ascii="Arial" w:eastAsia="Times New Roman" w:hAnsi="Arial" w:cs="Times New Roman"/>
      <w:sz w:val="22"/>
      <w:szCs w:val="20"/>
      <w:lang w:eastAsia="en-US" w:bidi="ar-SA"/>
    </w:rPr>
  </w:style>
  <w:style w:type="paragraph" w:styleId="Normaalweb">
    <w:name w:val="Normal (Web)"/>
    <w:basedOn w:val="Standaard"/>
    <w:uiPriority w:val="99"/>
    <w:semiHidden/>
    <w:unhideWhenUsed/>
    <w:rsid w:val="00A779F6"/>
    <w:pPr>
      <w:spacing w:before="100" w:beforeAutospacing="1" w:after="100" w:afterAutospacing="1" w:line="240" w:lineRule="auto"/>
      <w:jc w:val="left"/>
    </w:pPr>
    <w:rPr>
      <w:rFonts w:ascii="Times New Roman" w:eastAsiaTheme="minorHAnsi" w:hAnsi="Times New Roman" w:cs="Times New Roman"/>
      <w:szCs w:val="24"/>
      <w:lang w:val="en-US" w:eastAsia="en-US" w:bidi="ar-SA"/>
    </w:rPr>
  </w:style>
  <w:style w:type="character" w:styleId="Verwijzingopmerking">
    <w:name w:val="annotation reference"/>
    <w:basedOn w:val="Standaardalinea-lettertype"/>
    <w:uiPriority w:val="99"/>
    <w:semiHidden/>
    <w:unhideWhenUsed/>
    <w:rsid w:val="00A3247B"/>
    <w:rPr>
      <w:sz w:val="16"/>
      <w:szCs w:val="16"/>
    </w:rPr>
  </w:style>
  <w:style w:type="paragraph" w:styleId="Tekstopmerking">
    <w:name w:val="annotation text"/>
    <w:basedOn w:val="Standaard"/>
    <w:link w:val="TekstopmerkingChar"/>
    <w:uiPriority w:val="99"/>
    <w:semiHidden/>
    <w:unhideWhenUsed/>
    <w:rsid w:val="00A3247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3247B"/>
    <w:rPr>
      <w:rFonts w:ascii="Gill Sans MT" w:hAnsi="Gill Sans MT"/>
      <w:sz w:val="20"/>
      <w:szCs w:val="20"/>
    </w:rPr>
  </w:style>
  <w:style w:type="paragraph" w:styleId="Onderwerpvanopmerking">
    <w:name w:val="annotation subject"/>
    <w:basedOn w:val="Tekstopmerking"/>
    <w:next w:val="Tekstopmerking"/>
    <w:link w:val="OnderwerpvanopmerkingChar"/>
    <w:uiPriority w:val="99"/>
    <w:semiHidden/>
    <w:unhideWhenUsed/>
    <w:rsid w:val="00A3247B"/>
    <w:rPr>
      <w:b/>
      <w:bCs/>
    </w:rPr>
  </w:style>
  <w:style w:type="character" w:customStyle="1" w:styleId="OnderwerpvanopmerkingChar">
    <w:name w:val="Onderwerp van opmerking Char"/>
    <w:basedOn w:val="TekstopmerkingChar"/>
    <w:link w:val="Onderwerpvanopmerking"/>
    <w:uiPriority w:val="99"/>
    <w:semiHidden/>
    <w:rsid w:val="00A3247B"/>
    <w:rPr>
      <w:rFonts w:ascii="Gill Sans MT" w:hAnsi="Gill Sans MT"/>
      <w:b/>
      <w:bCs/>
      <w:sz w:val="20"/>
      <w:szCs w:val="20"/>
    </w:rPr>
  </w:style>
  <w:style w:type="paragraph" w:styleId="Voetnoottekst">
    <w:name w:val="footnote text"/>
    <w:basedOn w:val="Standaard"/>
    <w:link w:val="VoetnoottekstChar"/>
    <w:uiPriority w:val="99"/>
    <w:rsid w:val="00A93585"/>
    <w:pPr>
      <w:spacing w:after="0" w:line="240" w:lineRule="auto"/>
    </w:pPr>
    <w:rPr>
      <w:rFonts w:ascii="Times New Roman" w:eastAsia="Times New Roman" w:hAnsi="Times New Roman" w:cs="Times New Roman"/>
      <w:sz w:val="20"/>
      <w:szCs w:val="20"/>
      <w:lang w:val="fr-BE" w:eastAsia="x-none" w:bidi="ar-SA"/>
    </w:rPr>
  </w:style>
  <w:style w:type="character" w:customStyle="1" w:styleId="VoetnoottekstChar">
    <w:name w:val="Voetnoottekst Char"/>
    <w:basedOn w:val="Standaardalinea-lettertype"/>
    <w:link w:val="Voetnoottekst"/>
    <w:uiPriority w:val="99"/>
    <w:rsid w:val="00A93585"/>
    <w:rPr>
      <w:rFonts w:ascii="Times New Roman" w:eastAsia="Times New Roman" w:hAnsi="Times New Roman" w:cs="Times New Roman"/>
      <w:sz w:val="20"/>
      <w:szCs w:val="20"/>
      <w:lang w:val="fr-BE" w:eastAsia="x-none" w:bidi="ar-SA"/>
    </w:rPr>
  </w:style>
  <w:style w:type="character" w:styleId="Voetnootmarkering">
    <w:name w:val="footnote reference"/>
    <w:basedOn w:val="Standaardalinea-lettertype"/>
    <w:uiPriority w:val="99"/>
    <w:rsid w:val="00A93585"/>
    <w:rPr>
      <w:vertAlign w:val="superscript"/>
    </w:rPr>
  </w:style>
  <w:style w:type="paragraph" w:customStyle="1" w:styleId="Pa6">
    <w:name w:val="Pa6"/>
    <w:basedOn w:val="Default"/>
    <w:next w:val="Default"/>
    <w:uiPriority w:val="99"/>
    <w:rsid w:val="00AB67E8"/>
    <w:pPr>
      <w:spacing w:line="240" w:lineRule="atLeast"/>
    </w:pPr>
    <w:rPr>
      <w:rFonts w:ascii="EC Square Sans Pro Medium" w:eastAsiaTheme="majorEastAsia" w:hAnsi="EC Square Sans Pro Medium" w:cstheme="majorBidi"/>
      <w:color w:val="auto"/>
      <w:lang w:val="nl-BE" w:bidi="ar-SA"/>
    </w:rPr>
  </w:style>
  <w:style w:type="character" w:styleId="GevolgdeHyperlink">
    <w:name w:val="FollowedHyperlink"/>
    <w:basedOn w:val="Standaardalinea-lettertype"/>
    <w:uiPriority w:val="99"/>
    <w:semiHidden/>
    <w:unhideWhenUsed/>
    <w:rsid w:val="009C3467"/>
    <w:rPr>
      <w:color w:val="800080" w:themeColor="followedHyperlink"/>
      <w:u w:val="single"/>
    </w:rPr>
  </w:style>
  <w:style w:type="paragraph" w:customStyle="1" w:styleId="Bodytekst">
    <w:name w:val="Bodytekst"/>
    <w:basedOn w:val="Standaard"/>
    <w:qFormat/>
    <w:rsid w:val="00DF7DA1"/>
    <w:pPr>
      <w:spacing w:after="0" w:line="240" w:lineRule="atLeast"/>
      <w:ind w:left="1418"/>
      <w:jc w:val="left"/>
    </w:pPr>
    <w:rPr>
      <w:rFonts w:eastAsiaTheme="minorHAnsi" w:cstheme="minorBidi"/>
      <w:szCs w:val="24"/>
      <w:lang w:val="en-US" w:eastAsia="en-US" w:bidi="ar-SA"/>
    </w:rPr>
  </w:style>
  <w:style w:type="table" w:customStyle="1" w:styleId="Grilledutableau1">
    <w:name w:val="Grille du tableau1"/>
    <w:basedOn w:val="Standaardtabel"/>
    <w:next w:val="Tabelraster"/>
    <w:rsid w:val="00A960CA"/>
    <w:pPr>
      <w:spacing w:after="0" w:line="240" w:lineRule="auto"/>
    </w:pPr>
    <w:rPr>
      <w:rFonts w:ascii="Times New Roman" w:eastAsia="Times New Roman" w:hAnsi="Times New Roman" w:cs="Times New Roman"/>
      <w:sz w:val="20"/>
      <w:szCs w:val="20"/>
      <w:lang w:val="nl-BE" w:eastAsia="nl-BE"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Standaardalinea-lettertype"/>
    <w:rsid w:val="00FF79E8"/>
  </w:style>
  <w:style w:type="paragraph" w:styleId="Tekstzonderopmaak">
    <w:name w:val="Plain Text"/>
    <w:basedOn w:val="Standaard"/>
    <w:link w:val="TekstzonderopmaakChar"/>
    <w:uiPriority w:val="99"/>
    <w:semiHidden/>
    <w:unhideWhenUsed/>
    <w:rsid w:val="00E31F46"/>
    <w:pPr>
      <w:spacing w:after="0" w:line="240" w:lineRule="auto"/>
      <w:jc w:val="left"/>
    </w:pPr>
    <w:rPr>
      <w:rFonts w:ascii="Calibri" w:eastAsiaTheme="minorHAnsi" w:hAnsi="Calibri" w:cs="Times New Roman"/>
      <w:sz w:val="22"/>
      <w:lang w:val="nl-BE" w:eastAsia="en-US" w:bidi="ar-SA"/>
    </w:rPr>
  </w:style>
  <w:style w:type="character" w:customStyle="1" w:styleId="TekstzonderopmaakChar">
    <w:name w:val="Tekst zonder opmaak Char"/>
    <w:basedOn w:val="Standaardalinea-lettertype"/>
    <w:link w:val="Tekstzonderopmaak"/>
    <w:uiPriority w:val="99"/>
    <w:semiHidden/>
    <w:rsid w:val="00E31F46"/>
    <w:rPr>
      <w:rFonts w:ascii="Calibri" w:eastAsiaTheme="minorHAnsi" w:hAnsi="Calibri" w:cs="Times New Roman"/>
      <w:lang w:val="nl-BE" w:eastAsia="en-US" w:bidi="ar-SA"/>
    </w:rPr>
  </w:style>
  <w:style w:type="paragraph" w:customStyle="1" w:styleId="simonis">
    <w:name w:val="simonis"/>
    <w:basedOn w:val="Standaard"/>
    <w:uiPriority w:val="99"/>
    <w:rsid w:val="007279F0"/>
    <w:pPr>
      <w:spacing w:after="0" w:line="280" w:lineRule="exact"/>
      <w:jc w:val="left"/>
    </w:pPr>
    <w:rPr>
      <w:rFonts w:ascii="Arial" w:eastAsiaTheme="minorHAnsi" w:hAnsi="Arial" w:cs="Arial"/>
      <w:sz w:val="18"/>
      <w:szCs w:val="18"/>
      <w:lang w:val="fr-BE" w:eastAsia="fr-BE" w:bidi="ar-SA"/>
    </w:rPr>
  </w:style>
  <w:style w:type="paragraph" w:styleId="Revisie">
    <w:name w:val="Revision"/>
    <w:hidden/>
    <w:uiPriority w:val="99"/>
    <w:semiHidden/>
    <w:rsid w:val="003955C4"/>
    <w:pPr>
      <w:spacing w:after="0" w:line="240" w:lineRule="auto"/>
    </w:pPr>
    <w:rPr>
      <w:rFonts w:ascii="Gill Sans MT" w:hAnsi="Gill Sans M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9297">
      <w:bodyDiv w:val="1"/>
      <w:marLeft w:val="0"/>
      <w:marRight w:val="0"/>
      <w:marTop w:val="0"/>
      <w:marBottom w:val="0"/>
      <w:divBdr>
        <w:top w:val="none" w:sz="0" w:space="0" w:color="auto"/>
        <w:left w:val="none" w:sz="0" w:space="0" w:color="auto"/>
        <w:bottom w:val="none" w:sz="0" w:space="0" w:color="auto"/>
        <w:right w:val="none" w:sz="0" w:space="0" w:color="auto"/>
      </w:divBdr>
      <w:divsChild>
        <w:div w:id="55978974">
          <w:marLeft w:val="0"/>
          <w:marRight w:val="0"/>
          <w:marTop w:val="0"/>
          <w:marBottom w:val="0"/>
          <w:divBdr>
            <w:top w:val="none" w:sz="0" w:space="0" w:color="auto"/>
            <w:left w:val="none" w:sz="0" w:space="0" w:color="auto"/>
            <w:bottom w:val="none" w:sz="0" w:space="0" w:color="auto"/>
            <w:right w:val="none" w:sz="0" w:space="0" w:color="auto"/>
          </w:divBdr>
          <w:divsChild>
            <w:div w:id="1945729009">
              <w:marLeft w:val="0"/>
              <w:marRight w:val="0"/>
              <w:marTop w:val="0"/>
              <w:marBottom w:val="825"/>
              <w:divBdr>
                <w:top w:val="none" w:sz="0" w:space="0" w:color="auto"/>
                <w:left w:val="none" w:sz="0" w:space="0" w:color="auto"/>
                <w:bottom w:val="none" w:sz="0" w:space="0" w:color="auto"/>
                <w:right w:val="none" w:sz="0" w:space="0" w:color="auto"/>
              </w:divBdr>
              <w:divsChild>
                <w:div w:id="121775506">
                  <w:marLeft w:val="0"/>
                  <w:marRight w:val="0"/>
                  <w:marTop w:val="0"/>
                  <w:marBottom w:val="0"/>
                  <w:divBdr>
                    <w:top w:val="none" w:sz="0" w:space="0" w:color="auto"/>
                    <w:left w:val="none" w:sz="0" w:space="0" w:color="auto"/>
                    <w:bottom w:val="none" w:sz="0" w:space="0" w:color="auto"/>
                    <w:right w:val="none" w:sz="0" w:space="0" w:color="auto"/>
                  </w:divBdr>
                  <w:divsChild>
                    <w:div w:id="1367950251">
                      <w:marLeft w:val="0"/>
                      <w:marRight w:val="0"/>
                      <w:marTop w:val="0"/>
                      <w:marBottom w:val="0"/>
                      <w:divBdr>
                        <w:top w:val="none" w:sz="0" w:space="0" w:color="auto"/>
                        <w:left w:val="none" w:sz="0" w:space="0" w:color="auto"/>
                        <w:bottom w:val="none" w:sz="0" w:space="0" w:color="auto"/>
                        <w:right w:val="none" w:sz="0" w:space="0" w:color="auto"/>
                      </w:divBdr>
                      <w:divsChild>
                        <w:div w:id="1885171588">
                          <w:marLeft w:val="0"/>
                          <w:marRight w:val="0"/>
                          <w:marTop w:val="0"/>
                          <w:marBottom w:val="0"/>
                          <w:divBdr>
                            <w:top w:val="none" w:sz="0" w:space="0" w:color="auto"/>
                            <w:left w:val="none" w:sz="0" w:space="0" w:color="auto"/>
                            <w:bottom w:val="none" w:sz="0" w:space="0" w:color="auto"/>
                            <w:right w:val="none" w:sz="0" w:space="0" w:color="auto"/>
                          </w:divBdr>
                          <w:divsChild>
                            <w:div w:id="430197611">
                              <w:marLeft w:val="0"/>
                              <w:marRight w:val="0"/>
                              <w:marTop w:val="0"/>
                              <w:marBottom w:val="0"/>
                              <w:divBdr>
                                <w:top w:val="none" w:sz="0" w:space="0" w:color="auto"/>
                                <w:left w:val="none" w:sz="0" w:space="0" w:color="auto"/>
                                <w:bottom w:val="none" w:sz="0" w:space="0" w:color="auto"/>
                                <w:right w:val="none" w:sz="0" w:space="0" w:color="auto"/>
                              </w:divBdr>
                              <w:divsChild>
                                <w:div w:id="1362316978">
                                  <w:marLeft w:val="0"/>
                                  <w:marRight w:val="0"/>
                                  <w:marTop w:val="0"/>
                                  <w:marBottom w:val="0"/>
                                  <w:divBdr>
                                    <w:top w:val="none" w:sz="0" w:space="0" w:color="auto"/>
                                    <w:left w:val="none" w:sz="0" w:space="0" w:color="auto"/>
                                    <w:bottom w:val="none" w:sz="0" w:space="0" w:color="auto"/>
                                    <w:right w:val="none" w:sz="0" w:space="0" w:color="auto"/>
                                  </w:divBdr>
                                  <w:divsChild>
                                    <w:div w:id="1802074963">
                                      <w:marLeft w:val="0"/>
                                      <w:marRight w:val="0"/>
                                      <w:marTop w:val="0"/>
                                      <w:marBottom w:val="0"/>
                                      <w:divBdr>
                                        <w:top w:val="none" w:sz="0" w:space="0" w:color="auto"/>
                                        <w:left w:val="none" w:sz="0" w:space="0" w:color="auto"/>
                                        <w:bottom w:val="none" w:sz="0" w:space="0" w:color="auto"/>
                                        <w:right w:val="none" w:sz="0" w:space="0" w:color="auto"/>
                                      </w:divBdr>
                                      <w:divsChild>
                                        <w:div w:id="619845937">
                                          <w:marLeft w:val="150"/>
                                          <w:marRight w:val="150"/>
                                          <w:marTop w:val="0"/>
                                          <w:marBottom w:val="0"/>
                                          <w:divBdr>
                                            <w:top w:val="none" w:sz="0" w:space="0" w:color="auto"/>
                                            <w:left w:val="none" w:sz="0" w:space="0" w:color="auto"/>
                                            <w:bottom w:val="none" w:sz="0" w:space="0" w:color="auto"/>
                                            <w:right w:val="none" w:sz="0" w:space="0" w:color="auto"/>
                                          </w:divBdr>
                                          <w:divsChild>
                                            <w:div w:id="463500347">
                                              <w:marLeft w:val="150"/>
                                              <w:marRight w:val="150"/>
                                              <w:marTop w:val="150"/>
                                              <w:marBottom w:val="150"/>
                                              <w:divBdr>
                                                <w:top w:val="none" w:sz="0" w:space="0" w:color="auto"/>
                                                <w:left w:val="none" w:sz="0" w:space="0" w:color="auto"/>
                                                <w:bottom w:val="none" w:sz="0" w:space="0" w:color="auto"/>
                                                <w:right w:val="none" w:sz="0" w:space="0" w:color="auto"/>
                                              </w:divBdr>
                                              <w:divsChild>
                                                <w:div w:id="668676824">
                                                  <w:marLeft w:val="0"/>
                                                  <w:marRight w:val="0"/>
                                                  <w:marTop w:val="0"/>
                                                  <w:marBottom w:val="0"/>
                                                  <w:divBdr>
                                                    <w:top w:val="none" w:sz="0" w:space="0" w:color="auto"/>
                                                    <w:left w:val="none" w:sz="0" w:space="0" w:color="auto"/>
                                                    <w:bottom w:val="none" w:sz="0" w:space="0" w:color="auto"/>
                                                    <w:right w:val="none" w:sz="0" w:space="0" w:color="auto"/>
                                                  </w:divBdr>
                                                  <w:divsChild>
                                                    <w:div w:id="59467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19688">
      <w:bodyDiv w:val="1"/>
      <w:marLeft w:val="0"/>
      <w:marRight w:val="0"/>
      <w:marTop w:val="0"/>
      <w:marBottom w:val="0"/>
      <w:divBdr>
        <w:top w:val="none" w:sz="0" w:space="0" w:color="auto"/>
        <w:left w:val="none" w:sz="0" w:space="0" w:color="auto"/>
        <w:bottom w:val="none" w:sz="0" w:space="0" w:color="auto"/>
        <w:right w:val="none" w:sz="0" w:space="0" w:color="auto"/>
      </w:divBdr>
      <w:divsChild>
        <w:div w:id="307828324">
          <w:marLeft w:val="0"/>
          <w:marRight w:val="0"/>
          <w:marTop w:val="0"/>
          <w:marBottom w:val="0"/>
          <w:divBdr>
            <w:top w:val="none" w:sz="0" w:space="0" w:color="auto"/>
            <w:left w:val="none" w:sz="0" w:space="0" w:color="auto"/>
            <w:bottom w:val="none" w:sz="0" w:space="0" w:color="auto"/>
            <w:right w:val="none" w:sz="0" w:space="0" w:color="auto"/>
          </w:divBdr>
          <w:divsChild>
            <w:div w:id="9988804">
              <w:marLeft w:val="0"/>
              <w:marRight w:val="0"/>
              <w:marTop w:val="0"/>
              <w:marBottom w:val="0"/>
              <w:divBdr>
                <w:top w:val="none" w:sz="0" w:space="0" w:color="auto"/>
                <w:left w:val="none" w:sz="0" w:space="0" w:color="auto"/>
                <w:bottom w:val="none" w:sz="0" w:space="0" w:color="auto"/>
                <w:right w:val="none" w:sz="0" w:space="0" w:color="auto"/>
              </w:divBdr>
              <w:divsChild>
                <w:div w:id="2121601092">
                  <w:marLeft w:val="0"/>
                  <w:marRight w:val="0"/>
                  <w:marTop w:val="0"/>
                  <w:marBottom w:val="0"/>
                  <w:divBdr>
                    <w:top w:val="none" w:sz="0" w:space="0" w:color="auto"/>
                    <w:left w:val="none" w:sz="0" w:space="0" w:color="auto"/>
                    <w:bottom w:val="none" w:sz="0" w:space="0" w:color="auto"/>
                    <w:right w:val="none" w:sz="0" w:space="0" w:color="auto"/>
                  </w:divBdr>
                  <w:divsChild>
                    <w:div w:id="165248325">
                      <w:marLeft w:val="-225"/>
                      <w:marRight w:val="-225"/>
                      <w:marTop w:val="0"/>
                      <w:marBottom w:val="0"/>
                      <w:divBdr>
                        <w:top w:val="none" w:sz="0" w:space="0" w:color="auto"/>
                        <w:left w:val="none" w:sz="0" w:space="0" w:color="auto"/>
                        <w:bottom w:val="none" w:sz="0" w:space="0" w:color="auto"/>
                        <w:right w:val="none" w:sz="0" w:space="0" w:color="auto"/>
                      </w:divBdr>
                      <w:divsChild>
                        <w:div w:id="748774634">
                          <w:marLeft w:val="0"/>
                          <w:marRight w:val="0"/>
                          <w:marTop w:val="0"/>
                          <w:marBottom w:val="0"/>
                          <w:divBdr>
                            <w:top w:val="none" w:sz="0" w:space="0" w:color="auto"/>
                            <w:left w:val="none" w:sz="0" w:space="0" w:color="auto"/>
                            <w:bottom w:val="none" w:sz="0" w:space="0" w:color="auto"/>
                            <w:right w:val="none" w:sz="0" w:space="0" w:color="auto"/>
                          </w:divBdr>
                          <w:divsChild>
                            <w:div w:id="76581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45760">
      <w:bodyDiv w:val="1"/>
      <w:marLeft w:val="0"/>
      <w:marRight w:val="0"/>
      <w:marTop w:val="0"/>
      <w:marBottom w:val="0"/>
      <w:divBdr>
        <w:top w:val="none" w:sz="0" w:space="0" w:color="auto"/>
        <w:left w:val="none" w:sz="0" w:space="0" w:color="auto"/>
        <w:bottom w:val="none" w:sz="0" w:space="0" w:color="auto"/>
        <w:right w:val="none" w:sz="0" w:space="0" w:color="auto"/>
      </w:divBdr>
      <w:divsChild>
        <w:div w:id="1891918431">
          <w:marLeft w:val="0"/>
          <w:marRight w:val="0"/>
          <w:marTop w:val="0"/>
          <w:marBottom w:val="0"/>
          <w:divBdr>
            <w:top w:val="none" w:sz="0" w:space="0" w:color="auto"/>
            <w:left w:val="none" w:sz="0" w:space="0" w:color="auto"/>
            <w:bottom w:val="none" w:sz="0" w:space="0" w:color="auto"/>
            <w:right w:val="none" w:sz="0" w:space="0" w:color="auto"/>
          </w:divBdr>
          <w:divsChild>
            <w:div w:id="1666588173">
              <w:marLeft w:val="0"/>
              <w:marRight w:val="0"/>
              <w:marTop w:val="0"/>
              <w:marBottom w:val="0"/>
              <w:divBdr>
                <w:top w:val="none" w:sz="0" w:space="0" w:color="auto"/>
                <w:left w:val="none" w:sz="0" w:space="0" w:color="auto"/>
                <w:bottom w:val="none" w:sz="0" w:space="0" w:color="auto"/>
                <w:right w:val="none" w:sz="0" w:space="0" w:color="auto"/>
              </w:divBdr>
              <w:divsChild>
                <w:div w:id="1068305541">
                  <w:marLeft w:val="0"/>
                  <w:marRight w:val="0"/>
                  <w:marTop w:val="0"/>
                  <w:marBottom w:val="0"/>
                  <w:divBdr>
                    <w:top w:val="none" w:sz="0" w:space="0" w:color="auto"/>
                    <w:left w:val="none" w:sz="0" w:space="0" w:color="auto"/>
                    <w:bottom w:val="none" w:sz="0" w:space="0" w:color="auto"/>
                    <w:right w:val="none" w:sz="0" w:space="0" w:color="auto"/>
                  </w:divBdr>
                  <w:divsChild>
                    <w:div w:id="336427935">
                      <w:marLeft w:val="0"/>
                      <w:marRight w:val="0"/>
                      <w:marTop w:val="0"/>
                      <w:marBottom w:val="0"/>
                      <w:divBdr>
                        <w:top w:val="none" w:sz="0" w:space="0" w:color="auto"/>
                        <w:left w:val="none" w:sz="0" w:space="0" w:color="auto"/>
                        <w:bottom w:val="none" w:sz="0" w:space="0" w:color="auto"/>
                        <w:right w:val="none" w:sz="0" w:space="0" w:color="auto"/>
                      </w:divBdr>
                      <w:divsChild>
                        <w:div w:id="1092703232">
                          <w:marLeft w:val="0"/>
                          <w:marRight w:val="0"/>
                          <w:marTop w:val="0"/>
                          <w:marBottom w:val="0"/>
                          <w:divBdr>
                            <w:top w:val="none" w:sz="0" w:space="0" w:color="auto"/>
                            <w:left w:val="none" w:sz="0" w:space="0" w:color="auto"/>
                            <w:bottom w:val="none" w:sz="0" w:space="0" w:color="auto"/>
                            <w:right w:val="none" w:sz="0" w:space="0" w:color="auto"/>
                          </w:divBdr>
                          <w:divsChild>
                            <w:div w:id="1079910484">
                              <w:marLeft w:val="0"/>
                              <w:marRight w:val="0"/>
                              <w:marTop w:val="0"/>
                              <w:marBottom w:val="0"/>
                              <w:divBdr>
                                <w:top w:val="none" w:sz="0" w:space="0" w:color="auto"/>
                                <w:left w:val="none" w:sz="0" w:space="0" w:color="auto"/>
                                <w:bottom w:val="none" w:sz="0" w:space="0" w:color="auto"/>
                                <w:right w:val="none" w:sz="0" w:space="0" w:color="auto"/>
                              </w:divBdr>
                              <w:divsChild>
                                <w:div w:id="1831288658">
                                  <w:marLeft w:val="0"/>
                                  <w:marRight w:val="0"/>
                                  <w:marTop w:val="0"/>
                                  <w:marBottom w:val="0"/>
                                  <w:divBdr>
                                    <w:top w:val="none" w:sz="0" w:space="0" w:color="auto"/>
                                    <w:left w:val="none" w:sz="0" w:space="0" w:color="auto"/>
                                    <w:bottom w:val="none" w:sz="0" w:space="0" w:color="auto"/>
                                    <w:right w:val="none" w:sz="0" w:space="0" w:color="auto"/>
                                  </w:divBdr>
                                  <w:divsChild>
                                    <w:div w:id="1324433609">
                                      <w:marLeft w:val="0"/>
                                      <w:marRight w:val="0"/>
                                      <w:marTop w:val="0"/>
                                      <w:marBottom w:val="0"/>
                                      <w:divBdr>
                                        <w:top w:val="none" w:sz="0" w:space="0" w:color="auto"/>
                                        <w:left w:val="none" w:sz="0" w:space="0" w:color="auto"/>
                                        <w:bottom w:val="none" w:sz="0" w:space="0" w:color="auto"/>
                                        <w:right w:val="none" w:sz="0" w:space="0" w:color="auto"/>
                                      </w:divBdr>
                                      <w:divsChild>
                                        <w:div w:id="138768777">
                                          <w:marLeft w:val="0"/>
                                          <w:marRight w:val="0"/>
                                          <w:marTop w:val="0"/>
                                          <w:marBottom w:val="0"/>
                                          <w:divBdr>
                                            <w:top w:val="none" w:sz="0" w:space="0" w:color="auto"/>
                                            <w:left w:val="none" w:sz="0" w:space="0" w:color="auto"/>
                                            <w:bottom w:val="none" w:sz="0" w:space="0" w:color="auto"/>
                                            <w:right w:val="none" w:sz="0" w:space="0" w:color="auto"/>
                                          </w:divBdr>
                                          <w:divsChild>
                                            <w:div w:id="27267957">
                                              <w:marLeft w:val="0"/>
                                              <w:marRight w:val="0"/>
                                              <w:marTop w:val="0"/>
                                              <w:marBottom w:val="0"/>
                                              <w:divBdr>
                                                <w:top w:val="none" w:sz="0" w:space="0" w:color="auto"/>
                                                <w:left w:val="none" w:sz="0" w:space="0" w:color="auto"/>
                                                <w:bottom w:val="none" w:sz="0" w:space="0" w:color="auto"/>
                                                <w:right w:val="none" w:sz="0" w:space="0" w:color="auto"/>
                                              </w:divBdr>
                                              <w:divsChild>
                                                <w:div w:id="65686610">
                                                  <w:marLeft w:val="0"/>
                                                  <w:marRight w:val="0"/>
                                                  <w:marTop w:val="0"/>
                                                  <w:marBottom w:val="0"/>
                                                  <w:divBdr>
                                                    <w:top w:val="none" w:sz="0" w:space="0" w:color="auto"/>
                                                    <w:left w:val="none" w:sz="0" w:space="0" w:color="auto"/>
                                                    <w:bottom w:val="none" w:sz="0" w:space="0" w:color="auto"/>
                                                    <w:right w:val="none" w:sz="0" w:space="0" w:color="auto"/>
                                                  </w:divBdr>
                                                  <w:divsChild>
                                                    <w:div w:id="1183130610">
                                                      <w:marLeft w:val="0"/>
                                                      <w:marRight w:val="0"/>
                                                      <w:marTop w:val="0"/>
                                                      <w:marBottom w:val="0"/>
                                                      <w:divBdr>
                                                        <w:top w:val="none" w:sz="0" w:space="0" w:color="auto"/>
                                                        <w:left w:val="none" w:sz="0" w:space="0" w:color="auto"/>
                                                        <w:bottom w:val="none" w:sz="0" w:space="0" w:color="auto"/>
                                                        <w:right w:val="none" w:sz="0" w:space="0" w:color="auto"/>
                                                      </w:divBdr>
                                                      <w:divsChild>
                                                        <w:div w:id="603535606">
                                                          <w:marLeft w:val="0"/>
                                                          <w:marRight w:val="0"/>
                                                          <w:marTop w:val="0"/>
                                                          <w:marBottom w:val="0"/>
                                                          <w:divBdr>
                                                            <w:top w:val="none" w:sz="0" w:space="0" w:color="auto"/>
                                                            <w:left w:val="single" w:sz="6" w:space="0" w:color="DCDCDC"/>
                                                            <w:bottom w:val="none" w:sz="0" w:space="0" w:color="auto"/>
                                                            <w:right w:val="single" w:sz="6" w:space="0" w:color="DCDCDC"/>
                                                          </w:divBdr>
                                                          <w:divsChild>
                                                            <w:div w:id="186069753">
                                                              <w:marLeft w:val="0"/>
                                                              <w:marRight w:val="0"/>
                                                              <w:marTop w:val="0"/>
                                                              <w:marBottom w:val="0"/>
                                                              <w:divBdr>
                                                                <w:top w:val="none" w:sz="0" w:space="0" w:color="auto"/>
                                                                <w:left w:val="none" w:sz="0" w:space="0" w:color="auto"/>
                                                                <w:bottom w:val="none" w:sz="0" w:space="0" w:color="auto"/>
                                                                <w:right w:val="none" w:sz="0" w:space="0" w:color="auto"/>
                                                              </w:divBdr>
                                                              <w:divsChild>
                                                                <w:div w:id="1154953490">
                                                                  <w:marLeft w:val="0"/>
                                                                  <w:marRight w:val="0"/>
                                                                  <w:marTop w:val="0"/>
                                                                  <w:marBottom w:val="0"/>
                                                                  <w:divBdr>
                                                                    <w:top w:val="none" w:sz="0" w:space="0" w:color="auto"/>
                                                                    <w:left w:val="none" w:sz="0" w:space="0" w:color="auto"/>
                                                                    <w:bottom w:val="none" w:sz="0" w:space="0" w:color="auto"/>
                                                                    <w:right w:val="none" w:sz="0" w:space="0" w:color="auto"/>
                                                                  </w:divBdr>
                                                                  <w:divsChild>
                                                                    <w:div w:id="635380950">
                                                                      <w:marLeft w:val="0"/>
                                                                      <w:marRight w:val="0"/>
                                                                      <w:marTop w:val="0"/>
                                                                      <w:marBottom w:val="0"/>
                                                                      <w:divBdr>
                                                                        <w:top w:val="none" w:sz="0" w:space="0" w:color="auto"/>
                                                                        <w:left w:val="none" w:sz="0" w:space="0" w:color="auto"/>
                                                                        <w:bottom w:val="none" w:sz="0" w:space="0" w:color="auto"/>
                                                                        <w:right w:val="none" w:sz="0" w:space="0" w:color="auto"/>
                                                                      </w:divBdr>
                                                                      <w:divsChild>
                                                                        <w:div w:id="1796557370">
                                                                          <w:marLeft w:val="0"/>
                                                                          <w:marRight w:val="0"/>
                                                                          <w:marTop w:val="0"/>
                                                                          <w:marBottom w:val="0"/>
                                                                          <w:divBdr>
                                                                            <w:top w:val="none" w:sz="0" w:space="0" w:color="auto"/>
                                                                            <w:left w:val="none" w:sz="0" w:space="0" w:color="auto"/>
                                                                            <w:bottom w:val="none" w:sz="0" w:space="0" w:color="auto"/>
                                                                            <w:right w:val="none" w:sz="0" w:space="0" w:color="auto"/>
                                                                          </w:divBdr>
                                                                          <w:divsChild>
                                                                            <w:div w:id="1269893774">
                                                                              <w:marLeft w:val="0"/>
                                                                              <w:marRight w:val="0"/>
                                                                              <w:marTop w:val="0"/>
                                                                              <w:marBottom w:val="0"/>
                                                                              <w:divBdr>
                                                                                <w:top w:val="none" w:sz="0" w:space="0" w:color="auto"/>
                                                                                <w:left w:val="none" w:sz="0" w:space="0" w:color="auto"/>
                                                                                <w:bottom w:val="none" w:sz="0" w:space="0" w:color="auto"/>
                                                                                <w:right w:val="none" w:sz="0" w:space="0" w:color="auto"/>
                                                                              </w:divBdr>
                                                                              <w:divsChild>
                                                                                <w:div w:id="764113957">
                                                                                  <w:marLeft w:val="0"/>
                                                                                  <w:marRight w:val="0"/>
                                                                                  <w:marTop w:val="0"/>
                                                                                  <w:marBottom w:val="0"/>
                                                                                  <w:divBdr>
                                                                                    <w:top w:val="none" w:sz="0" w:space="0" w:color="auto"/>
                                                                                    <w:left w:val="none" w:sz="0" w:space="0" w:color="auto"/>
                                                                                    <w:bottom w:val="none" w:sz="0" w:space="0" w:color="auto"/>
                                                                                    <w:right w:val="none" w:sz="0" w:space="0" w:color="auto"/>
                                                                                  </w:divBdr>
                                                                                  <w:divsChild>
                                                                                    <w:div w:id="677856062">
                                                                                      <w:marLeft w:val="0"/>
                                                                                      <w:marRight w:val="0"/>
                                                                                      <w:marTop w:val="0"/>
                                                                                      <w:marBottom w:val="0"/>
                                                                                      <w:divBdr>
                                                                                        <w:top w:val="none" w:sz="0" w:space="0" w:color="auto"/>
                                                                                        <w:left w:val="none" w:sz="0" w:space="0" w:color="auto"/>
                                                                                        <w:bottom w:val="none" w:sz="0" w:space="0" w:color="auto"/>
                                                                                        <w:right w:val="none" w:sz="0" w:space="0" w:color="auto"/>
                                                                                      </w:divBdr>
                                                                                      <w:divsChild>
                                                                                        <w:div w:id="1711146606">
                                                                                          <w:marLeft w:val="0"/>
                                                                                          <w:marRight w:val="0"/>
                                                                                          <w:marTop w:val="0"/>
                                                                                          <w:marBottom w:val="0"/>
                                                                                          <w:divBdr>
                                                                                            <w:top w:val="none" w:sz="0" w:space="0" w:color="auto"/>
                                                                                            <w:left w:val="none" w:sz="0" w:space="0" w:color="auto"/>
                                                                                            <w:bottom w:val="none" w:sz="0" w:space="0" w:color="auto"/>
                                                                                            <w:right w:val="none" w:sz="0" w:space="0" w:color="auto"/>
                                                                                          </w:divBdr>
                                                                                          <w:divsChild>
                                                                                            <w:div w:id="1587110061">
                                                                                              <w:marLeft w:val="0"/>
                                                                                              <w:marRight w:val="0"/>
                                                                                              <w:marTop w:val="0"/>
                                                                                              <w:marBottom w:val="0"/>
                                                                                              <w:divBdr>
                                                                                                <w:top w:val="none" w:sz="0" w:space="0" w:color="auto"/>
                                                                                                <w:left w:val="none" w:sz="0" w:space="0" w:color="auto"/>
                                                                                                <w:bottom w:val="none" w:sz="0" w:space="0" w:color="auto"/>
                                                                                                <w:right w:val="none" w:sz="0" w:space="0" w:color="auto"/>
                                                                                              </w:divBdr>
                                                                                              <w:divsChild>
                                                                                                <w:div w:id="1100878004">
                                                                                                  <w:marLeft w:val="0"/>
                                                                                                  <w:marRight w:val="0"/>
                                                                                                  <w:marTop w:val="0"/>
                                                                                                  <w:marBottom w:val="0"/>
                                                                                                  <w:divBdr>
                                                                                                    <w:top w:val="none" w:sz="0" w:space="0" w:color="auto"/>
                                                                                                    <w:left w:val="none" w:sz="0" w:space="0" w:color="auto"/>
                                                                                                    <w:bottom w:val="none" w:sz="0" w:space="0" w:color="auto"/>
                                                                                                    <w:right w:val="none" w:sz="0" w:space="0" w:color="auto"/>
                                                                                                  </w:divBdr>
                                                                                                  <w:divsChild>
                                                                                                    <w:div w:id="1028872096">
                                                                                                      <w:marLeft w:val="0"/>
                                                                                                      <w:marRight w:val="0"/>
                                                                                                      <w:marTop w:val="0"/>
                                                                                                      <w:marBottom w:val="0"/>
                                                                                                      <w:divBdr>
                                                                                                        <w:top w:val="none" w:sz="0" w:space="0" w:color="auto"/>
                                                                                                        <w:left w:val="none" w:sz="0" w:space="0" w:color="auto"/>
                                                                                                        <w:bottom w:val="none" w:sz="0" w:space="0" w:color="auto"/>
                                                                                                        <w:right w:val="none" w:sz="0" w:space="0" w:color="auto"/>
                                                                                                      </w:divBdr>
                                                                                                      <w:divsChild>
                                                                                                        <w:div w:id="1969430215">
                                                                                                          <w:marLeft w:val="0"/>
                                                                                                          <w:marRight w:val="0"/>
                                                                                                          <w:marTop w:val="0"/>
                                                                                                          <w:marBottom w:val="0"/>
                                                                                                          <w:divBdr>
                                                                                                            <w:top w:val="none" w:sz="0" w:space="0" w:color="auto"/>
                                                                                                            <w:left w:val="none" w:sz="0" w:space="0" w:color="auto"/>
                                                                                                            <w:bottom w:val="none" w:sz="0" w:space="0" w:color="auto"/>
                                                                                                            <w:right w:val="none" w:sz="0" w:space="0" w:color="auto"/>
                                                                                                          </w:divBdr>
                                                                                                          <w:divsChild>
                                                                                                            <w:div w:id="529222868">
                                                                                                              <w:marLeft w:val="0"/>
                                                                                                              <w:marRight w:val="0"/>
                                                                                                              <w:marTop w:val="0"/>
                                                                                                              <w:marBottom w:val="0"/>
                                                                                                              <w:divBdr>
                                                                                                                <w:top w:val="none" w:sz="0" w:space="0" w:color="auto"/>
                                                                                                                <w:left w:val="none" w:sz="0" w:space="0" w:color="auto"/>
                                                                                                                <w:bottom w:val="none" w:sz="0" w:space="0" w:color="auto"/>
                                                                                                                <w:right w:val="none" w:sz="0" w:space="0" w:color="auto"/>
                                                                                                              </w:divBdr>
                                                                                                              <w:divsChild>
                                                                                                                <w:div w:id="873806639">
                                                                                                                  <w:marLeft w:val="0"/>
                                                                                                                  <w:marRight w:val="0"/>
                                                                                                                  <w:marTop w:val="0"/>
                                                                                                                  <w:marBottom w:val="0"/>
                                                                                                                  <w:divBdr>
                                                                                                                    <w:top w:val="none" w:sz="0" w:space="0" w:color="auto"/>
                                                                                                                    <w:left w:val="none" w:sz="0" w:space="0" w:color="auto"/>
                                                                                                                    <w:bottom w:val="none" w:sz="0" w:space="0" w:color="auto"/>
                                                                                                                    <w:right w:val="none" w:sz="0" w:space="0" w:color="auto"/>
                                                                                                                  </w:divBdr>
                                                                                                                  <w:divsChild>
                                                                                                                    <w:div w:id="392588187">
                                                                                                                      <w:marLeft w:val="0"/>
                                                                                                                      <w:marRight w:val="0"/>
                                                                                                                      <w:marTop w:val="0"/>
                                                                                                                      <w:marBottom w:val="0"/>
                                                                                                                      <w:divBdr>
                                                                                                                        <w:top w:val="none" w:sz="0" w:space="0" w:color="auto"/>
                                                                                                                        <w:left w:val="single" w:sz="6" w:space="0" w:color="DCDCDC"/>
                                                                                                                        <w:bottom w:val="none" w:sz="0" w:space="0" w:color="auto"/>
                                                                                                                        <w:right w:val="single" w:sz="6" w:space="0" w:color="DCDCDC"/>
                                                                                                                      </w:divBdr>
                                                                                                                      <w:divsChild>
                                                                                                                        <w:div w:id="757485217">
                                                                                                                          <w:marLeft w:val="0"/>
                                                                                                                          <w:marRight w:val="0"/>
                                                                                                                          <w:marTop w:val="0"/>
                                                                                                                          <w:marBottom w:val="0"/>
                                                                                                                          <w:divBdr>
                                                                                                                            <w:top w:val="none" w:sz="0" w:space="0" w:color="auto"/>
                                                                                                                            <w:left w:val="none" w:sz="0" w:space="0" w:color="auto"/>
                                                                                                                            <w:bottom w:val="none" w:sz="0" w:space="0" w:color="auto"/>
                                                                                                                            <w:right w:val="none" w:sz="0" w:space="0" w:color="auto"/>
                                                                                                                          </w:divBdr>
                                                                                                                          <w:divsChild>
                                                                                                                            <w:div w:id="412707058">
                                                                                                                              <w:marLeft w:val="0"/>
                                                                                                                              <w:marRight w:val="0"/>
                                                                                                                              <w:marTop w:val="0"/>
                                                                                                                              <w:marBottom w:val="0"/>
                                                                                                                              <w:divBdr>
                                                                                                                                <w:top w:val="none" w:sz="0" w:space="0" w:color="auto"/>
                                                                                                                                <w:left w:val="none" w:sz="0" w:space="0" w:color="auto"/>
                                                                                                                                <w:bottom w:val="none" w:sz="0" w:space="0" w:color="auto"/>
                                                                                                                                <w:right w:val="none" w:sz="0" w:space="0" w:color="auto"/>
                                                                                                                              </w:divBdr>
                                                                                                                              <w:divsChild>
                                                                                                                                <w:div w:id="2104915456">
                                                                                                                                  <w:marLeft w:val="0"/>
                                                                                                                                  <w:marRight w:val="0"/>
                                                                                                                                  <w:marTop w:val="0"/>
                                                                                                                                  <w:marBottom w:val="0"/>
                                                                                                                                  <w:divBdr>
                                                                                                                                    <w:top w:val="none" w:sz="0" w:space="0" w:color="auto"/>
                                                                                                                                    <w:left w:val="none" w:sz="0" w:space="0" w:color="auto"/>
                                                                                                                                    <w:bottom w:val="none" w:sz="0" w:space="0" w:color="auto"/>
                                                                                                                                    <w:right w:val="none" w:sz="0" w:space="0" w:color="auto"/>
                                                                                                                                  </w:divBdr>
                                                                                                                                  <w:divsChild>
                                                                                                                                    <w:div w:id="2139100448">
                                                                                                                                      <w:marLeft w:val="0"/>
                                                                                                                                      <w:marRight w:val="0"/>
                                                                                                                                      <w:marTop w:val="0"/>
                                                                                                                                      <w:marBottom w:val="0"/>
                                                                                                                                      <w:divBdr>
                                                                                                                                        <w:top w:val="none" w:sz="0" w:space="0" w:color="auto"/>
                                                                                                                                        <w:left w:val="none" w:sz="0" w:space="0" w:color="auto"/>
                                                                                                                                        <w:bottom w:val="none" w:sz="0" w:space="0" w:color="auto"/>
                                                                                                                                        <w:right w:val="none" w:sz="0" w:space="0" w:color="auto"/>
                                                                                                                                      </w:divBdr>
                                                                                                                                      <w:divsChild>
                                                                                                                                        <w:div w:id="1341391692">
                                                                                                                                          <w:marLeft w:val="0"/>
                                                                                                                                          <w:marRight w:val="0"/>
                                                                                                                                          <w:marTop w:val="0"/>
                                                                                                                                          <w:marBottom w:val="0"/>
                                                                                                                                          <w:divBdr>
                                                                                                                                            <w:top w:val="none" w:sz="0" w:space="0" w:color="auto"/>
                                                                                                                                            <w:left w:val="none" w:sz="0" w:space="0" w:color="auto"/>
                                                                                                                                            <w:bottom w:val="none" w:sz="0" w:space="0" w:color="auto"/>
                                                                                                                                            <w:right w:val="none" w:sz="0" w:space="0" w:color="auto"/>
                                                                                                                                          </w:divBdr>
                                                                                                                                          <w:divsChild>
                                                                                                                                            <w:div w:id="813913970">
                                                                                                                                              <w:marLeft w:val="0"/>
                                                                                                                                              <w:marRight w:val="0"/>
                                                                                                                                              <w:marTop w:val="0"/>
                                                                                                                                              <w:marBottom w:val="0"/>
                                                                                                                                              <w:divBdr>
                                                                                                                                                <w:top w:val="none" w:sz="0" w:space="0" w:color="auto"/>
                                                                                                                                                <w:left w:val="none" w:sz="0" w:space="0" w:color="auto"/>
                                                                                                                                                <w:bottom w:val="none" w:sz="0" w:space="0" w:color="auto"/>
                                                                                                                                                <w:right w:val="none" w:sz="0" w:space="0" w:color="auto"/>
                                                                                                                                              </w:divBdr>
                                                                                                                                              <w:divsChild>
                                                                                                                                                <w:div w:id="147541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23502">
      <w:bodyDiv w:val="1"/>
      <w:marLeft w:val="0"/>
      <w:marRight w:val="0"/>
      <w:marTop w:val="0"/>
      <w:marBottom w:val="0"/>
      <w:divBdr>
        <w:top w:val="none" w:sz="0" w:space="0" w:color="auto"/>
        <w:left w:val="none" w:sz="0" w:space="0" w:color="auto"/>
        <w:bottom w:val="none" w:sz="0" w:space="0" w:color="auto"/>
        <w:right w:val="none" w:sz="0" w:space="0" w:color="auto"/>
      </w:divBdr>
    </w:div>
    <w:div w:id="88628553">
      <w:bodyDiv w:val="1"/>
      <w:marLeft w:val="0"/>
      <w:marRight w:val="0"/>
      <w:marTop w:val="0"/>
      <w:marBottom w:val="0"/>
      <w:divBdr>
        <w:top w:val="none" w:sz="0" w:space="0" w:color="auto"/>
        <w:left w:val="none" w:sz="0" w:space="0" w:color="auto"/>
        <w:bottom w:val="none" w:sz="0" w:space="0" w:color="auto"/>
        <w:right w:val="none" w:sz="0" w:space="0" w:color="auto"/>
      </w:divBdr>
    </w:div>
    <w:div w:id="146288198">
      <w:bodyDiv w:val="1"/>
      <w:marLeft w:val="0"/>
      <w:marRight w:val="0"/>
      <w:marTop w:val="0"/>
      <w:marBottom w:val="0"/>
      <w:divBdr>
        <w:top w:val="none" w:sz="0" w:space="0" w:color="auto"/>
        <w:left w:val="none" w:sz="0" w:space="0" w:color="auto"/>
        <w:bottom w:val="none" w:sz="0" w:space="0" w:color="auto"/>
        <w:right w:val="none" w:sz="0" w:space="0" w:color="auto"/>
      </w:divBdr>
      <w:divsChild>
        <w:div w:id="754788849">
          <w:marLeft w:val="0"/>
          <w:marRight w:val="0"/>
          <w:marTop w:val="0"/>
          <w:marBottom w:val="0"/>
          <w:divBdr>
            <w:top w:val="none" w:sz="0" w:space="0" w:color="auto"/>
            <w:left w:val="none" w:sz="0" w:space="0" w:color="auto"/>
            <w:bottom w:val="none" w:sz="0" w:space="0" w:color="auto"/>
            <w:right w:val="none" w:sz="0" w:space="0" w:color="auto"/>
          </w:divBdr>
          <w:divsChild>
            <w:div w:id="483399492">
              <w:marLeft w:val="0"/>
              <w:marRight w:val="0"/>
              <w:marTop w:val="0"/>
              <w:marBottom w:val="0"/>
              <w:divBdr>
                <w:top w:val="none" w:sz="0" w:space="0" w:color="auto"/>
                <w:left w:val="none" w:sz="0" w:space="0" w:color="auto"/>
                <w:bottom w:val="none" w:sz="0" w:space="0" w:color="auto"/>
                <w:right w:val="none" w:sz="0" w:space="0" w:color="auto"/>
              </w:divBdr>
              <w:divsChild>
                <w:div w:id="864830796">
                  <w:marLeft w:val="0"/>
                  <w:marRight w:val="0"/>
                  <w:marTop w:val="0"/>
                  <w:marBottom w:val="0"/>
                  <w:divBdr>
                    <w:top w:val="none" w:sz="0" w:space="0" w:color="auto"/>
                    <w:left w:val="none" w:sz="0" w:space="0" w:color="auto"/>
                    <w:bottom w:val="none" w:sz="0" w:space="0" w:color="auto"/>
                    <w:right w:val="none" w:sz="0" w:space="0" w:color="auto"/>
                  </w:divBdr>
                  <w:divsChild>
                    <w:div w:id="1680546729">
                      <w:marLeft w:val="0"/>
                      <w:marRight w:val="0"/>
                      <w:marTop w:val="0"/>
                      <w:marBottom w:val="0"/>
                      <w:divBdr>
                        <w:top w:val="none" w:sz="0" w:space="0" w:color="auto"/>
                        <w:left w:val="none" w:sz="0" w:space="0" w:color="auto"/>
                        <w:bottom w:val="none" w:sz="0" w:space="0" w:color="auto"/>
                        <w:right w:val="none" w:sz="0" w:space="0" w:color="auto"/>
                      </w:divBdr>
                      <w:divsChild>
                        <w:div w:id="611865735">
                          <w:marLeft w:val="0"/>
                          <w:marRight w:val="0"/>
                          <w:marTop w:val="45"/>
                          <w:marBottom w:val="0"/>
                          <w:divBdr>
                            <w:top w:val="none" w:sz="0" w:space="0" w:color="auto"/>
                            <w:left w:val="none" w:sz="0" w:space="0" w:color="auto"/>
                            <w:bottom w:val="none" w:sz="0" w:space="0" w:color="auto"/>
                            <w:right w:val="none" w:sz="0" w:space="0" w:color="auto"/>
                          </w:divBdr>
                          <w:divsChild>
                            <w:div w:id="1302733080">
                              <w:marLeft w:val="0"/>
                              <w:marRight w:val="0"/>
                              <w:marTop w:val="0"/>
                              <w:marBottom w:val="0"/>
                              <w:divBdr>
                                <w:top w:val="none" w:sz="0" w:space="0" w:color="auto"/>
                                <w:left w:val="none" w:sz="0" w:space="0" w:color="auto"/>
                                <w:bottom w:val="none" w:sz="0" w:space="0" w:color="auto"/>
                                <w:right w:val="none" w:sz="0" w:space="0" w:color="auto"/>
                              </w:divBdr>
                              <w:divsChild>
                                <w:div w:id="402601282">
                                  <w:marLeft w:val="2070"/>
                                  <w:marRight w:val="3810"/>
                                  <w:marTop w:val="0"/>
                                  <w:marBottom w:val="0"/>
                                  <w:divBdr>
                                    <w:top w:val="none" w:sz="0" w:space="0" w:color="auto"/>
                                    <w:left w:val="none" w:sz="0" w:space="0" w:color="auto"/>
                                    <w:bottom w:val="none" w:sz="0" w:space="0" w:color="auto"/>
                                    <w:right w:val="none" w:sz="0" w:space="0" w:color="auto"/>
                                  </w:divBdr>
                                  <w:divsChild>
                                    <w:div w:id="873427840">
                                      <w:marLeft w:val="0"/>
                                      <w:marRight w:val="0"/>
                                      <w:marTop w:val="0"/>
                                      <w:marBottom w:val="0"/>
                                      <w:divBdr>
                                        <w:top w:val="none" w:sz="0" w:space="0" w:color="auto"/>
                                        <w:left w:val="none" w:sz="0" w:space="0" w:color="auto"/>
                                        <w:bottom w:val="none" w:sz="0" w:space="0" w:color="auto"/>
                                        <w:right w:val="none" w:sz="0" w:space="0" w:color="auto"/>
                                      </w:divBdr>
                                      <w:divsChild>
                                        <w:div w:id="1424911876">
                                          <w:marLeft w:val="0"/>
                                          <w:marRight w:val="0"/>
                                          <w:marTop w:val="0"/>
                                          <w:marBottom w:val="0"/>
                                          <w:divBdr>
                                            <w:top w:val="none" w:sz="0" w:space="0" w:color="auto"/>
                                            <w:left w:val="none" w:sz="0" w:space="0" w:color="auto"/>
                                            <w:bottom w:val="none" w:sz="0" w:space="0" w:color="auto"/>
                                            <w:right w:val="none" w:sz="0" w:space="0" w:color="auto"/>
                                          </w:divBdr>
                                          <w:divsChild>
                                            <w:div w:id="1848515828">
                                              <w:marLeft w:val="0"/>
                                              <w:marRight w:val="0"/>
                                              <w:marTop w:val="0"/>
                                              <w:marBottom w:val="0"/>
                                              <w:divBdr>
                                                <w:top w:val="none" w:sz="0" w:space="0" w:color="auto"/>
                                                <w:left w:val="none" w:sz="0" w:space="0" w:color="auto"/>
                                                <w:bottom w:val="none" w:sz="0" w:space="0" w:color="auto"/>
                                                <w:right w:val="none" w:sz="0" w:space="0" w:color="auto"/>
                                              </w:divBdr>
                                              <w:divsChild>
                                                <w:div w:id="273097686">
                                                  <w:marLeft w:val="0"/>
                                                  <w:marRight w:val="0"/>
                                                  <w:marTop w:val="0"/>
                                                  <w:marBottom w:val="0"/>
                                                  <w:divBdr>
                                                    <w:top w:val="none" w:sz="0" w:space="0" w:color="auto"/>
                                                    <w:left w:val="none" w:sz="0" w:space="0" w:color="auto"/>
                                                    <w:bottom w:val="none" w:sz="0" w:space="0" w:color="auto"/>
                                                    <w:right w:val="none" w:sz="0" w:space="0" w:color="auto"/>
                                                  </w:divBdr>
                                                  <w:divsChild>
                                                    <w:div w:id="599994085">
                                                      <w:marLeft w:val="0"/>
                                                      <w:marRight w:val="0"/>
                                                      <w:marTop w:val="0"/>
                                                      <w:marBottom w:val="0"/>
                                                      <w:divBdr>
                                                        <w:top w:val="none" w:sz="0" w:space="0" w:color="auto"/>
                                                        <w:left w:val="none" w:sz="0" w:space="0" w:color="auto"/>
                                                        <w:bottom w:val="none" w:sz="0" w:space="0" w:color="auto"/>
                                                        <w:right w:val="none" w:sz="0" w:space="0" w:color="auto"/>
                                                      </w:divBdr>
                                                      <w:divsChild>
                                                        <w:div w:id="1212767783">
                                                          <w:marLeft w:val="0"/>
                                                          <w:marRight w:val="0"/>
                                                          <w:marTop w:val="0"/>
                                                          <w:marBottom w:val="345"/>
                                                          <w:divBdr>
                                                            <w:top w:val="none" w:sz="0" w:space="0" w:color="auto"/>
                                                            <w:left w:val="none" w:sz="0" w:space="0" w:color="auto"/>
                                                            <w:bottom w:val="none" w:sz="0" w:space="0" w:color="auto"/>
                                                            <w:right w:val="none" w:sz="0" w:space="0" w:color="auto"/>
                                                          </w:divBdr>
                                                          <w:divsChild>
                                                            <w:div w:id="836187715">
                                                              <w:marLeft w:val="0"/>
                                                              <w:marRight w:val="0"/>
                                                              <w:marTop w:val="0"/>
                                                              <w:marBottom w:val="0"/>
                                                              <w:divBdr>
                                                                <w:top w:val="none" w:sz="0" w:space="0" w:color="auto"/>
                                                                <w:left w:val="none" w:sz="0" w:space="0" w:color="auto"/>
                                                                <w:bottom w:val="none" w:sz="0" w:space="0" w:color="auto"/>
                                                                <w:right w:val="none" w:sz="0" w:space="0" w:color="auto"/>
                                                              </w:divBdr>
                                                              <w:divsChild>
                                                                <w:div w:id="1969120378">
                                                                  <w:marLeft w:val="0"/>
                                                                  <w:marRight w:val="0"/>
                                                                  <w:marTop w:val="0"/>
                                                                  <w:marBottom w:val="0"/>
                                                                  <w:divBdr>
                                                                    <w:top w:val="none" w:sz="0" w:space="0" w:color="auto"/>
                                                                    <w:left w:val="none" w:sz="0" w:space="0" w:color="auto"/>
                                                                    <w:bottom w:val="none" w:sz="0" w:space="0" w:color="auto"/>
                                                                    <w:right w:val="none" w:sz="0" w:space="0" w:color="auto"/>
                                                                  </w:divBdr>
                                                                  <w:divsChild>
                                                                    <w:div w:id="560597850">
                                                                      <w:marLeft w:val="0"/>
                                                                      <w:marRight w:val="0"/>
                                                                      <w:marTop w:val="0"/>
                                                                      <w:marBottom w:val="0"/>
                                                                      <w:divBdr>
                                                                        <w:top w:val="none" w:sz="0" w:space="0" w:color="auto"/>
                                                                        <w:left w:val="none" w:sz="0" w:space="0" w:color="auto"/>
                                                                        <w:bottom w:val="none" w:sz="0" w:space="0" w:color="auto"/>
                                                                        <w:right w:val="none" w:sz="0" w:space="0" w:color="auto"/>
                                                                      </w:divBdr>
                                                                      <w:divsChild>
                                                                        <w:div w:id="387150296">
                                                                          <w:marLeft w:val="0"/>
                                                                          <w:marRight w:val="0"/>
                                                                          <w:marTop w:val="0"/>
                                                                          <w:marBottom w:val="0"/>
                                                                          <w:divBdr>
                                                                            <w:top w:val="none" w:sz="0" w:space="0" w:color="auto"/>
                                                                            <w:left w:val="none" w:sz="0" w:space="0" w:color="auto"/>
                                                                            <w:bottom w:val="none" w:sz="0" w:space="0" w:color="auto"/>
                                                                            <w:right w:val="none" w:sz="0" w:space="0" w:color="auto"/>
                                                                          </w:divBdr>
                                                                          <w:divsChild>
                                                                            <w:div w:id="885725016">
                                                                              <w:marLeft w:val="0"/>
                                                                              <w:marRight w:val="0"/>
                                                                              <w:marTop w:val="0"/>
                                                                              <w:marBottom w:val="0"/>
                                                                              <w:divBdr>
                                                                                <w:top w:val="none" w:sz="0" w:space="0" w:color="auto"/>
                                                                                <w:left w:val="none" w:sz="0" w:space="0" w:color="auto"/>
                                                                                <w:bottom w:val="none" w:sz="0" w:space="0" w:color="auto"/>
                                                                                <w:right w:val="none" w:sz="0" w:space="0" w:color="auto"/>
                                                                              </w:divBdr>
                                                                              <w:divsChild>
                                                                                <w:div w:id="832065356">
                                                                                  <w:marLeft w:val="0"/>
                                                                                  <w:marRight w:val="0"/>
                                                                                  <w:marTop w:val="0"/>
                                                                                  <w:marBottom w:val="0"/>
                                                                                  <w:divBdr>
                                                                                    <w:top w:val="none" w:sz="0" w:space="0" w:color="auto"/>
                                                                                    <w:left w:val="none" w:sz="0" w:space="0" w:color="auto"/>
                                                                                    <w:bottom w:val="none" w:sz="0" w:space="0" w:color="auto"/>
                                                                                    <w:right w:val="none" w:sz="0" w:space="0" w:color="auto"/>
                                                                                  </w:divBdr>
                                                                                  <w:divsChild>
                                                                                    <w:div w:id="2130008532">
                                                                                      <w:marLeft w:val="0"/>
                                                                                      <w:marRight w:val="0"/>
                                                                                      <w:marTop w:val="0"/>
                                                                                      <w:marBottom w:val="0"/>
                                                                                      <w:divBdr>
                                                                                        <w:top w:val="none" w:sz="0" w:space="0" w:color="auto"/>
                                                                                        <w:left w:val="none" w:sz="0" w:space="0" w:color="auto"/>
                                                                                        <w:bottom w:val="none" w:sz="0" w:space="0" w:color="auto"/>
                                                                                        <w:right w:val="none" w:sz="0" w:space="0" w:color="auto"/>
                                                                                      </w:divBdr>
                                                                                      <w:divsChild>
                                                                                        <w:div w:id="28759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262139">
      <w:bodyDiv w:val="1"/>
      <w:marLeft w:val="0"/>
      <w:marRight w:val="0"/>
      <w:marTop w:val="0"/>
      <w:marBottom w:val="0"/>
      <w:divBdr>
        <w:top w:val="none" w:sz="0" w:space="0" w:color="auto"/>
        <w:left w:val="none" w:sz="0" w:space="0" w:color="auto"/>
        <w:bottom w:val="none" w:sz="0" w:space="0" w:color="auto"/>
        <w:right w:val="none" w:sz="0" w:space="0" w:color="auto"/>
      </w:divBdr>
    </w:div>
    <w:div w:id="197596580">
      <w:bodyDiv w:val="1"/>
      <w:marLeft w:val="0"/>
      <w:marRight w:val="0"/>
      <w:marTop w:val="0"/>
      <w:marBottom w:val="0"/>
      <w:divBdr>
        <w:top w:val="none" w:sz="0" w:space="0" w:color="auto"/>
        <w:left w:val="none" w:sz="0" w:space="0" w:color="auto"/>
        <w:bottom w:val="none" w:sz="0" w:space="0" w:color="auto"/>
        <w:right w:val="none" w:sz="0" w:space="0" w:color="auto"/>
      </w:divBdr>
    </w:div>
    <w:div w:id="222646200">
      <w:bodyDiv w:val="1"/>
      <w:marLeft w:val="0"/>
      <w:marRight w:val="0"/>
      <w:marTop w:val="0"/>
      <w:marBottom w:val="0"/>
      <w:divBdr>
        <w:top w:val="none" w:sz="0" w:space="0" w:color="auto"/>
        <w:left w:val="none" w:sz="0" w:space="0" w:color="auto"/>
        <w:bottom w:val="none" w:sz="0" w:space="0" w:color="auto"/>
        <w:right w:val="none" w:sz="0" w:space="0" w:color="auto"/>
      </w:divBdr>
    </w:div>
    <w:div w:id="224225080">
      <w:bodyDiv w:val="1"/>
      <w:marLeft w:val="0"/>
      <w:marRight w:val="0"/>
      <w:marTop w:val="0"/>
      <w:marBottom w:val="0"/>
      <w:divBdr>
        <w:top w:val="none" w:sz="0" w:space="0" w:color="auto"/>
        <w:left w:val="none" w:sz="0" w:space="0" w:color="auto"/>
        <w:bottom w:val="none" w:sz="0" w:space="0" w:color="auto"/>
        <w:right w:val="none" w:sz="0" w:space="0" w:color="auto"/>
      </w:divBdr>
    </w:div>
    <w:div w:id="227308468">
      <w:bodyDiv w:val="1"/>
      <w:marLeft w:val="0"/>
      <w:marRight w:val="0"/>
      <w:marTop w:val="0"/>
      <w:marBottom w:val="0"/>
      <w:divBdr>
        <w:top w:val="none" w:sz="0" w:space="0" w:color="auto"/>
        <w:left w:val="none" w:sz="0" w:space="0" w:color="auto"/>
        <w:bottom w:val="none" w:sz="0" w:space="0" w:color="auto"/>
        <w:right w:val="none" w:sz="0" w:space="0" w:color="auto"/>
      </w:divBdr>
    </w:div>
    <w:div w:id="239020070">
      <w:bodyDiv w:val="1"/>
      <w:marLeft w:val="0"/>
      <w:marRight w:val="0"/>
      <w:marTop w:val="0"/>
      <w:marBottom w:val="0"/>
      <w:divBdr>
        <w:top w:val="none" w:sz="0" w:space="0" w:color="auto"/>
        <w:left w:val="none" w:sz="0" w:space="0" w:color="auto"/>
        <w:bottom w:val="none" w:sz="0" w:space="0" w:color="auto"/>
        <w:right w:val="none" w:sz="0" w:space="0" w:color="auto"/>
      </w:divBdr>
      <w:divsChild>
        <w:div w:id="82264055">
          <w:marLeft w:val="0"/>
          <w:marRight w:val="0"/>
          <w:marTop w:val="0"/>
          <w:marBottom w:val="0"/>
          <w:divBdr>
            <w:top w:val="none" w:sz="0" w:space="0" w:color="auto"/>
            <w:left w:val="none" w:sz="0" w:space="0" w:color="auto"/>
            <w:bottom w:val="none" w:sz="0" w:space="0" w:color="auto"/>
            <w:right w:val="none" w:sz="0" w:space="0" w:color="auto"/>
          </w:divBdr>
          <w:divsChild>
            <w:div w:id="2126582725">
              <w:marLeft w:val="0"/>
              <w:marRight w:val="0"/>
              <w:marTop w:val="0"/>
              <w:marBottom w:val="0"/>
              <w:divBdr>
                <w:top w:val="none" w:sz="0" w:space="0" w:color="auto"/>
                <w:left w:val="none" w:sz="0" w:space="0" w:color="auto"/>
                <w:bottom w:val="none" w:sz="0" w:space="0" w:color="auto"/>
                <w:right w:val="none" w:sz="0" w:space="0" w:color="auto"/>
              </w:divBdr>
              <w:divsChild>
                <w:div w:id="1481531889">
                  <w:marLeft w:val="0"/>
                  <w:marRight w:val="0"/>
                  <w:marTop w:val="0"/>
                  <w:marBottom w:val="0"/>
                  <w:divBdr>
                    <w:top w:val="none" w:sz="0" w:space="0" w:color="auto"/>
                    <w:left w:val="none" w:sz="0" w:space="0" w:color="auto"/>
                    <w:bottom w:val="none" w:sz="0" w:space="0" w:color="auto"/>
                    <w:right w:val="none" w:sz="0" w:space="0" w:color="auto"/>
                  </w:divBdr>
                  <w:divsChild>
                    <w:div w:id="1874994157">
                      <w:marLeft w:val="0"/>
                      <w:marRight w:val="0"/>
                      <w:marTop w:val="0"/>
                      <w:marBottom w:val="0"/>
                      <w:divBdr>
                        <w:top w:val="none" w:sz="0" w:space="0" w:color="auto"/>
                        <w:left w:val="none" w:sz="0" w:space="0" w:color="auto"/>
                        <w:bottom w:val="none" w:sz="0" w:space="0" w:color="auto"/>
                        <w:right w:val="none" w:sz="0" w:space="0" w:color="auto"/>
                      </w:divBdr>
                      <w:divsChild>
                        <w:div w:id="365259126">
                          <w:marLeft w:val="0"/>
                          <w:marRight w:val="0"/>
                          <w:marTop w:val="0"/>
                          <w:marBottom w:val="0"/>
                          <w:divBdr>
                            <w:top w:val="none" w:sz="0" w:space="0" w:color="auto"/>
                            <w:left w:val="none" w:sz="0" w:space="0" w:color="auto"/>
                            <w:bottom w:val="none" w:sz="0" w:space="0" w:color="auto"/>
                            <w:right w:val="none" w:sz="0" w:space="0" w:color="auto"/>
                          </w:divBdr>
                          <w:divsChild>
                            <w:div w:id="1777796157">
                              <w:marLeft w:val="0"/>
                              <w:marRight w:val="0"/>
                              <w:marTop w:val="0"/>
                              <w:marBottom w:val="0"/>
                              <w:divBdr>
                                <w:top w:val="none" w:sz="0" w:space="0" w:color="auto"/>
                                <w:left w:val="none" w:sz="0" w:space="0" w:color="auto"/>
                                <w:bottom w:val="none" w:sz="0" w:space="0" w:color="auto"/>
                                <w:right w:val="none" w:sz="0" w:space="0" w:color="auto"/>
                              </w:divBdr>
                              <w:divsChild>
                                <w:div w:id="1789081179">
                                  <w:marLeft w:val="0"/>
                                  <w:marRight w:val="0"/>
                                  <w:marTop w:val="0"/>
                                  <w:marBottom w:val="0"/>
                                  <w:divBdr>
                                    <w:top w:val="none" w:sz="0" w:space="0" w:color="auto"/>
                                    <w:left w:val="none" w:sz="0" w:space="0" w:color="auto"/>
                                    <w:bottom w:val="none" w:sz="0" w:space="0" w:color="auto"/>
                                    <w:right w:val="none" w:sz="0" w:space="0" w:color="auto"/>
                                  </w:divBdr>
                                  <w:divsChild>
                                    <w:div w:id="395515258">
                                      <w:marLeft w:val="0"/>
                                      <w:marRight w:val="0"/>
                                      <w:marTop w:val="0"/>
                                      <w:marBottom w:val="0"/>
                                      <w:divBdr>
                                        <w:top w:val="none" w:sz="0" w:space="0" w:color="auto"/>
                                        <w:left w:val="none" w:sz="0" w:space="0" w:color="auto"/>
                                        <w:bottom w:val="none" w:sz="0" w:space="0" w:color="auto"/>
                                        <w:right w:val="none" w:sz="0" w:space="0" w:color="auto"/>
                                      </w:divBdr>
                                      <w:divsChild>
                                        <w:div w:id="1258559747">
                                          <w:marLeft w:val="0"/>
                                          <w:marRight w:val="0"/>
                                          <w:marTop w:val="0"/>
                                          <w:marBottom w:val="0"/>
                                          <w:divBdr>
                                            <w:top w:val="none" w:sz="0" w:space="0" w:color="auto"/>
                                            <w:left w:val="none" w:sz="0" w:space="0" w:color="auto"/>
                                            <w:bottom w:val="none" w:sz="0" w:space="0" w:color="auto"/>
                                            <w:right w:val="none" w:sz="0" w:space="0" w:color="auto"/>
                                          </w:divBdr>
                                          <w:divsChild>
                                            <w:div w:id="492455085">
                                              <w:marLeft w:val="0"/>
                                              <w:marRight w:val="0"/>
                                              <w:marTop w:val="0"/>
                                              <w:marBottom w:val="0"/>
                                              <w:divBdr>
                                                <w:top w:val="none" w:sz="0" w:space="0" w:color="auto"/>
                                                <w:left w:val="none" w:sz="0" w:space="0" w:color="auto"/>
                                                <w:bottom w:val="none" w:sz="0" w:space="0" w:color="auto"/>
                                                <w:right w:val="none" w:sz="0" w:space="0" w:color="auto"/>
                                              </w:divBdr>
                                              <w:divsChild>
                                                <w:div w:id="569341941">
                                                  <w:marLeft w:val="0"/>
                                                  <w:marRight w:val="0"/>
                                                  <w:marTop w:val="0"/>
                                                  <w:marBottom w:val="0"/>
                                                  <w:divBdr>
                                                    <w:top w:val="none" w:sz="0" w:space="0" w:color="auto"/>
                                                    <w:left w:val="none" w:sz="0" w:space="0" w:color="auto"/>
                                                    <w:bottom w:val="none" w:sz="0" w:space="0" w:color="auto"/>
                                                    <w:right w:val="none" w:sz="0" w:space="0" w:color="auto"/>
                                                  </w:divBdr>
                                                  <w:divsChild>
                                                    <w:div w:id="2147039834">
                                                      <w:marLeft w:val="0"/>
                                                      <w:marRight w:val="0"/>
                                                      <w:marTop w:val="0"/>
                                                      <w:marBottom w:val="0"/>
                                                      <w:divBdr>
                                                        <w:top w:val="none" w:sz="0" w:space="0" w:color="auto"/>
                                                        <w:left w:val="none" w:sz="0" w:space="0" w:color="auto"/>
                                                        <w:bottom w:val="none" w:sz="0" w:space="0" w:color="auto"/>
                                                        <w:right w:val="none" w:sz="0" w:space="0" w:color="auto"/>
                                                      </w:divBdr>
                                                      <w:divsChild>
                                                        <w:div w:id="497185777">
                                                          <w:marLeft w:val="0"/>
                                                          <w:marRight w:val="0"/>
                                                          <w:marTop w:val="0"/>
                                                          <w:marBottom w:val="0"/>
                                                          <w:divBdr>
                                                            <w:top w:val="none" w:sz="0" w:space="0" w:color="auto"/>
                                                            <w:left w:val="none" w:sz="0" w:space="0" w:color="auto"/>
                                                            <w:bottom w:val="none" w:sz="0" w:space="0" w:color="auto"/>
                                                            <w:right w:val="none" w:sz="0" w:space="0" w:color="auto"/>
                                                          </w:divBdr>
                                                          <w:divsChild>
                                                            <w:div w:id="1137603643">
                                                              <w:marLeft w:val="0"/>
                                                              <w:marRight w:val="0"/>
                                                              <w:marTop w:val="0"/>
                                                              <w:marBottom w:val="0"/>
                                                              <w:divBdr>
                                                                <w:top w:val="none" w:sz="0" w:space="0" w:color="auto"/>
                                                                <w:left w:val="none" w:sz="0" w:space="0" w:color="auto"/>
                                                                <w:bottom w:val="none" w:sz="0" w:space="0" w:color="auto"/>
                                                                <w:right w:val="none" w:sz="0" w:space="0" w:color="auto"/>
                                                              </w:divBdr>
                                                              <w:divsChild>
                                                                <w:div w:id="1129516351">
                                                                  <w:marLeft w:val="0"/>
                                                                  <w:marRight w:val="0"/>
                                                                  <w:marTop w:val="0"/>
                                                                  <w:marBottom w:val="0"/>
                                                                  <w:divBdr>
                                                                    <w:top w:val="none" w:sz="0" w:space="0" w:color="auto"/>
                                                                    <w:left w:val="none" w:sz="0" w:space="0" w:color="auto"/>
                                                                    <w:bottom w:val="none" w:sz="0" w:space="0" w:color="auto"/>
                                                                    <w:right w:val="none" w:sz="0" w:space="0" w:color="auto"/>
                                                                  </w:divBdr>
                                                                  <w:divsChild>
                                                                    <w:div w:id="277030409">
                                                                      <w:marLeft w:val="0"/>
                                                                      <w:marRight w:val="0"/>
                                                                      <w:marTop w:val="0"/>
                                                                      <w:marBottom w:val="0"/>
                                                                      <w:divBdr>
                                                                        <w:top w:val="none" w:sz="0" w:space="0" w:color="auto"/>
                                                                        <w:left w:val="none" w:sz="0" w:space="0" w:color="auto"/>
                                                                        <w:bottom w:val="none" w:sz="0" w:space="0" w:color="auto"/>
                                                                        <w:right w:val="none" w:sz="0" w:space="0" w:color="auto"/>
                                                                      </w:divBdr>
                                                                      <w:divsChild>
                                                                        <w:div w:id="1115905348">
                                                                          <w:marLeft w:val="0"/>
                                                                          <w:marRight w:val="0"/>
                                                                          <w:marTop w:val="0"/>
                                                                          <w:marBottom w:val="0"/>
                                                                          <w:divBdr>
                                                                            <w:top w:val="none" w:sz="0" w:space="0" w:color="auto"/>
                                                                            <w:left w:val="none" w:sz="0" w:space="0" w:color="auto"/>
                                                                            <w:bottom w:val="none" w:sz="0" w:space="0" w:color="auto"/>
                                                                            <w:right w:val="none" w:sz="0" w:space="0" w:color="auto"/>
                                                                          </w:divBdr>
                                                                          <w:divsChild>
                                                                            <w:div w:id="674528403">
                                                                              <w:marLeft w:val="0"/>
                                                                              <w:marRight w:val="0"/>
                                                                              <w:marTop w:val="0"/>
                                                                              <w:marBottom w:val="0"/>
                                                                              <w:divBdr>
                                                                                <w:top w:val="none" w:sz="0" w:space="0" w:color="auto"/>
                                                                                <w:left w:val="none" w:sz="0" w:space="0" w:color="auto"/>
                                                                                <w:bottom w:val="none" w:sz="0" w:space="0" w:color="auto"/>
                                                                                <w:right w:val="none" w:sz="0" w:space="0" w:color="auto"/>
                                                                              </w:divBdr>
                                                                              <w:divsChild>
                                                                                <w:div w:id="1803113719">
                                                                                  <w:marLeft w:val="0"/>
                                                                                  <w:marRight w:val="0"/>
                                                                                  <w:marTop w:val="0"/>
                                                                                  <w:marBottom w:val="0"/>
                                                                                  <w:divBdr>
                                                                                    <w:top w:val="none" w:sz="0" w:space="0" w:color="auto"/>
                                                                                    <w:left w:val="none" w:sz="0" w:space="0" w:color="auto"/>
                                                                                    <w:bottom w:val="none" w:sz="0" w:space="0" w:color="auto"/>
                                                                                    <w:right w:val="none" w:sz="0" w:space="0" w:color="auto"/>
                                                                                  </w:divBdr>
                                                                                  <w:divsChild>
                                                                                    <w:div w:id="1317763644">
                                                                                      <w:marLeft w:val="0"/>
                                                                                      <w:marRight w:val="0"/>
                                                                                      <w:marTop w:val="0"/>
                                                                                      <w:marBottom w:val="0"/>
                                                                                      <w:divBdr>
                                                                                        <w:top w:val="none" w:sz="0" w:space="0" w:color="auto"/>
                                                                                        <w:left w:val="none" w:sz="0" w:space="0" w:color="auto"/>
                                                                                        <w:bottom w:val="none" w:sz="0" w:space="0" w:color="auto"/>
                                                                                        <w:right w:val="none" w:sz="0" w:space="0" w:color="auto"/>
                                                                                      </w:divBdr>
                                                                                      <w:divsChild>
                                                                                        <w:div w:id="1954552159">
                                                                                          <w:marLeft w:val="0"/>
                                                                                          <w:marRight w:val="0"/>
                                                                                          <w:marTop w:val="0"/>
                                                                                          <w:marBottom w:val="0"/>
                                                                                          <w:divBdr>
                                                                                            <w:top w:val="none" w:sz="0" w:space="0" w:color="auto"/>
                                                                                            <w:left w:val="none" w:sz="0" w:space="0" w:color="auto"/>
                                                                                            <w:bottom w:val="none" w:sz="0" w:space="0" w:color="auto"/>
                                                                                            <w:right w:val="none" w:sz="0" w:space="0" w:color="auto"/>
                                                                                          </w:divBdr>
                                                                                          <w:divsChild>
                                                                                            <w:div w:id="2037080320">
                                                                                              <w:marLeft w:val="0"/>
                                                                                              <w:marRight w:val="0"/>
                                                                                              <w:marTop w:val="0"/>
                                                                                              <w:marBottom w:val="0"/>
                                                                                              <w:divBdr>
                                                                                                <w:top w:val="none" w:sz="0" w:space="0" w:color="auto"/>
                                                                                                <w:left w:val="none" w:sz="0" w:space="0" w:color="auto"/>
                                                                                                <w:bottom w:val="none" w:sz="0" w:space="0" w:color="auto"/>
                                                                                                <w:right w:val="none" w:sz="0" w:space="0" w:color="auto"/>
                                                                                              </w:divBdr>
                                                                                              <w:divsChild>
                                                                                                <w:div w:id="1870878549">
                                                                                                  <w:marLeft w:val="0"/>
                                                                                                  <w:marRight w:val="0"/>
                                                                                                  <w:marTop w:val="0"/>
                                                                                                  <w:marBottom w:val="0"/>
                                                                                                  <w:divBdr>
                                                                                                    <w:top w:val="none" w:sz="0" w:space="0" w:color="auto"/>
                                                                                                    <w:left w:val="none" w:sz="0" w:space="0" w:color="auto"/>
                                                                                                    <w:bottom w:val="none" w:sz="0" w:space="0" w:color="auto"/>
                                                                                                    <w:right w:val="none" w:sz="0" w:space="0" w:color="auto"/>
                                                                                                  </w:divBdr>
                                                                                                  <w:divsChild>
                                                                                                    <w:div w:id="14500748">
                                                                                                      <w:marLeft w:val="0"/>
                                                                                                      <w:marRight w:val="0"/>
                                                                                                      <w:marTop w:val="0"/>
                                                                                                      <w:marBottom w:val="0"/>
                                                                                                      <w:divBdr>
                                                                                                        <w:top w:val="none" w:sz="0" w:space="0" w:color="auto"/>
                                                                                                        <w:left w:val="none" w:sz="0" w:space="0" w:color="auto"/>
                                                                                                        <w:bottom w:val="none" w:sz="0" w:space="0" w:color="auto"/>
                                                                                                        <w:right w:val="none" w:sz="0" w:space="0" w:color="auto"/>
                                                                                                      </w:divBdr>
                                                                                                      <w:divsChild>
                                                                                                        <w:div w:id="1669669233">
                                                                                                          <w:marLeft w:val="0"/>
                                                                                                          <w:marRight w:val="0"/>
                                                                                                          <w:marTop w:val="0"/>
                                                                                                          <w:marBottom w:val="0"/>
                                                                                                          <w:divBdr>
                                                                                                            <w:top w:val="none" w:sz="0" w:space="0" w:color="auto"/>
                                                                                                            <w:left w:val="none" w:sz="0" w:space="0" w:color="auto"/>
                                                                                                            <w:bottom w:val="none" w:sz="0" w:space="0" w:color="auto"/>
                                                                                                            <w:right w:val="none" w:sz="0" w:space="0" w:color="auto"/>
                                                                                                          </w:divBdr>
                                                                                                          <w:divsChild>
                                                                                                            <w:div w:id="173959425">
                                                                                                              <w:marLeft w:val="0"/>
                                                                                                              <w:marRight w:val="0"/>
                                                                                                              <w:marTop w:val="0"/>
                                                                                                              <w:marBottom w:val="0"/>
                                                                                                              <w:divBdr>
                                                                                                                <w:top w:val="none" w:sz="0" w:space="0" w:color="auto"/>
                                                                                                                <w:left w:val="none" w:sz="0" w:space="0" w:color="auto"/>
                                                                                                                <w:bottom w:val="none" w:sz="0" w:space="0" w:color="auto"/>
                                                                                                                <w:right w:val="none" w:sz="0" w:space="0" w:color="auto"/>
                                                                                                              </w:divBdr>
                                                                                                              <w:divsChild>
                                                                                                                <w:div w:id="1916552761">
                                                                                                                  <w:marLeft w:val="0"/>
                                                                                                                  <w:marRight w:val="0"/>
                                                                                                                  <w:marTop w:val="0"/>
                                                                                                                  <w:marBottom w:val="0"/>
                                                                                                                  <w:divBdr>
                                                                                                                    <w:top w:val="none" w:sz="0" w:space="0" w:color="auto"/>
                                                                                                                    <w:left w:val="none" w:sz="0" w:space="0" w:color="auto"/>
                                                                                                                    <w:bottom w:val="none" w:sz="0" w:space="0" w:color="auto"/>
                                                                                                                    <w:right w:val="none" w:sz="0" w:space="0" w:color="auto"/>
                                                                                                                  </w:divBdr>
                                                                                                                  <w:divsChild>
                                                                                                                    <w:div w:id="50546245">
                                                                                                                      <w:marLeft w:val="0"/>
                                                                                                                      <w:marRight w:val="0"/>
                                                                                                                      <w:marTop w:val="0"/>
                                                                                                                      <w:marBottom w:val="0"/>
                                                                                                                      <w:divBdr>
                                                                                                                        <w:top w:val="none" w:sz="0" w:space="0" w:color="auto"/>
                                                                                                                        <w:left w:val="none" w:sz="0" w:space="0" w:color="auto"/>
                                                                                                                        <w:bottom w:val="none" w:sz="0" w:space="0" w:color="auto"/>
                                                                                                                        <w:right w:val="none" w:sz="0" w:space="0" w:color="auto"/>
                                                                                                                      </w:divBdr>
                                                                                                                      <w:divsChild>
                                                                                                                        <w:div w:id="965740685">
                                                                                                                          <w:marLeft w:val="0"/>
                                                                                                                          <w:marRight w:val="0"/>
                                                                                                                          <w:marTop w:val="0"/>
                                                                                                                          <w:marBottom w:val="0"/>
                                                                                                                          <w:divBdr>
                                                                                                                            <w:top w:val="none" w:sz="0" w:space="0" w:color="auto"/>
                                                                                                                            <w:left w:val="none" w:sz="0" w:space="0" w:color="auto"/>
                                                                                                                            <w:bottom w:val="none" w:sz="0" w:space="0" w:color="auto"/>
                                                                                                                            <w:right w:val="none" w:sz="0" w:space="0" w:color="auto"/>
                                                                                                                          </w:divBdr>
                                                                                                                          <w:divsChild>
                                                                                                                            <w:div w:id="510799730">
                                                                                                                              <w:marLeft w:val="0"/>
                                                                                                                              <w:marRight w:val="0"/>
                                                                                                                              <w:marTop w:val="0"/>
                                                                                                                              <w:marBottom w:val="0"/>
                                                                                                                              <w:divBdr>
                                                                                                                                <w:top w:val="none" w:sz="0" w:space="0" w:color="auto"/>
                                                                                                                                <w:left w:val="none" w:sz="0" w:space="0" w:color="auto"/>
                                                                                                                                <w:bottom w:val="none" w:sz="0" w:space="0" w:color="auto"/>
                                                                                                                                <w:right w:val="none" w:sz="0" w:space="0" w:color="auto"/>
                                                                                                                              </w:divBdr>
                                                                                                                              <w:divsChild>
                                                                                                                                <w:div w:id="118837324">
                                                                                                                                  <w:marLeft w:val="0"/>
                                                                                                                                  <w:marRight w:val="0"/>
                                                                                                                                  <w:marTop w:val="0"/>
                                                                                                                                  <w:marBottom w:val="0"/>
                                                                                                                                  <w:divBdr>
                                                                                                                                    <w:top w:val="none" w:sz="0" w:space="0" w:color="auto"/>
                                                                                                                                    <w:left w:val="none" w:sz="0" w:space="0" w:color="auto"/>
                                                                                                                                    <w:bottom w:val="none" w:sz="0" w:space="0" w:color="auto"/>
                                                                                                                                    <w:right w:val="none" w:sz="0" w:space="0" w:color="auto"/>
                                                                                                                                  </w:divBdr>
                                                                                                                                  <w:divsChild>
                                                                                                                                    <w:div w:id="2000502929">
                                                                                                                                      <w:marLeft w:val="0"/>
                                                                                                                                      <w:marRight w:val="0"/>
                                                                                                                                      <w:marTop w:val="0"/>
                                                                                                                                      <w:marBottom w:val="0"/>
                                                                                                                                      <w:divBdr>
                                                                                                                                        <w:top w:val="none" w:sz="0" w:space="0" w:color="auto"/>
                                                                                                                                        <w:left w:val="none" w:sz="0" w:space="0" w:color="auto"/>
                                                                                                                                        <w:bottom w:val="none" w:sz="0" w:space="0" w:color="auto"/>
                                                                                                                                        <w:right w:val="none" w:sz="0" w:space="0" w:color="auto"/>
                                                                                                                                      </w:divBdr>
                                                                                                                                      <w:divsChild>
                                                                                                                                        <w:div w:id="74937428">
                                                                                                                                          <w:marLeft w:val="0"/>
                                                                                                                                          <w:marRight w:val="0"/>
                                                                                                                                          <w:marTop w:val="0"/>
                                                                                                                                          <w:marBottom w:val="0"/>
                                                                                                                                          <w:divBdr>
                                                                                                                                            <w:top w:val="none" w:sz="0" w:space="0" w:color="auto"/>
                                                                                                                                            <w:left w:val="none" w:sz="0" w:space="0" w:color="auto"/>
                                                                                                                                            <w:bottom w:val="none" w:sz="0" w:space="0" w:color="auto"/>
                                                                                                                                            <w:right w:val="none" w:sz="0" w:space="0" w:color="auto"/>
                                                                                                                                          </w:divBdr>
                                                                                                                                          <w:divsChild>
                                                                                                                                            <w:div w:id="485627509">
                                                                                                                                              <w:marLeft w:val="0"/>
                                                                                                                                              <w:marRight w:val="0"/>
                                                                                                                                              <w:marTop w:val="0"/>
                                                                                                                                              <w:marBottom w:val="0"/>
                                                                                                                                              <w:divBdr>
                                                                                                                                                <w:top w:val="none" w:sz="0" w:space="0" w:color="auto"/>
                                                                                                                                                <w:left w:val="none" w:sz="0" w:space="0" w:color="auto"/>
                                                                                                                                                <w:bottom w:val="none" w:sz="0" w:space="0" w:color="auto"/>
                                                                                                                                                <w:right w:val="none" w:sz="0" w:space="0" w:color="auto"/>
                                                                                                                                              </w:divBdr>
                                                                                                                                              <w:divsChild>
                                                                                                                                                <w:div w:id="1560820794">
                                                                                                                                                  <w:marLeft w:val="0"/>
                                                                                                                                                  <w:marRight w:val="0"/>
                                                                                                                                                  <w:marTop w:val="0"/>
                                                                                                                                                  <w:marBottom w:val="0"/>
                                                                                                                                                  <w:divBdr>
                                                                                                                                                    <w:top w:val="none" w:sz="0" w:space="0" w:color="auto"/>
                                                                                                                                                    <w:left w:val="none" w:sz="0" w:space="0" w:color="auto"/>
                                                                                                                                                    <w:bottom w:val="none" w:sz="0" w:space="0" w:color="auto"/>
                                                                                                                                                    <w:right w:val="none" w:sz="0" w:space="0" w:color="auto"/>
                                                                                                                                                  </w:divBdr>
                                                                                                                                                  <w:divsChild>
                                                                                                                                                    <w:div w:id="434907611">
                                                                                                                                                      <w:marLeft w:val="0"/>
                                                                                                                                                      <w:marRight w:val="0"/>
                                                                                                                                                      <w:marTop w:val="0"/>
                                                                                                                                                      <w:marBottom w:val="0"/>
                                                                                                                                                      <w:divBdr>
                                                                                                                                                        <w:top w:val="none" w:sz="0" w:space="0" w:color="auto"/>
                                                                                                                                                        <w:left w:val="none" w:sz="0" w:space="0" w:color="auto"/>
                                                                                                                                                        <w:bottom w:val="none" w:sz="0" w:space="0" w:color="auto"/>
                                                                                                                                                        <w:right w:val="none" w:sz="0" w:space="0" w:color="auto"/>
                                                                                                                                                      </w:divBdr>
                                                                                                                                                      <w:divsChild>
                                                                                                                                                        <w:div w:id="146200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9367774">
      <w:bodyDiv w:val="1"/>
      <w:marLeft w:val="0"/>
      <w:marRight w:val="0"/>
      <w:marTop w:val="0"/>
      <w:marBottom w:val="0"/>
      <w:divBdr>
        <w:top w:val="none" w:sz="0" w:space="0" w:color="auto"/>
        <w:left w:val="none" w:sz="0" w:space="0" w:color="auto"/>
        <w:bottom w:val="none" w:sz="0" w:space="0" w:color="auto"/>
        <w:right w:val="none" w:sz="0" w:space="0" w:color="auto"/>
      </w:divBdr>
    </w:div>
    <w:div w:id="279804961">
      <w:bodyDiv w:val="1"/>
      <w:marLeft w:val="0"/>
      <w:marRight w:val="0"/>
      <w:marTop w:val="0"/>
      <w:marBottom w:val="0"/>
      <w:divBdr>
        <w:top w:val="none" w:sz="0" w:space="0" w:color="auto"/>
        <w:left w:val="none" w:sz="0" w:space="0" w:color="auto"/>
        <w:bottom w:val="none" w:sz="0" w:space="0" w:color="auto"/>
        <w:right w:val="none" w:sz="0" w:space="0" w:color="auto"/>
      </w:divBdr>
    </w:div>
    <w:div w:id="322508410">
      <w:bodyDiv w:val="1"/>
      <w:marLeft w:val="0"/>
      <w:marRight w:val="0"/>
      <w:marTop w:val="0"/>
      <w:marBottom w:val="0"/>
      <w:divBdr>
        <w:top w:val="none" w:sz="0" w:space="0" w:color="auto"/>
        <w:left w:val="none" w:sz="0" w:space="0" w:color="auto"/>
        <w:bottom w:val="none" w:sz="0" w:space="0" w:color="auto"/>
        <w:right w:val="none" w:sz="0" w:space="0" w:color="auto"/>
      </w:divBdr>
    </w:div>
    <w:div w:id="342511450">
      <w:bodyDiv w:val="1"/>
      <w:marLeft w:val="0"/>
      <w:marRight w:val="0"/>
      <w:marTop w:val="0"/>
      <w:marBottom w:val="0"/>
      <w:divBdr>
        <w:top w:val="none" w:sz="0" w:space="0" w:color="auto"/>
        <w:left w:val="none" w:sz="0" w:space="0" w:color="auto"/>
        <w:bottom w:val="none" w:sz="0" w:space="0" w:color="auto"/>
        <w:right w:val="none" w:sz="0" w:space="0" w:color="auto"/>
      </w:divBdr>
      <w:divsChild>
        <w:div w:id="227770184">
          <w:marLeft w:val="0"/>
          <w:marRight w:val="0"/>
          <w:marTop w:val="0"/>
          <w:marBottom w:val="0"/>
          <w:divBdr>
            <w:top w:val="none" w:sz="0" w:space="0" w:color="auto"/>
            <w:left w:val="none" w:sz="0" w:space="0" w:color="auto"/>
            <w:bottom w:val="none" w:sz="0" w:space="0" w:color="auto"/>
            <w:right w:val="none" w:sz="0" w:space="0" w:color="auto"/>
          </w:divBdr>
          <w:divsChild>
            <w:div w:id="1836534186">
              <w:marLeft w:val="0"/>
              <w:marRight w:val="0"/>
              <w:marTop w:val="0"/>
              <w:marBottom w:val="0"/>
              <w:divBdr>
                <w:top w:val="none" w:sz="0" w:space="0" w:color="auto"/>
                <w:left w:val="none" w:sz="0" w:space="0" w:color="auto"/>
                <w:bottom w:val="none" w:sz="0" w:space="0" w:color="auto"/>
                <w:right w:val="none" w:sz="0" w:space="0" w:color="auto"/>
              </w:divBdr>
              <w:divsChild>
                <w:div w:id="2126731943">
                  <w:marLeft w:val="0"/>
                  <w:marRight w:val="0"/>
                  <w:marTop w:val="0"/>
                  <w:marBottom w:val="0"/>
                  <w:divBdr>
                    <w:top w:val="none" w:sz="0" w:space="0" w:color="auto"/>
                    <w:left w:val="none" w:sz="0" w:space="0" w:color="auto"/>
                    <w:bottom w:val="none" w:sz="0" w:space="0" w:color="auto"/>
                    <w:right w:val="none" w:sz="0" w:space="0" w:color="auto"/>
                  </w:divBdr>
                  <w:divsChild>
                    <w:div w:id="1212039526">
                      <w:marLeft w:val="0"/>
                      <w:marRight w:val="0"/>
                      <w:marTop w:val="0"/>
                      <w:marBottom w:val="0"/>
                      <w:divBdr>
                        <w:top w:val="none" w:sz="0" w:space="0" w:color="auto"/>
                        <w:left w:val="none" w:sz="0" w:space="0" w:color="auto"/>
                        <w:bottom w:val="none" w:sz="0" w:space="0" w:color="auto"/>
                        <w:right w:val="none" w:sz="0" w:space="0" w:color="auto"/>
                      </w:divBdr>
                      <w:divsChild>
                        <w:div w:id="1754662274">
                          <w:marLeft w:val="0"/>
                          <w:marRight w:val="0"/>
                          <w:marTop w:val="45"/>
                          <w:marBottom w:val="0"/>
                          <w:divBdr>
                            <w:top w:val="none" w:sz="0" w:space="0" w:color="auto"/>
                            <w:left w:val="none" w:sz="0" w:space="0" w:color="auto"/>
                            <w:bottom w:val="none" w:sz="0" w:space="0" w:color="auto"/>
                            <w:right w:val="none" w:sz="0" w:space="0" w:color="auto"/>
                          </w:divBdr>
                          <w:divsChild>
                            <w:div w:id="373846861">
                              <w:marLeft w:val="0"/>
                              <w:marRight w:val="0"/>
                              <w:marTop w:val="0"/>
                              <w:marBottom w:val="0"/>
                              <w:divBdr>
                                <w:top w:val="none" w:sz="0" w:space="0" w:color="auto"/>
                                <w:left w:val="none" w:sz="0" w:space="0" w:color="auto"/>
                                <w:bottom w:val="none" w:sz="0" w:space="0" w:color="auto"/>
                                <w:right w:val="none" w:sz="0" w:space="0" w:color="auto"/>
                              </w:divBdr>
                              <w:divsChild>
                                <w:div w:id="1192307195">
                                  <w:marLeft w:val="2070"/>
                                  <w:marRight w:val="3810"/>
                                  <w:marTop w:val="0"/>
                                  <w:marBottom w:val="0"/>
                                  <w:divBdr>
                                    <w:top w:val="none" w:sz="0" w:space="0" w:color="auto"/>
                                    <w:left w:val="none" w:sz="0" w:space="0" w:color="auto"/>
                                    <w:bottom w:val="none" w:sz="0" w:space="0" w:color="auto"/>
                                    <w:right w:val="none" w:sz="0" w:space="0" w:color="auto"/>
                                  </w:divBdr>
                                  <w:divsChild>
                                    <w:div w:id="2023506213">
                                      <w:marLeft w:val="0"/>
                                      <w:marRight w:val="0"/>
                                      <w:marTop w:val="0"/>
                                      <w:marBottom w:val="0"/>
                                      <w:divBdr>
                                        <w:top w:val="none" w:sz="0" w:space="0" w:color="auto"/>
                                        <w:left w:val="none" w:sz="0" w:space="0" w:color="auto"/>
                                        <w:bottom w:val="none" w:sz="0" w:space="0" w:color="auto"/>
                                        <w:right w:val="none" w:sz="0" w:space="0" w:color="auto"/>
                                      </w:divBdr>
                                      <w:divsChild>
                                        <w:div w:id="1929732526">
                                          <w:marLeft w:val="0"/>
                                          <w:marRight w:val="0"/>
                                          <w:marTop w:val="0"/>
                                          <w:marBottom w:val="0"/>
                                          <w:divBdr>
                                            <w:top w:val="none" w:sz="0" w:space="0" w:color="auto"/>
                                            <w:left w:val="none" w:sz="0" w:space="0" w:color="auto"/>
                                            <w:bottom w:val="none" w:sz="0" w:space="0" w:color="auto"/>
                                            <w:right w:val="none" w:sz="0" w:space="0" w:color="auto"/>
                                          </w:divBdr>
                                          <w:divsChild>
                                            <w:div w:id="5249239">
                                              <w:marLeft w:val="0"/>
                                              <w:marRight w:val="0"/>
                                              <w:marTop w:val="0"/>
                                              <w:marBottom w:val="0"/>
                                              <w:divBdr>
                                                <w:top w:val="none" w:sz="0" w:space="0" w:color="auto"/>
                                                <w:left w:val="none" w:sz="0" w:space="0" w:color="auto"/>
                                                <w:bottom w:val="none" w:sz="0" w:space="0" w:color="auto"/>
                                                <w:right w:val="none" w:sz="0" w:space="0" w:color="auto"/>
                                              </w:divBdr>
                                              <w:divsChild>
                                                <w:div w:id="1360542737">
                                                  <w:marLeft w:val="0"/>
                                                  <w:marRight w:val="0"/>
                                                  <w:marTop w:val="90"/>
                                                  <w:marBottom w:val="0"/>
                                                  <w:divBdr>
                                                    <w:top w:val="none" w:sz="0" w:space="0" w:color="auto"/>
                                                    <w:left w:val="none" w:sz="0" w:space="0" w:color="auto"/>
                                                    <w:bottom w:val="none" w:sz="0" w:space="0" w:color="auto"/>
                                                    <w:right w:val="none" w:sz="0" w:space="0" w:color="auto"/>
                                                  </w:divBdr>
                                                  <w:divsChild>
                                                    <w:div w:id="900558958">
                                                      <w:marLeft w:val="0"/>
                                                      <w:marRight w:val="0"/>
                                                      <w:marTop w:val="0"/>
                                                      <w:marBottom w:val="0"/>
                                                      <w:divBdr>
                                                        <w:top w:val="none" w:sz="0" w:space="0" w:color="auto"/>
                                                        <w:left w:val="none" w:sz="0" w:space="0" w:color="auto"/>
                                                        <w:bottom w:val="none" w:sz="0" w:space="0" w:color="auto"/>
                                                        <w:right w:val="none" w:sz="0" w:space="0" w:color="auto"/>
                                                      </w:divBdr>
                                                      <w:divsChild>
                                                        <w:div w:id="329213200">
                                                          <w:marLeft w:val="0"/>
                                                          <w:marRight w:val="0"/>
                                                          <w:marTop w:val="0"/>
                                                          <w:marBottom w:val="0"/>
                                                          <w:divBdr>
                                                            <w:top w:val="none" w:sz="0" w:space="0" w:color="auto"/>
                                                            <w:left w:val="none" w:sz="0" w:space="0" w:color="auto"/>
                                                            <w:bottom w:val="none" w:sz="0" w:space="0" w:color="auto"/>
                                                            <w:right w:val="none" w:sz="0" w:space="0" w:color="auto"/>
                                                          </w:divBdr>
                                                          <w:divsChild>
                                                            <w:div w:id="174728425">
                                                              <w:marLeft w:val="0"/>
                                                              <w:marRight w:val="0"/>
                                                              <w:marTop w:val="0"/>
                                                              <w:marBottom w:val="390"/>
                                                              <w:divBdr>
                                                                <w:top w:val="none" w:sz="0" w:space="0" w:color="auto"/>
                                                                <w:left w:val="none" w:sz="0" w:space="0" w:color="auto"/>
                                                                <w:bottom w:val="none" w:sz="0" w:space="0" w:color="auto"/>
                                                                <w:right w:val="none" w:sz="0" w:space="0" w:color="auto"/>
                                                              </w:divBdr>
                                                              <w:divsChild>
                                                                <w:div w:id="1551648269">
                                                                  <w:marLeft w:val="0"/>
                                                                  <w:marRight w:val="0"/>
                                                                  <w:marTop w:val="0"/>
                                                                  <w:marBottom w:val="0"/>
                                                                  <w:divBdr>
                                                                    <w:top w:val="none" w:sz="0" w:space="0" w:color="auto"/>
                                                                    <w:left w:val="none" w:sz="0" w:space="0" w:color="auto"/>
                                                                    <w:bottom w:val="none" w:sz="0" w:space="0" w:color="auto"/>
                                                                    <w:right w:val="none" w:sz="0" w:space="0" w:color="auto"/>
                                                                  </w:divBdr>
                                                                  <w:divsChild>
                                                                    <w:div w:id="1976787450">
                                                                      <w:marLeft w:val="0"/>
                                                                      <w:marRight w:val="0"/>
                                                                      <w:marTop w:val="0"/>
                                                                      <w:marBottom w:val="0"/>
                                                                      <w:divBdr>
                                                                        <w:top w:val="none" w:sz="0" w:space="0" w:color="auto"/>
                                                                        <w:left w:val="none" w:sz="0" w:space="0" w:color="auto"/>
                                                                        <w:bottom w:val="none" w:sz="0" w:space="0" w:color="auto"/>
                                                                        <w:right w:val="none" w:sz="0" w:space="0" w:color="auto"/>
                                                                      </w:divBdr>
                                                                      <w:divsChild>
                                                                        <w:div w:id="634258545">
                                                                          <w:marLeft w:val="0"/>
                                                                          <w:marRight w:val="0"/>
                                                                          <w:marTop w:val="0"/>
                                                                          <w:marBottom w:val="0"/>
                                                                          <w:divBdr>
                                                                            <w:top w:val="none" w:sz="0" w:space="0" w:color="auto"/>
                                                                            <w:left w:val="none" w:sz="0" w:space="0" w:color="auto"/>
                                                                            <w:bottom w:val="none" w:sz="0" w:space="0" w:color="auto"/>
                                                                            <w:right w:val="none" w:sz="0" w:space="0" w:color="auto"/>
                                                                          </w:divBdr>
                                                                          <w:divsChild>
                                                                            <w:div w:id="1592162063">
                                                                              <w:marLeft w:val="0"/>
                                                                              <w:marRight w:val="0"/>
                                                                              <w:marTop w:val="0"/>
                                                                              <w:marBottom w:val="0"/>
                                                                              <w:divBdr>
                                                                                <w:top w:val="none" w:sz="0" w:space="0" w:color="auto"/>
                                                                                <w:left w:val="none" w:sz="0" w:space="0" w:color="auto"/>
                                                                                <w:bottom w:val="none" w:sz="0" w:space="0" w:color="auto"/>
                                                                                <w:right w:val="none" w:sz="0" w:space="0" w:color="auto"/>
                                                                              </w:divBdr>
                                                                              <w:divsChild>
                                                                                <w:div w:id="1537962288">
                                                                                  <w:marLeft w:val="0"/>
                                                                                  <w:marRight w:val="0"/>
                                                                                  <w:marTop w:val="0"/>
                                                                                  <w:marBottom w:val="0"/>
                                                                                  <w:divBdr>
                                                                                    <w:top w:val="none" w:sz="0" w:space="0" w:color="auto"/>
                                                                                    <w:left w:val="none" w:sz="0" w:space="0" w:color="auto"/>
                                                                                    <w:bottom w:val="none" w:sz="0" w:space="0" w:color="auto"/>
                                                                                    <w:right w:val="none" w:sz="0" w:space="0" w:color="auto"/>
                                                                                  </w:divBdr>
                                                                                  <w:divsChild>
                                                                                    <w:div w:id="314529527">
                                                                                      <w:marLeft w:val="0"/>
                                                                                      <w:marRight w:val="0"/>
                                                                                      <w:marTop w:val="0"/>
                                                                                      <w:marBottom w:val="0"/>
                                                                                      <w:divBdr>
                                                                                        <w:top w:val="none" w:sz="0" w:space="0" w:color="auto"/>
                                                                                        <w:left w:val="none" w:sz="0" w:space="0" w:color="auto"/>
                                                                                        <w:bottom w:val="none" w:sz="0" w:space="0" w:color="auto"/>
                                                                                        <w:right w:val="none" w:sz="0" w:space="0" w:color="auto"/>
                                                                                      </w:divBdr>
                                                                                      <w:divsChild>
                                                                                        <w:div w:id="896745564">
                                                                                          <w:marLeft w:val="0"/>
                                                                                          <w:marRight w:val="0"/>
                                                                                          <w:marTop w:val="0"/>
                                                                                          <w:marBottom w:val="0"/>
                                                                                          <w:divBdr>
                                                                                            <w:top w:val="none" w:sz="0" w:space="0" w:color="auto"/>
                                                                                            <w:left w:val="none" w:sz="0" w:space="0" w:color="auto"/>
                                                                                            <w:bottom w:val="none" w:sz="0" w:space="0" w:color="auto"/>
                                                                                            <w:right w:val="none" w:sz="0" w:space="0" w:color="auto"/>
                                                                                          </w:divBdr>
                                                                                          <w:divsChild>
                                                                                            <w:div w:id="4106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9841664">
      <w:bodyDiv w:val="1"/>
      <w:marLeft w:val="0"/>
      <w:marRight w:val="0"/>
      <w:marTop w:val="0"/>
      <w:marBottom w:val="0"/>
      <w:divBdr>
        <w:top w:val="none" w:sz="0" w:space="0" w:color="auto"/>
        <w:left w:val="none" w:sz="0" w:space="0" w:color="auto"/>
        <w:bottom w:val="none" w:sz="0" w:space="0" w:color="auto"/>
        <w:right w:val="none" w:sz="0" w:space="0" w:color="auto"/>
      </w:divBdr>
    </w:div>
    <w:div w:id="363486392">
      <w:bodyDiv w:val="1"/>
      <w:marLeft w:val="0"/>
      <w:marRight w:val="0"/>
      <w:marTop w:val="0"/>
      <w:marBottom w:val="0"/>
      <w:divBdr>
        <w:top w:val="none" w:sz="0" w:space="0" w:color="auto"/>
        <w:left w:val="none" w:sz="0" w:space="0" w:color="auto"/>
        <w:bottom w:val="none" w:sz="0" w:space="0" w:color="auto"/>
        <w:right w:val="none" w:sz="0" w:space="0" w:color="auto"/>
      </w:divBdr>
    </w:div>
    <w:div w:id="404112310">
      <w:bodyDiv w:val="1"/>
      <w:marLeft w:val="0"/>
      <w:marRight w:val="0"/>
      <w:marTop w:val="0"/>
      <w:marBottom w:val="0"/>
      <w:divBdr>
        <w:top w:val="none" w:sz="0" w:space="0" w:color="auto"/>
        <w:left w:val="none" w:sz="0" w:space="0" w:color="auto"/>
        <w:bottom w:val="none" w:sz="0" w:space="0" w:color="auto"/>
        <w:right w:val="none" w:sz="0" w:space="0" w:color="auto"/>
      </w:divBdr>
    </w:div>
    <w:div w:id="405304001">
      <w:bodyDiv w:val="1"/>
      <w:marLeft w:val="0"/>
      <w:marRight w:val="0"/>
      <w:marTop w:val="0"/>
      <w:marBottom w:val="0"/>
      <w:divBdr>
        <w:top w:val="none" w:sz="0" w:space="0" w:color="auto"/>
        <w:left w:val="none" w:sz="0" w:space="0" w:color="auto"/>
        <w:bottom w:val="none" w:sz="0" w:space="0" w:color="auto"/>
        <w:right w:val="none" w:sz="0" w:space="0" w:color="auto"/>
      </w:divBdr>
      <w:divsChild>
        <w:div w:id="114060877">
          <w:marLeft w:val="0"/>
          <w:marRight w:val="0"/>
          <w:marTop w:val="0"/>
          <w:marBottom w:val="0"/>
          <w:divBdr>
            <w:top w:val="none" w:sz="0" w:space="0" w:color="auto"/>
            <w:left w:val="none" w:sz="0" w:space="0" w:color="auto"/>
            <w:bottom w:val="none" w:sz="0" w:space="0" w:color="auto"/>
            <w:right w:val="none" w:sz="0" w:space="0" w:color="auto"/>
          </w:divBdr>
          <w:divsChild>
            <w:div w:id="319432457">
              <w:marLeft w:val="0"/>
              <w:marRight w:val="0"/>
              <w:marTop w:val="0"/>
              <w:marBottom w:val="0"/>
              <w:divBdr>
                <w:top w:val="none" w:sz="0" w:space="0" w:color="auto"/>
                <w:left w:val="none" w:sz="0" w:space="0" w:color="auto"/>
                <w:bottom w:val="none" w:sz="0" w:space="0" w:color="auto"/>
                <w:right w:val="none" w:sz="0" w:space="0" w:color="auto"/>
              </w:divBdr>
              <w:divsChild>
                <w:div w:id="1709530966">
                  <w:marLeft w:val="0"/>
                  <w:marRight w:val="0"/>
                  <w:marTop w:val="0"/>
                  <w:marBottom w:val="0"/>
                  <w:divBdr>
                    <w:top w:val="none" w:sz="0" w:space="0" w:color="auto"/>
                    <w:left w:val="none" w:sz="0" w:space="0" w:color="auto"/>
                    <w:bottom w:val="none" w:sz="0" w:space="0" w:color="auto"/>
                    <w:right w:val="none" w:sz="0" w:space="0" w:color="auto"/>
                  </w:divBdr>
                  <w:divsChild>
                    <w:div w:id="869148954">
                      <w:marLeft w:val="0"/>
                      <w:marRight w:val="0"/>
                      <w:marTop w:val="0"/>
                      <w:marBottom w:val="0"/>
                      <w:divBdr>
                        <w:top w:val="none" w:sz="0" w:space="0" w:color="auto"/>
                        <w:left w:val="none" w:sz="0" w:space="0" w:color="auto"/>
                        <w:bottom w:val="none" w:sz="0" w:space="0" w:color="auto"/>
                        <w:right w:val="none" w:sz="0" w:space="0" w:color="auto"/>
                      </w:divBdr>
                      <w:divsChild>
                        <w:div w:id="1437411265">
                          <w:marLeft w:val="0"/>
                          <w:marRight w:val="0"/>
                          <w:marTop w:val="45"/>
                          <w:marBottom w:val="0"/>
                          <w:divBdr>
                            <w:top w:val="none" w:sz="0" w:space="0" w:color="auto"/>
                            <w:left w:val="none" w:sz="0" w:space="0" w:color="auto"/>
                            <w:bottom w:val="none" w:sz="0" w:space="0" w:color="auto"/>
                            <w:right w:val="none" w:sz="0" w:space="0" w:color="auto"/>
                          </w:divBdr>
                          <w:divsChild>
                            <w:div w:id="1517302613">
                              <w:marLeft w:val="0"/>
                              <w:marRight w:val="0"/>
                              <w:marTop w:val="0"/>
                              <w:marBottom w:val="0"/>
                              <w:divBdr>
                                <w:top w:val="none" w:sz="0" w:space="0" w:color="auto"/>
                                <w:left w:val="none" w:sz="0" w:space="0" w:color="auto"/>
                                <w:bottom w:val="none" w:sz="0" w:space="0" w:color="auto"/>
                                <w:right w:val="none" w:sz="0" w:space="0" w:color="auto"/>
                              </w:divBdr>
                              <w:divsChild>
                                <w:div w:id="712775747">
                                  <w:marLeft w:val="2070"/>
                                  <w:marRight w:val="3810"/>
                                  <w:marTop w:val="0"/>
                                  <w:marBottom w:val="0"/>
                                  <w:divBdr>
                                    <w:top w:val="none" w:sz="0" w:space="0" w:color="auto"/>
                                    <w:left w:val="none" w:sz="0" w:space="0" w:color="auto"/>
                                    <w:bottom w:val="none" w:sz="0" w:space="0" w:color="auto"/>
                                    <w:right w:val="none" w:sz="0" w:space="0" w:color="auto"/>
                                  </w:divBdr>
                                  <w:divsChild>
                                    <w:div w:id="1386248779">
                                      <w:marLeft w:val="0"/>
                                      <w:marRight w:val="0"/>
                                      <w:marTop w:val="0"/>
                                      <w:marBottom w:val="0"/>
                                      <w:divBdr>
                                        <w:top w:val="none" w:sz="0" w:space="0" w:color="auto"/>
                                        <w:left w:val="none" w:sz="0" w:space="0" w:color="auto"/>
                                        <w:bottom w:val="none" w:sz="0" w:space="0" w:color="auto"/>
                                        <w:right w:val="none" w:sz="0" w:space="0" w:color="auto"/>
                                      </w:divBdr>
                                      <w:divsChild>
                                        <w:div w:id="728263189">
                                          <w:marLeft w:val="0"/>
                                          <w:marRight w:val="0"/>
                                          <w:marTop w:val="0"/>
                                          <w:marBottom w:val="0"/>
                                          <w:divBdr>
                                            <w:top w:val="none" w:sz="0" w:space="0" w:color="auto"/>
                                            <w:left w:val="none" w:sz="0" w:space="0" w:color="auto"/>
                                            <w:bottom w:val="none" w:sz="0" w:space="0" w:color="auto"/>
                                            <w:right w:val="none" w:sz="0" w:space="0" w:color="auto"/>
                                          </w:divBdr>
                                          <w:divsChild>
                                            <w:div w:id="99760326">
                                              <w:marLeft w:val="0"/>
                                              <w:marRight w:val="0"/>
                                              <w:marTop w:val="0"/>
                                              <w:marBottom w:val="0"/>
                                              <w:divBdr>
                                                <w:top w:val="none" w:sz="0" w:space="0" w:color="auto"/>
                                                <w:left w:val="none" w:sz="0" w:space="0" w:color="auto"/>
                                                <w:bottom w:val="none" w:sz="0" w:space="0" w:color="auto"/>
                                                <w:right w:val="none" w:sz="0" w:space="0" w:color="auto"/>
                                              </w:divBdr>
                                              <w:divsChild>
                                                <w:div w:id="1298340192">
                                                  <w:marLeft w:val="0"/>
                                                  <w:marRight w:val="0"/>
                                                  <w:marTop w:val="90"/>
                                                  <w:marBottom w:val="0"/>
                                                  <w:divBdr>
                                                    <w:top w:val="none" w:sz="0" w:space="0" w:color="auto"/>
                                                    <w:left w:val="none" w:sz="0" w:space="0" w:color="auto"/>
                                                    <w:bottom w:val="none" w:sz="0" w:space="0" w:color="auto"/>
                                                    <w:right w:val="none" w:sz="0" w:space="0" w:color="auto"/>
                                                  </w:divBdr>
                                                  <w:divsChild>
                                                    <w:div w:id="1760786119">
                                                      <w:marLeft w:val="0"/>
                                                      <w:marRight w:val="0"/>
                                                      <w:marTop w:val="0"/>
                                                      <w:marBottom w:val="0"/>
                                                      <w:divBdr>
                                                        <w:top w:val="none" w:sz="0" w:space="0" w:color="auto"/>
                                                        <w:left w:val="none" w:sz="0" w:space="0" w:color="auto"/>
                                                        <w:bottom w:val="none" w:sz="0" w:space="0" w:color="auto"/>
                                                        <w:right w:val="none" w:sz="0" w:space="0" w:color="auto"/>
                                                      </w:divBdr>
                                                      <w:divsChild>
                                                        <w:div w:id="1388334668">
                                                          <w:marLeft w:val="0"/>
                                                          <w:marRight w:val="0"/>
                                                          <w:marTop w:val="0"/>
                                                          <w:marBottom w:val="0"/>
                                                          <w:divBdr>
                                                            <w:top w:val="none" w:sz="0" w:space="0" w:color="auto"/>
                                                            <w:left w:val="none" w:sz="0" w:space="0" w:color="auto"/>
                                                            <w:bottom w:val="none" w:sz="0" w:space="0" w:color="auto"/>
                                                            <w:right w:val="none" w:sz="0" w:space="0" w:color="auto"/>
                                                          </w:divBdr>
                                                          <w:divsChild>
                                                            <w:div w:id="1271939302">
                                                              <w:marLeft w:val="0"/>
                                                              <w:marRight w:val="0"/>
                                                              <w:marTop w:val="0"/>
                                                              <w:marBottom w:val="390"/>
                                                              <w:divBdr>
                                                                <w:top w:val="none" w:sz="0" w:space="0" w:color="auto"/>
                                                                <w:left w:val="none" w:sz="0" w:space="0" w:color="auto"/>
                                                                <w:bottom w:val="none" w:sz="0" w:space="0" w:color="auto"/>
                                                                <w:right w:val="none" w:sz="0" w:space="0" w:color="auto"/>
                                                              </w:divBdr>
                                                              <w:divsChild>
                                                                <w:div w:id="291600087">
                                                                  <w:marLeft w:val="0"/>
                                                                  <w:marRight w:val="0"/>
                                                                  <w:marTop w:val="0"/>
                                                                  <w:marBottom w:val="0"/>
                                                                  <w:divBdr>
                                                                    <w:top w:val="none" w:sz="0" w:space="0" w:color="auto"/>
                                                                    <w:left w:val="none" w:sz="0" w:space="0" w:color="auto"/>
                                                                    <w:bottom w:val="none" w:sz="0" w:space="0" w:color="auto"/>
                                                                    <w:right w:val="none" w:sz="0" w:space="0" w:color="auto"/>
                                                                  </w:divBdr>
                                                                  <w:divsChild>
                                                                    <w:div w:id="1714966704">
                                                                      <w:marLeft w:val="0"/>
                                                                      <w:marRight w:val="0"/>
                                                                      <w:marTop w:val="0"/>
                                                                      <w:marBottom w:val="0"/>
                                                                      <w:divBdr>
                                                                        <w:top w:val="none" w:sz="0" w:space="0" w:color="auto"/>
                                                                        <w:left w:val="none" w:sz="0" w:space="0" w:color="auto"/>
                                                                        <w:bottom w:val="none" w:sz="0" w:space="0" w:color="auto"/>
                                                                        <w:right w:val="none" w:sz="0" w:space="0" w:color="auto"/>
                                                                      </w:divBdr>
                                                                      <w:divsChild>
                                                                        <w:div w:id="1639334979">
                                                                          <w:marLeft w:val="0"/>
                                                                          <w:marRight w:val="0"/>
                                                                          <w:marTop w:val="0"/>
                                                                          <w:marBottom w:val="0"/>
                                                                          <w:divBdr>
                                                                            <w:top w:val="none" w:sz="0" w:space="0" w:color="auto"/>
                                                                            <w:left w:val="none" w:sz="0" w:space="0" w:color="auto"/>
                                                                            <w:bottom w:val="none" w:sz="0" w:space="0" w:color="auto"/>
                                                                            <w:right w:val="none" w:sz="0" w:space="0" w:color="auto"/>
                                                                          </w:divBdr>
                                                                          <w:divsChild>
                                                                            <w:div w:id="1681660572">
                                                                              <w:marLeft w:val="0"/>
                                                                              <w:marRight w:val="0"/>
                                                                              <w:marTop w:val="0"/>
                                                                              <w:marBottom w:val="0"/>
                                                                              <w:divBdr>
                                                                                <w:top w:val="none" w:sz="0" w:space="0" w:color="auto"/>
                                                                                <w:left w:val="none" w:sz="0" w:space="0" w:color="auto"/>
                                                                                <w:bottom w:val="none" w:sz="0" w:space="0" w:color="auto"/>
                                                                                <w:right w:val="none" w:sz="0" w:space="0" w:color="auto"/>
                                                                              </w:divBdr>
                                                                              <w:divsChild>
                                                                                <w:div w:id="102656170">
                                                                                  <w:marLeft w:val="0"/>
                                                                                  <w:marRight w:val="0"/>
                                                                                  <w:marTop w:val="0"/>
                                                                                  <w:marBottom w:val="0"/>
                                                                                  <w:divBdr>
                                                                                    <w:top w:val="none" w:sz="0" w:space="0" w:color="auto"/>
                                                                                    <w:left w:val="none" w:sz="0" w:space="0" w:color="auto"/>
                                                                                    <w:bottom w:val="none" w:sz="0" w:space="0" w:color="auto"/>
                                                                                    <w:right w:val="none" w:sz="0" w:space="0" w:color="auto"/>
                                                                                  </w:divBdr>
                                                                                  <w:divsChild>
                                                                                    <w:div w:id="1062287054">
                                                                                      <w:marLeft w:val="0"/>
                                                                                      <w:marRight w:val="0"/>
                                                                                      <w:marTop w:val="0"/>
                                                                                      <w:marBottom w:val="0"/>
                                                                                      <w:divBdr>
                                                                                        <w:top w:val="none" w:sz="0" w:space="0" w:color="auto"/>
                                                                                        <w:left w:val="none" w:sz="0" w:space="0" w:color="auto"/>
                                                                                        <w:bottom w:val="none" w:sz="0" w:space="0" w:color="auto"/>
                                                                                        <w:right w:val="none" w:sz="0" w:space="0" w:color="auto"/>
                                                                                      </w:divBdr>
                                                                                      <w:divsChild>
                                                                                        <w:div w:id="1597517101">
                                                                                          <w:marLeft w:val="0"/>
                                                                                          <w:marRight w:val="0"/>
                                                                                          <w:marTop w:val="0"/>
                                                                                          <w:marBottom w:val="0"/>
                                                                                          <w:divBdr>
                                                                                            <w:top w:val="none" w:sz="0" w:space="0" w:color="auto"/>
                                                                                            <w:left w:val="none" w:sz="0" w:space="0" w:color="auto"/>
                                                                                            <w:bottom w:val="none" w:sz="0" w:space="0" w:color="auto"/>
                                                                                            <w:right w:val="none" w:sz="0" w:space="0" w:color="auto"/>
                                                                                          </w:divBdr>
                                                                                          <w:divsChild>
                                                                                            <w:div w:id="133472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5539119">
      <w:bodyDiv w:val="1"/>
      <w:marLeft w:val="0"/>
      <w:marRight w:val="0"/>
      <w:marTop w:val="0"/>
      <w:marBottom w:val="0"/>
      <w:divBdr>
        <w:top w:val="none" w:sz="0" w:space="0" w:color="auto"/>
        <w:left w:val="none" w:sz="0" w:space="0" w:color="auto"/>
        <w:bottom w:val="none" w:sz="0" w:space="0" w:color="auto"/>
        <w:right w:val="none" w:sz="0" w:space="0" w:color="auto"/>
      </w:divBdr>
      <w:divsChild>
        <w:div w:id="80302573">
          <w:marLeft w:val="0"/>
          <w:marRight w:val="0"/>
          <w:marTop w:val="0"/>
          <w:marBottom w:val="0"/>
          <w:divBdr>
            <w:top w:val="none" w:sz="0" w:space="0" w:color="auto"/>
            <w:left w:val="none" w:sz="0" w:space="0" w:color="auto"/>
            <w:bottom w:val="none" w:sz="0" w:space="0" w:color="auto"/>
            <w:right w:val="none" w:sz="0" w:space="0" w:color="auto"/>
          </w:divBdr>
          <w:divsChild>
            <w:div w:id="52048549">
              <w:marLeft w:val="0"/>
              <w:marRight w:val="0"/>
              <w:marTop w:val="0"/>
              <w:marBottom w:val="0"/>
              <w:divBdr>
                <w:top w:val="none" w:sz="0" w:space="0" w:color="auto"/>
                <w:left w:val="none" w:sz="0" w:space="0" w:color="auto"/>
                <w:bottom w:val="none" w:sz="0" w:space="0" w:color="auto"/>
                <w:right w:val="none" w:sz="0" w:space="0" w:color="auto"/>
              </w:divBdr>
              <w:divsChild>
                <w:div w:id="340662434">
                  <w:marLeft w:val="0"/>
                  <w:marRight w:val="0"/>
                  <w:marTop w:val="0"/>
                  <w:marBottom w:val="0"/>
                  <w:divBdr>
                    <w:top w:val="none" w:sz="0" w:space="0" w:color="auto"/>
                    <w:left w:val="none" w:sz="0" w:space="0" w:color="auto"/>
                    <w:bottom w:val="none" w:sz="0" w:space="0" w:color="auto"/>
                    <w:right w:val="none" w:sz="0" w:space="0" w:color="auto"/>
                  </w:divBdr>
                  <w:divsChild>
                    <w:div w:id="442264447">
                      <w:marLeft w:val="0"/>
                      <w:marRight w:val="0"/>
                      <w:marTop w:val="0"/>
                      <w:marBottom w:val="0"/>
                      <w:divBdr>
                        <w:top w:val="none" w:sz="0" w:space="0" w:color="auto"/>
                        <w:left w:val="none" w:sz="0" w:space="0" w:color="auto"/>
                        <w:bottom w:val="none" w:sz="0" w:space="0" w:color="auto"/>
                        <w:right w:val="none" w:sz="0" w:space="0" w:color="auto"/>
                      </w:divBdr>
                      <w:divsChild>
                        <w:div w:id="1282106302">
                          <w:marLeft w:val="0"/>
                          <w:marRight w:val="0"/>
                          <w:marTop w:val="45"/>
                          <w:marBottom w:val="0"/>
                          <w:divBdr>
                            <w:top w:val="none" w:sz="0" w:space="0" w:color="auto"/>
                            <w:left w:val="none" w:sz="0" w:space="0" w:color="auto"/>
                            <w:bottom w:val="none" w:sz="0" w:space="0" w:color="auto"/>
                            <w:right w:val="none" w:sz="0" w:space="0" w:color="auto"/>
                          </w:divBdr>
                          <w:divsChild>
                            <w:div w:id="691959501">
                              <w:marLeft w:val="0"/>
                              <w:marRight w:val="0"/>
                              <w:marTop w:val="0"/>
                              <w:marBottom w:val="0"/>
                              <w:divBdr>
                                <w:top w:val="none" w:sz="0" w:space="0" w:color="auto"/>
                                <w:left w:val="none" w:sz="0" w:space="0" w:color="auto"/>
                                <w:bottom w:val="none" w:sz="0" w:space="0" w:color="auto"/>
                                <w:right w:val="none" w:sz="0" w:space="0" w:color="auto"/>
                              </w:divBdr>
                              <w:divsChild>
                                <w:div w:id="212354634">
                                  <w:marLeft w:val="2070"/>
                                  <w:marRight w:val="3810"/>
                                  <w:marTop w:val="0"/>
                                  <w:marBottom w:val="0"/>
                                  <w:divBdr>
                                    <w:top w:val="none" w:sz="0" w:space="0" w:color="auto"/>
                                    <w:left w:val="none" w:sz="0" w:space="0" w:color="auto"/>
                                    <w:bottom w:val="none" w:sz="0" w:space="0" w:color="auto"/>
                                    <w:right w:val="none" w:sz="0" w:space="0" w:color="auto"/>
                                  </w:divBdr>
                                  <w:divsChild>
                                    <w:div w:id="462499340">
                                      <w:marLeft w:val="0"/>
                                      <w:marRight w:val="0"/>
                                      <w:marTop w:val="0"/>
                                      <w:marBottom w:val="0"/>
                                      <w:divBdr>
                                        <w:top w:val="none" w:sz="0" w:space="0" w:color="auto"/>
                                        <w:left w:val="none" w:sz="0" w:space="0" w:color="auto"/>
                                        <w:bottom w:val="none" w:sz="0" w:space="0" w:color="auto"/>
                                        <w:right w:val="none" w:sz="0" w:space="0" w:color="auto"/>
                                      </w:divBdr>
                                      <w:divsChild>
                                        <w:div w:id="177890078">
                                          <w:marLeft w:val="0"/>
                                          <w:marRight w:val="0"/>
                                          <w:marTop w:val="0"/>
                                          <w:marBottom w:val="0"/>
                                          <w:divBdr>
                                            <w:top w:val="none" w:sz="0" w:space="0" w:color="auto"/>
                                            <w:left w:val="none" w:sz="0" w:space="0" w:color="auto"/>
                                            <w:bottom w:val="none" w:sz="0" w:space="0" w:color="auto"/>
                                            <w:right w:val="none" w:sz="0" w:space="0" w:color="auto"/>
                                          </w:divBdr>
                                          <w:divsChild>
                                            <w:div w:id="599608065">
                                              <w:marLeft w:val="0"/>
                                              <w:marRight w:val="0"/>
                                              <w:marTop w:val="0"/>
                                              <w:marBottom w:val="0"/>
                                              <w:divBdr>
                                                <w:top w:val="none" w:sz="0" w:space="0" w:color="auto"/>
                                                <w:left w:val="none" w:sz="0" w:space="0" w:color="auto"/>
                                                <w:bottom w:val="none" w:sz="0" w:space="0" w:color="auto"/>
                                                <w:right w:val="none" w:sz="0" w:space="0" w:color="auto"/>
                                              </w:divBdr>
                                              <w:divsChild>
                                                <w:div w:id="1786266620">
                                                  <w:marLeft w:val="0"/>
                                                  <w:marRight w:val="0"/>
                                                  <w:marTop w:val="90"/>
                                                  <w:marBottom w:val="0"/>
                                                  <w:divBdr>
                                                    <w:top w:val="none" w:sz="0" w:space="0" w:color="auto"/>
                                                    <w:left w:val="none" w:sz="0" w:space="0" w:color="auto"/>
                                                    <w:bottom w:val="none" w:sz="0" w:space="0" w:color="auto"/>
                                                    <w:right w:val="none" w:sz="0" w:space="0" w:color="auto"/>
                                                  </w:divBdr>
                                                  <w:divsChild>
                                                    <w:div w:id="1232303131">
                                                      <w:marLeft w:val="0"/>
                                                      <w:marRight w:val="0"/>
                                                      <w:marTop w:val="0"/>
                                                      <w:marBottom w:val="0"/>
                                                      <w:divBdr>
                                                        <w:top w:val="none" w:sz="0" w:space="0" w:color="auto"/>
                                                        <w:left w:val="none" w:sz="0" w:space="0" w:color="auto"/>
                                                        <w:bottom w:val="none" w:sz="0" w:space="0" w:color="auto"/>
                                                        <w:right w:val="none" w:sz="0" w:space="0" w:color="auto"/>
                                                      </w:divBdr>
                                                      <w:divsChild>
                                                        <w:div w:id="694038236">
                                                          <w:marLeft w:val="0"/>
                                                          <w:marRight w:val="0"/>
                                                          <w:marTop w:val="0"/>
                                                          <w:marBottom w:val="0"/>
                                                          <w:divBdr>
                                                            <w:top w:val="none" w:sz="0" w:space="0" w:color="auto"/>
                                                            <w:left w:val="none" w:sz="0" w:space="0" w:color="auto"/>
                                                            <w:bottom w:val="none" w:sz="0" w:space="0" w:color="auto"/>
                                                            <w:right w:val="none" w:sz="0" w:space="0" w:color="auto"/>
                                                          </w:divBdr>
                                                          <w:divsChild>
                                                            <w:div w:id="464739592">
                                                              <w:marLeft w:val="0"/>
                                                              <w:marRight w:val="0"/>
                                                              <w:marTop w:val="0"/>
                                                              <w:marBottom w:val="390"/>
                                                              <w:divBdr>
                                                                <w:top w:val="none" w:sz="0" w:space="0" w:color="auto"/>
                                                                <w:left w:val="none" w:sz="0" w:space="0" w:color="auto"/>
                                                                <w:bottom w:val="none" w:sz="0" w:space="0" w:color="auto"/>
                                                                <w:right w:val="none" w:sz="0" w:space="0" w:color="auto"/>
                                                              </w:divBdr>
                                                              <w:divsChild>
                                                                <w:div w:id="916479817">
                                                                  <w:marLeft w:val="0"/>
                                                                  <w:marRight w:val="0"/>
                                                                  <w:marTop w:val="0"/>
                                                                  <w:marBottom w:val="0"/>
                                                                  <w:divBdr>
                                                                    <w:top w:val="none" w:sz="0" w:space="0" w:color="auto"/>
                                                                    <w:left w:val="none" w:sz="0" w:space="0" w:color="auto"/>
                                                                    <w:bottom w:val="none" w:sz="0" w:space="0" w:color="auto"/>
                                                                    <w:right w:val="none" w:sz="0" w:space="0" w:color="auto"/>
                                                                  </w:divBdr>
                                                                  <w:divsChild>
                                                                    <w:div w:id="135416245">
                                                                      <w:marLeft w:val="0"/>
                                                                      <w:marRight w:val="0"/>
                                                                      <w:marTop w:val="0"/>
                                                                      <w:marBottom w:val="0"/>
                                                                      <w:divBdr>
                                                                        <w:top w:val="none" w:sz="0" w:space="0" w:color="auto"/>
                                                                        <w:left w:val="none" w:sz="0" w:space="0" w:color="auto"/>
                                                                        <w:bottom w:val="none" w:sz="0" w:space="0" w:color="auto"/>
                                                                        <w:right w:val="none" w:sz="0" w:space="0" w:color="auto"/>
                                                                      </w:divBdr>
                                                                      <w:divsChild>
                                                                        <w:div w:id="565799783">
                                                                          <w:marLeft w:val="0"/>
                                                                          <w:marRight w:val="0"/>
                                                                          <w:marTop w:val="0"/>
                                                                          <w:marBottom w:val="0"/>
                                                                          <w:divBdr>
                                                                            <w:top w:val="none" w:sz="0" w:space="0" w:color="auto"/>
                                                                            <w:left w:val="none" w:sz="0" w:space="0" w:color="auto"/>
                                                                            <w:bottom w:val="none" w:sz="0" w:space="0" w:color="auto"/>
                                                                            <w:right w:val="none" w:sz="0" w:space="0" w:color="auto"/>
                                                                          </w:divBdr>
                                                                          <w:divsChild>
                                                                            <w:div w:id="1835339998">
                                                                              <w:marLeft w:val="0"/>
                                                                              <w:marRight w:val="0"/>
                                                                              <w:marTop w:val="0"/>
                                                                              <w:marBottom w:val="0"/>
                                                                              <w:divBdr>
                                                                                <w:top w:val="none" w:sz="0" w:space="0" w:color="auto"/>
                                                                                <w:left w:val="none" w:sz="0" w:space="0" w:color="auto"/>
                                                                                <w:bottom w:val="none" w:sz="0" w:space="0" w:color="auto"/>
                                                                                <w:right w:val="none" w:sz="0" w:space="0" w:color="auto"/>
                                                                              </w:divBdr>
                                                                              <w:divsChild>
                                                                                <w:div w:id="1929145211">
                                                                                  <w:marLeft w:val="0"/>
                                                                                  <w:marRight w:val="0"/>
                                                                                  <w:marTop w:val="0"/>
                                                                                  <w:marBottom w:val="0"/>
                                                                                  <w:divBdr>
                                                                                    <w:top w:val="none" w:sz="0" w:space="0" w:color="auto"/>
                                                                                    <w:left w:val="none" w:sz="0" w:space="0" w:color="auto"/>
                                                                                    <w:bottom w:val="none" w:sz="0" w:space="0" w:color="auto"/>
                                                                                    <w:right w:val="none" w:sz="0" w:space="0" w:color="auto"/>
                                                                                  </w:divBdr>
                                                                                  <w:divsChild>
                                                                                    <w:div w:id="1455368057">
                                                                                      <w:marLeft w:val="0"/>
                                                                                      <w:marRight w:val="0"/>
                                                                                      <w:marTop w:val="0"/>
                                                                                      <w:marBottom w:val="0"/>
                                                                                      <w:divBdr>
                                                                                        <w:top w:val="none" w:sz="0" w:space="0" w:color="auto"/>
                                                                                        <w:left w:val="none" w:sz="0" w:space="0" w:color="auto"/>
                                                                                        <w:bottom w:val="none" w:sz="0" w:space="0" w:color="auto"/>
                                                                                        <w:right w:val="none" w:sz="0" w:space="0" w:color="auto"/>
                                                                                      </w:divBdr>
                                                                                      <w:divsChild>
                                                                                        <w:div w:id="635333365">
                                                                                          <w:marLeft w:val="0"/>
                                                                                          <w:marRight w:val="0"/>
                                                                                          <w:marTop w:val="0"/>
                                                                                          <w:marBottom w:val="0"/>
                                                                                          <w:divBdr>
                                                                                            <w:top w:val="none" w:sz="0" w:space="0" w:color="auto"/>
                                                                                            <w:left w:val="none" w:sz="0" w:space="0" w:color="auto"/>
                                                                                            <w:bottom w:val="none" w:sz="0" w:space="0" w:color="auto"/>
                                                                                            <w:right w:val="none" w:sz="0" w:space="0" w:color="auto"/>
                                                                                          </w:divBdr>
                                                                                          <w:divsChild>
                                                                                            <w:div w:id="104086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6848921">
      <w:bodyDiv w:val="1"/>
      <w:marLeft w:val="0"/>
      <w:marRight w:val="0"/>
      <w:marTop w:val="0"/>
      <w:marBottom w:val="0"/>
      <w:divBdr>
        <w:top w:val="none" w:sz="0" w:space="0" w:color="auto"/>
        <w:left w:val="none" w:sz="0" w:space="0" w:color="auto"/>
        <w:bottom w:val="none" w:sz="0" w:space="0" w:color="auto"/>
        <w:right w:val="none" w:sz="0" w:space="0" w:color="auto"/>
      </w:divBdr>
    </w:div>
    <w:div w:id="407963301">
      <w:bodyDiv w:val="1"/>
      <w:marLeft w:val="0"/>
      <w:marRight w:val="0"/>
      <w:marTop w:val="0"/>
      <w:marBottom w:val="0"/>
      <w:divBdr>
        <w:top w:val="none" w:sz="0" w:space="0" w:color="auto"/>
        <w:left w:val="none" w:sz="0" w:space="0" w:color="auto"/>
        <w:bottom w:val="none" w:sz="0" w:space="0" w:color="auto"/>
        <w:right w:val="none" w:sz="0" w:space="0" w:color="auto"/>
      </w:divBdr>
    </w:div>
    <w:div w:id="415319960">
      <w:bodyDiv w:val="1"/>
      <w:marLeft w:val="0"/>
      <w:marRight w:val="0"/>
      <w:marTop w:val="0"/>
      <w:marBottom w:val="0"/>
      <w:divBdr>
        <w:top w:val="none" w:sz="0" w:space="0" w:color="auto"/>
        <w:left w:val="none" w:sz="0" w:space="0" w:color="auto"/>
        <w:bottom w:val="none" w:sz="0" w:space="0" w:color="auto"/>
        <w:right w:val="none" w:sz="0" w:space="0" w:color="auto"/>
      </w:divBdr>
      <w:divsChild>
        <w:div w:id="1945846939">
          <w:marLeft w:val="0"/>
          <w:marRight w:val="0"/>
          <w:marTop w:val="0"/>
          <w:marBottom w:val="0"/>
          <w:divBdr>
            <w:top w:val="none" w:sz="0" w:space="0" w:color="auto"/>
            <w:left w:val="none" w:sz="0" w:space="0" w:color="auto"/>
            <w:bottom w:val="none" w:sz="0" w:space="0" w:color="auto"/>
            <w:right w:val="none" w:sz="0" w:space="0" w:color="auto"/>
          </w:divBdr>
          <w:divsChild>
            <w:div w:id="170682495">
              <w:marLeft w:val="0"/>
              <w:marRight w:val="0"/>
              <w:marTop w:val="0"/>
              <w:marBottom w:val="0"/>
              <w:divBdr>
                <w:top w:val="none" w:sz="0" w:space="0" w:color="auto"/>
                <w:left w:val="none" w:sz="0" w:space="0" w:color="auto"/>
                <w:bottom w:val="none" w:sz="0" w:space="0" w:color="auto"/>
                <w:right w:val="none" w:sz="0" w:space="0" w:color="auto"/>
              </w:divBdr>
              <w:divsChild>
                <w:div w:id="1404372899">
                  <w:marLeft w:val="0"/>
                  <w:marRight w:val="0"/>
                  <w:marTop w:val="0"/>
                  <w:marBottom w:val="0"/>
                  <w:divBdr>
                    <w:top w:val="none" w:sz="0" w:space="0" w:color="auto"/>
                    <w:left w:val="none" w:sz="0" w:space="0" w:color="auto"/>
                    <w:bottom w:val="none" w:sz="0" w:space="0" w:color="auto"/>
                    <w:right w:val="none" w:sz="0" w:space="0" w:color="auto"/>
                  </w:divBdr>
                  <w:divsChild>
                    <w:div w:id="261882992">
                      <w:marLeft w:val="0"/>
                      <w:marRight w:val="0"/>
                      <w:marTop w:val="45"/>
                      <w:marBottom w:val="0"/>
                      <w:divBdr>
                        <w:top w:val="none" w:sz="0" w:space="0" w:color="auto"/>
                        <w:left w:val="none" w:sz="0" w:space="0" w:color="auto"/>
                        <w:bottom w:val="none" w:sz="0" w:space="0" w:color="auto"/>
                        <w:right w:val="none" w:sz="0" w:space="0" w:color="auto"/>
                      </w:divBdr>
                      <w:divsChild>
                        <w:div w:id="699204792">
                          <w:marLeft w:val="0"/>
                          <w:marRight w:val="0"/>
                          <w:marTop w:val="0"/>
                          <w:marBottom w:val="0"/>
                          <w:divBdr>
                            <w:top w:val="none" w:sz="0" w:space="0" w:color="auto"/>
                            <w:left w:val="none" w:sz="0" w:space="0" w:color="auto"/>
                            <w:bottom w:val="none" w:sz="0" w:space="0" w:color="auto"/>
                            <w:right w:val="none" w:sz="0" w:space="0" w:color="auto"/>
                          </w:divBdr>
                          <w:divsChild>
                            <w:div w:id="839278470">
                              <w:marLeft w:val="2070"/>
                              <w:marRight w:val="3960"/>
                              <w:marTop w:val="0"/>
                              <w:marBottom w:val="0"/>
                              <w:divBdr>
                                <w:top w:val="none" w:sz="0" w:space="0" w:color="auto"/>
                                <w:left w:val="none" w:sz="0" w:space="0" w:color="auto"/>
                                <w:bottom w:val="none" w:sz="0" w:space="0" w:color="auto"/>
                                <w:right w:val="none" w:sz="0" w:space="0" w:color="auto"/>
                              </w:divBdr>
                              <w:divsChild>
                                <w:div w:id="727611819">
                                  <w:marLeft w:val="0"/>
                                  <w:marRight w:val="0"/>
                                  <w:marTop w:val="0"/>
                                  <w:marBottom w:val="0"/>
                                  <w:divBdr>
                                    <w:top w:val="none" w:sz="0" w:space="0" w:color="auto"/>
                                    <w:left w:val="none" w:sz="0" w:space="0" w:color="auto"/>
                                    <w:bottom w:val="none" w:sz="0" w:space="0" w:color="auto"/>
                                    <w:right w:val="none" w:sz="0" w:space="0" w:color="auto"/>
                                  </w:divBdr>
                                  <w:divsChild>
                                    <w:div w:id="937912235">
                                      <w:marLeft w:val="0"/>
                                      <w:marRight w:val="0"/>
                                      <w:marTop w:val="0"/>
                                      <w:marBottom w:val="0"/>
                                      <w:divBdr>
                                        <w:top w:val="none" w:sz="0" w:space="0" w:color="auto"/>
                                        <w:left w:val="none" w:sz="0" w:space="0" w:color="auto"/>
                                        <w:bottom w:val="none" w:sz="0" w:space="0" w:color="auto"/>
                                        <w:right w:val="none" w:sz="0" w:space="0" w:color="auto"/>
                                      </w:divBdr>
                                      <w:divsChild>
                                        <w:div w:id="202400049">
                                          <w:marLeft w:val="0"/>
                                          <w:marRight w:val="0"/>
                                          <w:marTop w:val="0"/>
                                          <w:marBottom w:val="0"/>
                                          <w:divBdr>
                                            <w:top w:val="none" w:sz="0" w:space="0" w:color="auto"/>
                                            <w:left w:val="none" w:sz="0" w:space="0" w:color="auto"/>
                                            <w:bottom w:val="none" w:sz="0" w:space="0" w:color="auto"/>
                                            <w:right w:val="none" w:sz="0" w:space="0" w:color="auto"/>
                                          </w:divBdr>
                                          <w:divsChild>
                                            <w:div w:id="101346926">
                                              <w:marLeft w:val="0"/>
                                              <w:marRight w:val="0"/>
                                              <w:marTop w:val="90"/>
                                              <w:marBottom w:val="0"/>
                                              <w:divBdr>
                                                <w:top w:val="none" w:sz="0" w:space="0" w:color="auto"/>
                                                <w:left w:val="none" w:sz="0" w:space="0" w:color="auto"/>
                                                <w:bottom w:val="none" w:sz="0" w:space="0" w:color="auto"/>
                                                <w:right w:val="none" w:sz="0" w:space="0" w:color="auto"/>
                                              </w:divBdr>
                                              <w:divsChild>
                                                <w:div w:id="1640109334">
                                                  <w:marLeft w:val="0"/>
                                                  <w:marRight w:val="0"/>
                                                  <w:marTop w:val="0"/>
                                                  <w:marBottom w:val="0"/>
                                                  <w:divBdr>
                                                    <w:top w:val="none" w:sz="0" w:space="0" w:color="auto"/>
                                                    <w:left w:val="none" w:sz="0" w:space="0" w:color="auto"/>
                                                    <w:bottom w:val="none" w:sz="0" w:space="0" w:color="auto"/>
                                                    <w:right w:val="none" w:sz="0" w:space="0" w:color="auto"/>
                                                  </w:divBdr>
                                                  <w:divsChild>
                                                    <w:div w:id="1504396158">
                                                      <w:marLeft w:val="0"/>
                                                      <w:marRight w:val="0"/>
                                                      <w:marTop w:val="0"/>
                                                      <w:marBottom w:val="0"/>
                                                      <w:divBdr>
                                                        <w:top w:val="none" w:sz="0" w:space="0" w:color="auto"/>
                                                        <w:left w:val="none" w:sz="0" w:space="0" w:color="auto"/>
                                                        <w:bottom w:val="none" w:sz="0" w:space="0" w:color="auto"/>
                                                        <w:right w:val="none" w:sz="0" w:space="0" w:color="auto"/>
                                                      </w:divBdr>
                                                      <w:divsChild>
                                                        <w:div w:id="846017912">
                                                          <w:marLeft w:val="0"/>
                                                          <w:marRight w:val="0"/>
                                                          <w:marTop w:val="0"/>
                                                          <w:marBottom w:val="390"/>
                                                          <w:divBdr>
                                                            <w:top w:val="none" w:sz="0" w:space="0" w:color="auto"/>
                                                            <w:left w:val="none" w:sz="0" w:space="0" w:color="auto"/>
                                                            <w:bottom w:val="none" w:sz="0" w:space="0" w:color="auto"/>
                                                            <w:right w:val="none" w:sz="0" w:space="0" w:color="auto"/>
                                                          </w:divBdr>
                                                          <w:divsChild>
                                                            <w:div w:id="497384374">
                                                              <w:marLeft w:val="0"/>
                                                              <w:marRight w:val="0"/>
                                                              <w:marTop w:val="0"/>
                                                              <w:marBottom w:val="0"/>
                                                              <w:divBdr>
                                                                <w:top w:val="none" w:sz="0" w:space="0" w:color="auto"/>
                                                                <w:left w:val="none" w:sz="0" w:space="0" w:color="auto"/>
                                                                <w:bottom w:val="none" w:sz="0" w:space="0" w:color="auto"/>
                                                                <w:right w:val="none" w:sz="0" w:space="0" w:color="auto"/>
                                                              </w:divBdr>
                                                              <w:divsChild>
                                                                <w:div w:id="1372028881">
                                                                  <w:marLeft w:val="0"/>
                                                                  <w:marRight w:val="0"/>
                                                                  <w:marTop w:val="0"/>
                                                                  <w:marBottom w:val="0"/>
                                                                  <w:divBdr>
                                                                    <w:top w:val="none" w:sz="0" w:space="0" w:color="auto"/>
                                                                    <w:left w:val="none" w:sz="0" w:space="0" w:color="auto"/>
                                                                    <w:bottom w:val="none" w:sz="0" w:space="0" w:color="auto"/>
                                                                    <w:right w:val="none" w:sz="0" w:space="0" w:color="auto"/>
                                                                  </w:divBdr>
                                                                  <w:divsChild>
                                                                    <w:div w:id="935138494">
                                                                      <w:marLeft w:val="0"/>
                                                                      <w:marRight w:val="0"/>
                                                                      <w:marTop w:val="0"/>
                                                                      <w:marBottom w:val="0"/>
                                                                      <w:divBdr>
                                                                        <w:top w:val="none" w:sz="0" w:space="0" w:color="auto"/>
                                                                        <w:left w:val="none" w:sz="0" w:space="0" w:color="auto"/>
                                                                        <w:bottom w:val="none" w:sz="0" w:space="0" w:color="auto"/>
                                                                        <w:right w:val="none" w:sz="0" w:space="0" w:color="auto"/>
                                                                      </w:divBdr>
                                                                      <w:divsChild>
                                                                        <w:div w:id="222446341">
                                                                          <w:marLeft w:val="0"/>
                                                                          <w:marRight w:val="0"/>
                                                                          <w:marTop w:val="0"/>
                                                                          <w:marBottom w:val="0"/>
                                                                          <w:divBdr>
                                                                            <w:top w:val="none" w:sz="0" w:space="0" w:color="auto"/>
                                                                            <w:left w:val="none" w:sz="0" w:space="0" w:color="auto"/>
                                                                            <w:bottom w:val="none" w:sz="0" w:space="0" w:color="auto"/>
                                                                            <w:right w:val="none" w:sz="0" w:space="0" w:color="auto"/>
                                                                          </w:divBdr>
                                                                          <w:divsChild>
                                                                            <w:div w:id="1000962741">
                                                                              <w:marLeft w:val="0"/>
                                                                              <w:marRight w:val="0"/>
                                                                              <w:marTop w:val="0"/>
                                                                              <w:marBottom w:val="0"/>
                                                                              <w:divBdr>
                                                                                <w:top w:val="none" w:sz="0" w:space="0" w:color="auto"/>
                                                                                <w:left w:val="none" w:sz="0" w:space="0" w:color="auto"/>
                                                                                <w:bottom w:val="none" w:sz="0" w:space="0" w:color="auto"/>
                                                                                <w:right w:val="none" w:sz="0" w:space="0" w:color="auto"/>
                                                                              </w:divBdr>
                                                                              <w:divsChild>
                                                                                <w:div w:id="1277954707">
                                                                                  <w:marLeft w:val="0"/>
                                                                                  <w:marRight w:val="0"/>
                                                                                  <w:marTop w:val="0"/>
                                                                                  <w:marBottom w:val="0"/>
                                                                                  <w:divBdr>
                                                                                    <w:top w:val="none" w:sz="0" w:space="0" w:color="auto"/>
                                                                                    <w:left w:val="none" w:sz="0" w:space="0" w:color="auto"/>
                                                                                    <w:bottom w:val="none" w:sz="0" w:space="0" w:color="auto"/>
                                                                                    <w:right w:val="none" w:sz="0" w:space="0" w:color="auto"/>
                                                                                  </w:divBdr>
                                                                                  <w:divsChild>
                                                                                    <w:div w:id="2013987949">
                                                                                      <w:marLeft w:val="0"/>
                                                                                      <w:marRight w:val="0"/>
                                                                                      <w:marTop w:val="0"/>
                                                                                      <w:marBottom w:val="0"/>
                                                                                      <w:divBdr>
                                                                                        <w:top w:val="none" w:sz="0" w:space="0" w:color="auto"/>
                                                                                        <w:left w:val="none" w:sz="0" w:space="0" w:color="auto"/>
                                                                                        <w:bottom w:val="none" w:sz="0" w:space="0" w:color="auto"/>
                                                                                        <w:right w:val="none" w:sz="0" w:space="0" w:color="auto"/>
                                                                                      </w:divBdr>
                                                                                      <w:divsChild>
                                                                                        <w:div w:id="4456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9977744">
      <w:bodyDiv w:val="1"/>
      <w:marLeft w:val="0"/>
      <w:marRight w:val="0"/>
      <w:marTop w:val="0"/>
      <w:marBottom w:val="0"/>
      <w:divBdr>
        <w:top w:val="none" w:sz="0" w:space="0" w:color="auto"/>
        <w:left w:val="none" w:sz="0" w:space="0" w:color="auto"/>
        <w:bottom w:val="none" w:sz="0" w:space="0" w:color="auto"/>
        <w:right w:val="none" w:sz="0" w:space="0" w:color="auto"/>
      </w:divBdr>
    </w:div>
    <w:div w:id="457066476">
      <w:bodyDiv w:val="1"/>
      <w:marLeft w:val="0"/>
      <w:marRight w:val="0"/>
      <w:marTop w:val="0"/>
      <w:marBottom w:val="0"/>
      <w:divBdr>
        <w:top w:val="none" w:sz="0" w:space="0" w:color="auto"/>
        <w:left w:val="none" w:sz="0" w:space="0" w:color="auto"/>
        <w:bottom w:val="none" w:sz="0" w:space="0" w:color="auto"/>
        <w:right w:val="none" w:sz="0" w:space="0" w:color="auto"/>
      </w:divBdr>
      <w:divsChild>
        <w:div w:id="287901991">
          <w:marLeft w:val="0"/>
          <w:marRight w:val="0"/>
          <w:marTop w:val="0"/>
          <w:marBottom w:val="0"/>
          <w:divBdr>
            <w:top w:val="none" w:sz="0" w:space="0" w:color="auto"/>
            <w:left w:val="none" w:sz="0" w:space="0" w:color="auto"/>
            <w:bottom w:val="none" w:sz="0" w:space="0" w:color="auto"/>
            <w:right w:val="none" w:sz="0" w:space="0" w:color="auto"/>
          </w:divBdr>
          <w:divsChild>
            <w:div w:id="102917898">
              <w:marLeft w:val="0"/>
              <w:marRight w:val="0"/>
              <w:marTop w:val="0"/>
              <w:marBottom w:val="0"/>
              <w:divBdr>
                <w:top w:val="none" w:sz="0" w:space="0" w:color="auto"/>
                <w:left w:val="none" w:sz="0" w:space="0" w:color="auto"/>
                <w:bottom w:val="none" w:sz="0" w:space="0" w:color="auto"/>
                <w:right w:val="none" w:sz="0" w:space="0" w:color="auto"/>
              </w:divBdr>
              <w:divsChild>
                <w:div w:id="485367817">
                  <w:marLeft w:val="0"/>
                  <w:marRight w:val="0"/>
                  <w:marTop w:val="0"/>
                  <w:marBottom w:val="0"/>
                  <w:divBdr>
                    <w:top w:val="none" w:sz="0" w:space="0" w:color="auto"/>
                    <w:left w:val="none" w:sz="0" w:space="0" w:color="auto"/>
                    <w:bottom w:val="none" w:sz="0" w:space="0" w:color="auto"/>
                    <w:right w:val="none" w:sz="0" w:space="0" w:color="auto"/>
                  </w:divBdr>
                  <w:divsChild>
                    <w:div w:id="859776403">
                      <w:marLeft w:val="0"/>
                      <w:marRight w:val="0"/>
                      <w:marTop w:val="0"/>
                      <w:marBottom w:val="0"/>
                      <w:divBdr>
                        <w:top w:val="none" w:sz="0" w:space="0" w:color="auto"/>
                        <w:left w:val="none" w:sz="0" w:space="0" w:color="auto"/>
                        <w:bottom w:val="none" w:sz="0" w:space="0" w:color="auto"/>
                        <w:right w:val="none" w:sz="0" w:space="0" w:color="auto"/>
                      </w:divBdr>
                      <w:divsChild>
                        <w:div w:id="1385909862">
                          <w:marLeft w:val="0"/>
                          <w:marRight w:val="0"/>
                          <w:marTop w:val="45"/>
                          <w:marBottom w:val="0"/>
                          <w:divBdr>
                            <w:top w:val="none" w:sz="0" w:space="0" w:color="auto"/>
                            <w:left w:val="none" w:sz="0" w:space="0" w:color="auto"/>
                            <w:bottom w:val="none" w:sz="0" w:space="0" w:color="auto"/>
                            <w:right w:val="none" w:sz="0" w:space="0" w:color="auto"/>
                          </w:divBdr>
                          <w:divsChild>
                            <w:div w:id="666400765">
                              <w:marLeft w:val="0"/>
                              <w:marRight w:val="0"/>
                              <w:marTop w:val="0"/>
                              <w:marBottom w:val="0"/>
                              <w:divBdr>
                                <w:top w:val="none" w:sz="0" w:space="0" w:color="auto"/>
                                <w:left w:val="none" w:sz="0" w:space="0" w:color="auto"/>
                                <w:bottom w:val="none" w:sz="0" w:space="0" w:color="auto"/>
                                <w:right w:val="none" w:sz="0" w:space="0" w:color="auto"/>
                              </w:divBdr>
                              <w:divsChild>
                                <w:div w:id="1422138985">
                                  <w:marLeft w:val="2070"/>
                                  <w:marRight w:val="3810"/>
                                  <w:marTop w:val="0"/>
                                  <w:marBottom w:val="0"/>
                                  <w:divBdr>
                                    <w:top w:val="none" w:sz="0" w:space="0" w:color="auto"/>
                                    <w:left w:val="none" w:sz="0" w:space="0" w:color="auto"/>
                                    <w:bottom w:val="none" w:sz="0" w:space="0" w:color="auto"/>
                                    <w:right w:val="none" w:sz="0" w:space="0" w:color="auto"/>
                                  </w:divBdr>
                                  <w:divsChild>
                                    <w:div w:id="1064915869">
                                      <w:marLeft w:val="0"/>
                                      <w:marRight w:val="0"/>
                                      <w:marTop w:val="0"/>
                                      <w:marBottom w:val="0"/>
                                      <w:divBdr>
                                        <w:top w:val="none" w:sz="0" w:space="0" w:color="auto"/>
                                        <w:left w:val="none" w:sz="0" w:space="0" w:color="auto"/>
                                        <w:bottom w:val="none" w:sz="0" w:space="0" w:color="auto"/>
                                        <w:right w:val="none" w:sz="0" w:space="0" w:color="auto"/>
                                      </w:divBdr>
                                      <w:divsChild>
                                        <w:div w:id="1295599489">
                                          <w:marLeft w:val="0"/>
                                          <w:marRight w:val="0"/>
                                          <w:marTop w:val="0"/>
                                          <w:marBottom w:val="0"/>
                                          <w:divBdr>
                                            <w:top w:val="none" w:sz="0" w:space="0" w:color="auto"/>
                                            <w:left w:val="none" w:sz="0" w:space="0" w:color="auto"/>
                                            <w:bottom w:val="none" w:sz="0" w:space="0" w:color="auto"/>
                                            <w:right w:val="none" w:sz="0" w:space="0" w:color="auto"/>
                                          </w:divBdr>
                                          <w:divsChild>
                                            <w:div w:id="1142161640">
                                              <w:marLeft w:val="0"/>
                                              <w:marRight w:val="0"/>
                                              <w:marTop w:val="0"/>
                                              <w:marBottom w:val="0"/>
                                              <w:divBdr>
                                                <w:top w:val="none" w:sz="0" w:space="0" w:color="auto"/>
                                                <w:left w:val="none" w:sz="0" w:space="0" w:color="auto"/>
                                                <w:bottom w:val="none" w:sz="0" w:space="0" w:color="auto"/>
                                                <w:right w:val="none" w:sz="0" w:space="0" w:color="auto"/>
                                              </w:divBdr>
                                              <w:divsChild>
                                                <w:div w:id="485630483">
                                                  <w:marLeft w:val="0"/>
                                                  <w:marRight w:val="0"/>
                                                  <w:marTop w:val="90"/>
                                                  <w:marBottom w:val="0"/>
                                                  <w:divBdr>
                                                    <w:top w:val="none" w:sz="0" w:space="0" w:color="auto"/>
                                                    <w:left w:val="none" w:sz="0" w:space="0" w:color="auto"/>
                                                    <w:bottom w:val="none" w:sz="0" w:space="0" w:color="auto"/>
                                                    <w:right w:val="none" w:sz="0" w:space="0" w:color="auto"/>
                                                  </w:divBdr>
                                                  <w:divsChild>
                                                    <w:div w:id="1081374349">
                                                      <w:marLeft w:val="0"/>
                                                      <w:marRight w:val="0"/>
                                                      <w:marTop w:val="0"/>
                                                      <w:marBottom w:val="0"/>
                                                      <w:divBdr>
                                                        <w:top w:val="none" w:sz="0" w:space="0" w:color="auto"/>
                                                        <w:left w:val="none" w:sz="0" w:space="0" w:color="auto"/>
                                                        <w:bottom w:val="none" w:sz="0" w:space="0" w:color="auto"/>
                                                        <w:right w:val="none" w:sz="0" w:space="0" w:color="auto"/>
                                                      </w:divBdr>
                                                      <w:divsChild>
                                                        <w:div w:id="1075470798">
                                                          <w:marLeft w:val="0"/>
                                                          <w:marRight w:val="0"/>
                                                          <w:marTop w:val="0"/>
                                                          <w:marBottom w:val="0"/>
                                                          <w:divBdr>
                                                            <w:top w:val="none" w:sz="0" w:space="0" w:color="auto"/>
                                                            <w:left w:val="none" w:sz="0" w:space="0" w:color="auto"/>
                                                            <w:bottom w:val="none" w:sz="0" w:space="0" w:color="auto"/>
                                                            <w:right w:val="none" w:sz="0" w:space="0" w:color="auto"/>
                                                          </w:divBdr>
                                                          <w:divsChild>
                                                            <w:div w:id="1801652303">
                                                              <w:marLeft w:val="0"/>
                                                              <w:marRight w:val="0"/>
                                                              <w:marTop w:val="0"/>
                                                              <w:marBottom w:val="390"/>
                                                              <w:divBdr>
                                                                <w:top w:val="none" w:sz="0" w:space="0" w:color="auto"/>
                                                                <w:left w:val="none" w:sz="0" w:space="0" w:color="auto"/>
                                                                <w:bottom w:val="none" w:sz="0" w:space="0" w:color="auto"/>
                                                                <w:right w:val="none" w:sz="0" w:space="0" w:color="auto"/>
                                                              </w:divBdr>
                                                              <w:divsChild>
                                                                <w:div w:id="470220913">
                                                                  <w:marLeft w:val="0"/>
                                                                  <w:marRight w:val="0"/>
                                                                  <w:marTop w:val="0"/>
                                                                  <w:marBottom w:val="0"/>
                                                                  <w:divBdr>
                                                                    <w:top w:val="none" w:sz="0" w:space="0" w:color="auto"/>
                                                                    <w:left w:val="none" w:sz="0" w:space="0" w:color="auto"/>
                                                                    <w:bottom w:val="none" w:sz="0" w:space="0" w:color="auto"/>
                                                                    <w:right w:val="none" w:sz="0" w:space="0" w:color="auto"/>
                                                                  </w:divBdr>
                                                                  <w:divsChild>
                                                                    <w:div w:id="1007098996">
                                                                      <w:marLeft w:val="0"/>
                                                                      <w:marRight w:val="0"/>
                                                                      <w:marTop w:val="0"/>
                                                                      <w:marBottom w:val="0"/>
                                                                      <w:divBdr>
                                                                        <w:top w:val="none" w:sz="0" w:space="0" w:color="auto"/>
                                                                        <w:left w:val="none" w:sz="0" w:space="0" w:color="auto"/>
                                                                        <w:bottom w:val="none" w:sz="0" w:space="0" w:color="auto"/>
                                                                        <w:right w:val="none" w:sz="0" w:space="0" w:color="auto"/>
                                                                      </w:divBdr>
                                                                      <w:divsChild>
                                                                        <w:div w:id="1828472121">
                                                                          <w:marLeft w:val="0"/>
                                                                          <w:marRight w:val="0"/>
                                                                          <w:marTop w:val="0"/>
                                                                          <w:marBottom w:val="0"/>
                                                                          <w:divBdr>
                                                                            <w:top w:val="none" w:sz="0" w:space="0" w:color="auto"/>
                                                                            <w:left w:val="none" w:sz="0" w:space="0" w:color="auto"/>
                                                                            <w:bottom w:val="none" w:sz="0" w:space="0" w:color="auto"/>
                                                                            <w:right w:val="none" w:sz="0" w:space="0" w:color="auto"/>
                                                                          </w:divBdr>
                                                                          <w:divsChild>
                                                                            <w:div w:id="1188636644">
                                                                              <w:marLeft w:val="0"/>
                                                                              <w:marRight w:val="0"/>
                                                                              <w:marTop w:val="0"/>
                                                                              <w:marBottom w:val="0"/>
                                                                              <w:divBdr>
                                                                                <w:top w:val="none" w:sz="0" w:space="0" w:color="auto"/>
                                                                                <w:left w:val="none" w:sz="0" w:space="0" w:color="auto"/>
                                                                                <w:bottom w:val="none" w:sz="0" w:space="0" w:color="auto"/>
                                                                                <w:right w:val="none" w:sz="0" w:space="0" w:color="auto"/>
                                                                              </w:divBdr>
                                                                              <w:divsChild>
                                                                                <w:div w:id="330908398">
                                                                                  <w:marLeft w:val="0"/>
                                                                                  <w:marRight w:val="0"/>
                                                                                  <w:marTop w:val="0"/>
                                                                                  <w:marBottom w:val="0"/>
                                                                                  <w:divBdr>
                                                                                    <w:top w:val="none" w:sz="0" w:space="0" w:color="auto"/>
                                                                                    <w:left w:val="none" w:sz="0" w:space="0" w:color="auto"/>
                                                                                    <w:bottom w:val="none" w:sz="0" w:space="0" w:color="auto"/>
                                                                                    <w:right w:val="none" w:sz="0" w:space="0" w:color="auto"/>
                                                                                  </w:divBdr>
                                                                                  <w:divsChild>
                                                                                    <w:div w:id="302738173">
                                                                                      <w:marLeft w:val="0"/>
                                                                                      <w:marRight w:val="0"/>
                                                                                      <w:marTop w:val="0"/>
                                                                                      <w:marBottom w:val="0"/>
                                                                                      <w:divBdr>
                                                                                        <w:top w:val="none" w:sz="0" w:space="0" w:color="auto"/>
                                                                                        <w:left w:val="none" w:sz="0" w:space="0" w:color="auto"/>
                                                                                        <w:bottom w:val="none" w:sz="0" w:space="0" w:color="auto"/>
                                                                                        <w:right w:val="none" w:sz="0" w:space="0" w:color="auto"/>
                                                                                      </w:divBdr>
                                                                                      <w:divsChild>
                                                                                        <w:div w:id="1486820561">
                                                                                          <w:marLeft w:val="0"/>
                                                                                          <w:marRight w:val="0"/>
                                                                                          <w:marTop w:val="0"/>
                                                                                          <w:marBottom w:val="0"/>
                                                                                          <w:divBdr>
                                                                                            <w:top w:val="none" w:sz="0" w:space="0" w:color="auto"/>
                                                                                            <w:left w:val="none" w:sz="0" w:space="0" w:color="auto"/>
                                                                                            <w:bottom w:val="none" w:sz="0" w:space="0" w:color="auto"/>
                                                                                            <w:right w:val="none" w:sz="0" w:space="0" w:color="auto"/>
                                                                                          </w:divBdr>
                                                                                          <w:divsChild>
                                                                                            <w:div w:id="8626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9029428">
      <w:bodyDiv w:val="1"/>
      <w:marLeft w:val="0"/>
      <w:marRight w:val="0"/>
      <w:marTop w:val="0"/>
      <w:marBottom w:val="0"/>
      <w:divBdr>
        <w:top w:val="none" w:sz="0" w:space="0" w:color="auto"/>
        <w:left w:val="none" w:sz="0" w:space="0" w:color="auto"/>
        <w:bottom w:val="none" w:sz="0" w:space="0" w:color="auto"/>
        <w:right w:val="none" w:sz="0" w:space="0" w:color="auto"/>
      </w:divBdr>
      <w:divsChild>
        <w:div w:id="952518421">
          <w:marLeft w:val="0"/>
          <w:marRight w:val="0"/>
          <w:marTop w:val="0"/>
          <w:marBottom w:val="0"/>
          <w:divBdr>
            <w:top w:val="none" w:sz="0" w:space="0" w:color="auto"/>
            <w:left w:val="none" w:sz="0" w:space="0" w:color="auto"/>
            <w:bottom w:val="none" w:sz="0" w:space="0" w:color="auto"/>
            <w:right w:val="none" w:sz="0" w:space="0" w:color="auto"/>
          </w:divBdr>
          <w:divsChild>
            <w:div w:id="90975286">
              <w:marLeft w:val="0"/>
              <w:marRight w:val="0"/>
              <w:marTop w:val="0"/>
              <w:marBottom w:val="0"/>
              <w:divBdr>
                <w:top w:val="none" w:sz="0" w:space="0" w:color="auto"/>
                <w:left w:val="none" w:sz="0" w:space="0" w:color="auto"/>
                <w:bottom w:val="none" w:sz="0" w:space="0" w:color="auto"/>
                <w:right w:val="none" w:sz="0" w:space="0" w:color="auto"/>
              </w:divBdr>
              <w:divsChild>
                <w:div w:id="470951398">
                  <w:marLeft w:val="0"/>
                  <w:marRight w:val="0"/>
                  <w:marTop w:val="0"/>
                  <w:marBottom w:val="0"/>
                  <w:divBdr>
                    <w:top w:val="none" w:sz="0" w:space="0" w:color="auto"/>
                    <w:left w:val="none" w:sz="0" w:space="0" w:color="auto"/>
                    <w:bottom w:val="none" w:sz="0" w:space="0" w:color="auto"/>
                    <w:right w:val="none" w:sz="0" w:space="0" w:color="auto"/>
                  </w:divBdr>
                  <w:divsChild>
                    <w:div w:id="1672097025">
                      <w:marLeft w:val="0"/>
                      <w:marRight w:val="0"/>
                      <w:marTop w:val="0"/>
                      <w:marBottom w:val="0"/>
                      <w:divBdr>
                        <w:top w:val="none" w:sz="0" w:space="0" w:color="auto"/>
                        <w:left w:val="none" w:sz="0" w:space="0" w:color="auto"/>
                        <w:bottom w:val="none" w:sz="0" w:space="0" w:color="auto"/>
                        <w:right w:val="none" w:sz="0" w:space="0" w:color="auto"/>
                      </w:divBdr>
                      <w:divsChild>
                        <w:div w:id="489449195">
                          <w:marLeft w:val="0"/>
                          <w:marRight w:val="0"/>
                          <w:marTop w:val="45"/>
                          <w:marBottom w:val="0"/>
                          <w:divBdr>
                            <w:top w:val="none" w:sz="0" w:space="0" w:color="auto"/>
                            <w:left w:val="none" w:sz="0" w:space="0" w:color="auto"/>
                            <w:bottom w:val="none" w:sz="0" w:space="0" w:color="auto"/>
                            <w:right w:val="none" w:sz="0" w:space="0" w:color="auto"/>
                          </w:divBdr>
                          <w:divsChild>
                            <w:div w:id="1500197061">
                              <w:marLeft w:val="0"/>
                              <w:marRight w:val="0"/>
                              <w:marTop w:val="0"/>
                              <w:marBottom w:val="0"/>
                              <w:divBdr>
                                <w:top w:val="none" w:sz="0" w:space="0" w:color="auto"/>
                                <w:left w:val="none" w:sz="0" w:space="0" w:color="auto"/>
                                <w:bottom w:val="none" w:sz="0" w:space="0" w:color="auto"/>
                                <w:right w:val="none" w:sz="0" w:space="0" w:color="auto"/>
                              </w:divBdr>
                              <w:divsChild>
                                <w:div w:id="1828938231">
                                  <w:marLeft w:val="2070"/>
                                  <w:marRight w:val="3810"/>
                                  <w:marTop w:val="0"/>
                                  <w:marBottom w:val="0"/>
                                  <w:divBdr>
                                    <w:top w:val="none" w:sz="0" w:space="0" w:color="auto"/>
                                    <w:left w:val="none" w:sz="0" w:space="0" w:color="auto"/>
                                    <w:bottom w:val="none" w:sz="0" w:space="0" w:color="auto"/>
                                    <w:right w:val="none" w:sz="0" w:space="0" w:color="auto"/>
                                  </w:divBdr>
                                  <w:divsChild>
                                    <w:div w:id="214392241">
                                      <w:marLeft w:val="0"/>
                                      <w:marRight w:val="0"/>
                                      <w:marTop w:val="0"/>
                                      <w:marBottom w:val="0"/>
                                      <w:divBdr>
                                        <w:top w:val="none" w:sz="0" w:space="0" w:color="auto"/>
                                        <w:left w:val="none" w:sz="0" w:space="0" w:color="auto"/>
                                        <w:bottom w:val="none" w:sz="0" w:space="0" w:color="auto"/>
                                        <w:right w:val="none" w:sz="0" w:space="0" w:color="auto"/>
                                      </w:divBdr>
                                      <w:divsChild>
                                        <w:div w:id="258759897">
                                          <w:marLeft w:val="0"/>
                                          <w:marRight w:val="0"/>
                                          <w:marTop w:val="0"/>
                                          <w:marBottom w:val="0"/>
                                          <w:divBdr>
                                            <w:top w:val="none" w:sz="0" w:space="0" w:color="auto"/>
                                            <w:left w:val="none" w:sz="0" w:space="0" w:color="auto"/>
                                            <w:bottom w:val="none" w:sz="0" w:space="0" w:color="auto"/>
                                            <w:right w:val="none" w:sz="0" w:space="0" w:color="auto"/>
                                          </w:divBdr>
                                          <w:divsChild>
                                            <w:div w:id="916132278">
                                              <w:marLeft w:val="0"/>
                                              <w:marRight w:val="0"/>
                                              <w:marTop w:val="0"/>
                                              <w:marBottom w:val="0"/>
                                              <w:divBdr>
                                                <w:top w:val="none" w:sz="0" w:space="0" w:color="auto"/>
                                                <w:left w:val="none" w:sz="0" w:space="0" w:color="auto"/>
                                                <w:bottom w:val="none" w:sz="0" w:space="0" w:color="auto"/>
                                                <w:right w:val="none" w:sz="0" w:space="0" w:color="auto"/>
                                              </w:divBdr>
                                              <w:divsChild>
                                                <w:div w:id="772634143">
                                                  <w:marLeft w:val="0"/>
                                                  <w:marRight w:val="0"/>
                                                  <w:marTop w:val="90"/>
                                                  <w:marBottom w:val="0"/>
                                                  <w:divBdr>
                                                    <w:top w:val="none" w:sz="0" w:space="0" w:color="auto"/>
                                                    <w:left w:val="none" w:sz="0" w:space="0" w:color="auto"/>
                                                    <w:bottom w:val="none" w:sz="0" w:space="0" w:color="auto"/>
                                                    <w:right w:val="none" w:sz="0" w:space="0" w:color="auto"/>
                                                  </w:divBdr>
                                                  <w:divsChild>
                                                    <w:div w:id="1983389059">
                                                      <w:marLeft w:val="0"/>
                                                      <w:marRight w:val="0"/>
                                                      <w:marTop w:val="0"/>
                                                      <w:marBottom w:val="0"/>
                                                      <w:divBdr>
                                                        <w:top w:val="none" w:sz="0" w:space="0" w:color="auto"/>
                                                        <w:left w:val="none" w:sz="0" w:space="0" w:color="auto"/>
                                                        <w:bottom w:val="none" w:sz="0" w:space="0" w:color="auto"/>
                                                        <w:right w:val="none" w:sz="0" w:space="0" w:color="auto"/>
                                                      </w:divBdr>
                                                      <w:divsChild>
                                                        <w:div w:id="2036076458">
                                                          <w:marLeft w:val="0"/>
                                                          <w:marRight w:val="0"/>
                                                          <w:marTop w:val="0"/>
                                                          <w:marBottom w:val="0"/>
                                                          <w:divBdr>
                                                            <w:top w:val="none" w:sz="0" w:space="0" w:color="auto"/>
                                                            <w:left w:val="none" w:sz="0" w:space="0" w:color="auto"/>
                                                            <w:bottom w:val="none" w:sz="0" w:space="0" w:color="auto"/>
                                                            <w:right w:val="none" w:sz="0" w:space="0" w:color="auto"/>
                                                          </w:divBdr>
                                                          <w:divsChild>
                                                            <w:div w:id="1862041195">
                                                              <w:marLeft w:val="0"/>
                                                              <w:marRight w:val="0"/>
                                                              <w:marTop w:val="0"/>
                                                              <w:marBottom w:val="390"/>
                                                              <w:divBdr>
                                                                <w:top w:val="none" w:sz="0" w:space="0" w:color="auto"/>
                                                                <w:left w:val="none" w:sz="0" w:space="0" w:color="auto"/>
                                                                <w:bottom w:val="none" w:sz="0" w:space="0" w:color="auto"/>
                                                                <w:right w:val="none" w:sz="0" w:space="0" w:color="auto"/>
                                                              </w:divBdr>
                                                              <w:divsChild>
                                                                <w:div w:id="1167012777">
                                                                  <w:marLeft w:val="0"/>
                                                                  <w:marRight w:val="0"/>
                                                                  <w:marTop w:val="0"/>
                                                                  <w:marBottom w:val="0"/>
                                                                  <w:divBdr>
                                                                    <w:top w:val="none" w:sz="0" w:space="0" w:color="auto"/>
                                                                    <w:left w:val="none" w:sz="0" w:space="0" w:color="auto"/>
                                                                    <w:bottom w:val="none" w:sz="0" w:space="0" w:color="auto"/>
                                                                    <w:right w:val="none" w:sz="0" w:space="0" w:color="auto"/>
                                                                  </w:divBdr>
                                                                  <w:divsChild>
                                                                    <w:div w:id="900361395">
                                                                      <w:marLeft w:val="0"/>
                                                                      <w:marRight w:val="0"/>
                                                                      <w:marTop w:val="0"/>
                                                                      <w:marBottom w:val="0"/>
                                                                      <w:divBdr>
                                                                        <w:top w:val="none" w:sz="0" w:space="0" w:color="auto"/>
                                                                        <w:left w:val="none" w:sz="0" w:space="0" w:color="auto"/>
                                                                        <w:bottom w:val="none" w:sz="0" w:space="0" w:color="auto"/>
                                                                        <w:right w:val="none" w:sz="0" w:space="0" w:color="auto"/>
                                                                      </w:divBdr>
                                                                      <w:divsChild>
                                                                        <w:div w:id="1236746186">
                                                                          <w:marLeft w:val="0"/>
                                                                          <w:marRight w:val="0"/>
                                                                          <w:marTop w:val="0"/>
                                                                          <w:marBottom w:val="0"/>
                                                                          <w:divBdr>
                                                                            <w:top w:val="none" w:sz="0" w:space="0" w:color="auto"/>
                                                                            <w:left w:val="none" w:sz="0" w:space="0" w:color="auto"/>
                                                                            <w:bottom w:val="none" w:sz="0" w:space="0" w:color="auto"/>
                                                                            <w:right w:val="none" w:sz="0" w:space="0" w:color="auto"/>
                                                                          </w:divBdr>
                                                                          <w:divsChild>
                                                                            <w:div w:id="912201141">
                                                                              <w:marLeft w:val="0"/>
                                                                              <w:marRight w:val="0"/>
                                                                              <w:marTop w:val="0"/>
                                                                              <w:marBottom w:val="0"/>
                                                                              <w:divBdr>
                                                                                <w:top w:val="none" w:sz="0" w:space="0" w:color="auto"/>
                                                                                <w:left w:val="none" w:sz="0" w:space="0" w:color="auto"/>
                                                                                <w:bottom w:val="none" w:sz="0" w:space="0" w:color="auto"/>
                                                                                <w:right w:val="none" w:sz="0" w:space="0" w:color="auto"/>
                                                                              </w:divBdr>
                                                                              <w:divsChild>
                                                                                <w:div w:id="154147366">
                                                                                  <w:marLeft w:val="0"/>
                                                                                  <w:marRight w:val="0"/>
                                                                                  <w:marTop w:val="0"/>
                                                                                  <w:marBottom w:val="0"/>
                                                                                  <w:divBdr>
                                                                                    <w:top w:val="none" w:sz="0" w:space="0" w:color="auto"/>
                                                                                    <w:left w:val="none" w:sz="0" w:space="0" w:color="auto"/>
                                                                                    <w:bottom w:val="none" w:sz="0" w:space="0" w:color="auto"/>
                                                                                    <w:right w:val="none" w:sz="0" w:space="0" w:color="auto"/>
                                                                                  </w:divBdr>
                                                                                  <w:divsChild>
                                                                                    <w:div w:id="960957211">
                                                                                      <w:marLeft w:val="0"/>
                                                                                      <w:marRight w:val="0"/>
                                                                                      <w:marTop w:val="0"/>
                                                                                      <w:marBottom w:val="0"/>
                                                                                      <w:divBdr>
                                                                                        <w:top w:val="none" w:sz="0" w:space="0" w:color="auto"/>
                                                                                        <w:left w:val="none" w:sz="0" w:space="0" w:color="auto"/>
                                                                                        <w:bottom w:val="none" w:sz="0" w:space="0" w:color="auto"/>
                                                                                        <w:right w:val="none" w:sz="0" w:space="0" w:color="auto"/>
                                                                                      </w:divBdr>
                                                                                      <w:divsChild>
                                                                                        <w:div w:id="1858423554">
                                                                                          <w:marLeft w:val="0"/>
                                                                                          <w:marRight w:val="0"/>
                                                                                          <w:marTop w:val="0"/>
                                                                                          <w:marBottom w:val="0"/>
                                                                                          <w:divBdr>
                                                                                            <w:top w:val="none" w:sz="0" w:space="0" w:color="auto"/>
                                                                                            <w:left w:val="none" w:sz="0" w:space="0" w:color="auto"/>
                                                                                            <w:bottom w:val="none" w:sz="0" w:space="0" w:color="auto"/>
                                                                                            <w:right w:val="none" w:sz="0" w:space="0" w:color="auto"/>
                                                                                          </w:divBdr>
                                                                                          <w:divsChild>
                                                                                            <w:div w:id="148782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7819020">
      <w:bodyDiv w:val="1"/>
      <w:marLeft w:val="0"/>
      <w:marRight w:val="0"/>
      <w:marTop w:val="0"/>
      <w:marBottom w:val="0"/>
      <w:divBdr>
        <w:top w:val="none" w:sz="0" w:space="0" w:color="auto"/>
        <w:left w:val="none" w:sz="0" w:space="0" w:color="auto"/>
        <w:bottom w:val="none" w:sz="0" w:space="0" w:color="auto"/>
        <w:right w:val="none" w:sz="0" w:space="0" w:color="auto"/>
      </w:divBdr>
    </w:div>
    <w:div w:id="511186578">
      <w:bodyDiv w:val="1"/>
      <w:marLeft w:val="0"/>
      <w:marRight w:val="0"/>
      <w:marTop w:val="0"/>
      <w:marBottom w:val="0"/>
      <w:divBdr>
        <w:top w:val="none" w:sz="0" w:space="0" w:color="auto"/>
        <w:left w:val="none" w:sz="0" w:space="0" w:color="auto"/>
        <w:bottom w:val="none" w:sz="0" w:space="0" w:color="auto"/>
        <w:right w:val="none" w:sz="0" w:space="0" w:color="auto"/>
      </w:divBdr>
    </w:div>
    <w:div w:id="573860510">
      <w:bodyDiv w:val="1"/>
      <w:marLeft w:val="0"/>
      <w:marRight w:val="0"/>
      <w:marTop w:val="0"/>
      <w:marBottom w:val="0"/>
      <w:divBdr>
        <w:top w:val="none" w:sz="0" w:space="0" w:color="auto"/>
        <w:left w:val="none" w:sz="0" w:space="0" w:color="auto"/>
        <w:bottom w:val="none" w:sz="0" w:space="0" w:color="auto"/>
        <w:right w:val="none" w:sz="0" w:space="0" w:color="auto"/>
      </w:divBdr>
      <w:divsChild>
        <w:div w:id="1117025105">
          <w:marLeft w:val="0"/>
          <w:marRight w:val="0"/>
          <w:marTop w:val="0"/>
          <w:marBottom w:val="0"/>
          <w:divBdr>
            <w:top w:val="none" w:sz="0" w:space="0" w:color="auto"/>
            <w:left w:val="none" w:sz="0" w:space="0" w:color="auto"/>
            <w:bottom w:val="none" w:sz="0" w:space="0" w:color="auto"/>
            <w:right w:val="none" w:sz="0" w:space="0" w:color="auto"/>
          </w:divBdr>
          <w:divsChild>
            <w:div w:id="913783146">
              <w:marLeft w:val="0"/>
              <w:marRight w:val="0"/>
              <w:marTop w:val="0"/>
              <w:marBottom w:val="0"/>
              <w:divBdr>
                <w:top w:val="none" w:sz="0" w:space="0" w:color="auto"/>
                <w:left w:val="none" w:sz="0" w:space="0" w:color="auto"/>
                <w:bottom w:val="none" w:sz="0" w:space="0" w:color="auto"/>
                <w:right w:val="none" w:sz="0" w:space="0" w:color="auto"/>
              </w:divBdr>
              <w:divsChild>
                <w:div w:id="26874596">
                  <w:marLeft w:val="0"/>
                  <w:marRight w:val="0"/>
                  <w:marTop w:val="0"/>
                  <w:marBottom w:val="0"/>
                  <w:divBdr>
                    <w:top w:val="none" w:sz="0" w:space="0" w:color="auto"/>
                    <w:left w:val="none" w:sz="0" w:space="0" w:color="auto"/>
                    <w:bottom w:val="none" w:sz="0" w:space="0" w:color="auto"/>
                    <w:right w:val="none" w:sz="0" w:space="0" w:color="auto"/>
                  </w:divBdr>
                  <w:divsChild>
                    <w:div w:id="1754737487">
                      <w:marLeft w:val="0"/>
                      <w:marRight w:val="0"/>
                      <w:marTop w:val="0"/>
                      <w:marBottom w:val="0"/>
                      <w:divBdr>
                        <w:top w:val="none" w:sz="0" w:space="0" w:color="auto"/>
                        <w:left w:val="none" w:sz="0" w:space="0" w:color="auto"/>
                        <w:bottom w:val="none" w:sz="0" w:space="0" w:color="auto"/>
                        <w:right w:val="none" w:sz="0" w:space="0" w:color="auto"/>
                      </w:divBdr>
                      <w:divsChild>
                        <w:div w:id="1699155988">
                          <w:marLeft w:val="0"/>
                          <w:marRight w:val="0"/>
                          <w:marTop w:val="45"/>
                          <w:marBottom w:val="0"/>
                          <w:divBdr>
                            <w:top w:val="none" w:sz="0" w:space="0" w:color="auto"/>
                            <w:left w:val="none" w:sz="0" w:space="0" w:color="auto"/>
                            <w:bottom w:val="none" w:sz="0" w:space="0" w:color="auto"/>
                            <w:right w:val="none" w:sz="0" w:space="0" w:color="auto"/>
                          </w:divBdr>
                          <w:divsChild>
                            <w:div w:id="1378898989">
                              <w:marLeft w:val="0"/>
                              <w:marRight w:val="0"/>
                              <w:marTop w:val="0"/>
                              <w:marBottom w:val="0"/>
                              <w:divBdr>
                                <w:top w:val="none" w:sz="0" w:space="0" w:color="auto"/>
                                <w:left w:val="none" w:sz="0" w:space="0" w:color="auto"/>
                                <w:bottom w:val="none" w:sz="0" w:space="0" w:color="auto"/>
                                <w:right w:val="none" w:sz="0" w:space="0" w:color="auto"/>
                              </w:divBdr>
                              <w:divsChild>
                                <w:div w:id="1764062755">
                                  <w:marLeft w:val="2070"/>
                                  <w:marRight w:val="3810"/>
                                  <w:marTop w:val="0"/>
                                  <w:marBottom w:val="0"/>
                                  <w:divBdr>
                                    <w:top w:val="none" w:sz="0" w:space="0" w:color="auto"/>
                                    <w:left w:val="none" w:sz="0" w:space="0" w:color="auto"/>
                                    <w:bottom w:val="none" w:sz="0" w:space="0" w:color="auto"/>
                                    <w:right w:val="none" w:sz="0" w:space="0" w:color="auto"/>
                                  </w:divBdr>
                                  <w:divsChild>
                                    <w:div w:id="974137483">
                                      <w:marLeft w:val="0"/>
                                      <w:marRight w:val="0"/>
                                      <w:marTop w:val="0"/>
                                      <w:marBottom w:val="0"/>
                                      <w:divBdr>
                                        <w:top w:val="none" w:sz="0" w:space="0" w:color="auto"/>
                                        <w:left w:val="none" w:sz="0" w:space="0" w:color="auto"/>
                                        <w:bottom w:val="none" w:sz="0" w:space="0" w:color="auto"/>
                                        <w:right w:val="none" w:sz="0" w:space="0" w:color="auto"/>
                                      </w:divBdr>
                                      <w:divsChild>
                                        <w:div w:id="1866676650">
                                          <w:marLeft w:val="0"/>
                                          <w:marRight w:val="0"/>
                                          <w:marTop w:val="0"/>
                                          <w:marBottom w:val="0"/>
                                          <w:divBdr>
                                            <w:top w:val="none" w:sz="0" w:space="0" w:color="auto"/>
                                            <w:left w:val="none" w:sz="0" w:space="0" w:color="auto"/>
                                            <w:bottom w:val="none" w:sz="0" w:space="0" w:color="auto"/>
                                            <w:right w:val="none" w:sz="0" w:space="0" w:color="auto"/>
                                          </w:divBdr>
                                          <w:divsChild>
                                            <w:div w:id="938021568">
                                              <w:marLeft w:val="0"/>
                                              <w:marRight w:val="0"/>
                                              <w:marTop w:val="0"/>
                                              <w:marBottom w:val="0"/>
                                              <w:divBdr>
                                                <w:top w:val="none" w:sz="0" w:space="0" w:color="auto"/>
                                                <w:left w:val="none" w:sz="0" w:space="0" w:color="auto"/>
                                                <w:bottom w:val="none" w:sz="0" w:space="0" w:color="auto"/>
                                                <w:right w:val="none" w:sz="0" w:space="0" w:color="auto"/>
                                              </w:divBdr>
                                              <w:divsChild>
                                                <w:div w:id="1110704923">
                                                  <w:marLeft w:val="0"/>
                                                  <w:marRight w:val="0"/>
                                                  <w:marTop w:val="90"/>
                                                  <w:marBottom w:val="0"/>
                                                  <w:divBdr>
                                                    <w:top w:val="none" w:sz="0" w:space="0" w:color="auto"/>
                                                    <w:left w:val="none" w:sz="0" w:space="0" w:color="auto"/>
                                                    <w:bottom w:val="none" w:sz="0" w:space="0" w:color="auto"/>
                                                    <w:right w:val="none" w:sz="0" w:space="0" w:color="auto"/>
                                                  </w:divBdr>
                                                  <w:divsChild>
                                                    <w:div w:id="379130176">
                                                      <w:marLeft w:val="0"/>
                                                      <w:marRight w:val="0"/>
                                                      <w:marTop w:val="0"/>
                                                      <w:marBottom w:val="0"/>
                                                      <w:divBdr>
                                                        <w:top w:val="none" w:sz="0" w:space="0" w:color="auto"/>
                                                        <w:left w:val="none" w:sz="0" w:space="0" w:color="auto"/>
                                                        <w:bottom w:val="none" w:sz="0" w:space="0" w:color="auto"/>
                                                        <w:right w:val="none" w:sz="0" w:space="0" w:color="auto"/>
                                                      </w:divBdr>
                                                      <w:divsChild>
                                                        <w:div w:id="432674521">
                                                          <w:marLeft w:val="0"/>
                                                          <w:marRight w:val="0"/>
                                                          <w:marTop w:val="0"/>
                                                          <w:marBottom w:val="0"/>
                                                          <w:divBdr>
                                                            <w:top w:val="none" w:sz="0" w:space="0" w:color="auto"/>
                                                            <w:left w:val="none" w:sz="0" w:space="0" w:color="auto"/>
                                                            <w:bottom w:val="none" w:sz="0" w:space="0" w:color="auto"/>
                                                            <w:right w:val="none" w:sz="0" w:space="0" w:color="auto"/>
                                                          </w:divBdr>
                                                          <w:divsChild>
                                                            <w:div w:id="1736010683">
                                                              <w:marLeft w:val="0"/>
                                                              <w:marRight w:val="0"/>
                                                              <w:marTop w:val="0"/>
                                                              <w:marBottom w:val="390"/>
                                                              <w:divBdr>
                                                                <w:top w:val="none" w:sz="0" w:space="0" w:color="auto"/>
                                                                <w:left w:val="none" w:sz="0" w:space="0" w:color="auto"/>
                                                                <w:bottom w:val="none" w:sz="0" w:space="0" w:color="auto"/>
                                                                <w:right w:val="none" w:sz="0" w:space="0" w:color="auto"/>
                                                              </w:divBdr>
                                                              <w:divsChild>
                                                                <w:div w:id="872353098">
                                                                  <w:marLeft w:val="0"/>
                                                                  <w:marRight w:val="0"/>
                                                                  <w:marTop w:val="0"/>
                                                                  <w:marBottom w:val="0"/>
                                                                  <w:divBdr>
                                                                    <w:top w:val="none" w:sz="0" w:space="0" w:color="auto"/>
                                                                    <w:left w:val="none" w:sz="0" w:space="0" w:color="auto"/>
                                                                    <w:bottom w:val="none" w:sz="0" w:space="0" w:color="auto"/>
                                                                    <w:right w:val="none" w:sz="0" w:space="0" w:color="auto"/>
                                                                  </w:divBdr>
                                                                  <w:divsChild>
                                                                    <w:div w:id="186991685">
                                                                      <w:marLeft w:val="0"/>
                                                                      <w:marRight w:val="0"/>
                                                                      <w:marTop w:val="0"/>
                                                                      <w:marBottom w:val="0"/>
                                                                      <w:divBdr>
                                                                        <w:top w:val="none" w:sz="0" w:space="0" w:color="auto"/>
                                                                        <w:left w:val="none" w:sz="0" w:space="0" w:color="auto"/>
                                                                        <w:bottom w:val="none" w:sz="0" w:space="0" w:color="auto"/>
                                                                        <w:right w:val="none" w:sz="0" w:space="0" w:color="auto"/>
                                                                      </w:divBdr>
                                                                      <w:divsChild>
                                                                        <w:div w:id="781077096">
                                                                          <w:marLeft w:val="0"/>
                                                                          <w:marRight w:val="0"/>
                                                                          <w:marTop w:val="0"/>
                                                                          <w:marBottom w:val="0"/>
                                                                          <w:divBdr>
                                                                            <w:top w:val="none" w:sz="0" w:space="0" w:color="auto"/>
                                                                            <w:left w:val="none" w:sz="0" w:space="0" w:color="auto"/>
                                                                            <w:bottom w:val="none" w:sz="0" w:space="0" w:color="auto"/>
                                                                            <w:right w:val="none" w:sz="0" w:space="0" w:color="auto"/>
                                                                          </w:divBdr>
                                                                          <w:divsChild>
                                                                            <w:div w:id="461004100">
                                                                              <w:marLeft w:val="0"/>
                                                                              <w:marRight w:val="0"/>
                                                                              <w:marTop w:val="0"/>
                                                                              <w:marBottom w:val="0"/>
                                                                              <w:divBdr>
                                                                                <w:top w:val="none" w:sz="0" w:space="0" w:color="auto"/>
                                                                                <w:left w:val="none" w:sz="0" w:space="0" w:color="auto"/>
                                                                                <w:bottom w:val="none" w:sz="0" w:space="0" w:color="auto"/>
                                                                                <w:right w:val="none" w:sz="0" w:space="0" w:color="auto"/>
                                                                              </w:divBdr>
                                                                              <w:divsChild>
                                                                                <w:div w:id="1535658200">
                                                                                  <w:marLeft w:val="0"/>
                                                                                  <w:marRight w:val="0"/>
                                                                                  <w:marTop w:val="0"/>
                                                                                  <w:marBottom w:val="0"/>
                                                                                  <w:divBdr>
                                                                                    <w:top w:val="none" w:sz="0" w:space="0" w:color="auto"/>
                                                                                    <w:left w:val="none" w:sz="0" w:space="0" w:color="auto"/>
                                                                                    <w:bottom w:val="none" w:sz="0" w:space="0" w:color="auto"/>
                                                                                    <w:right w:val="none" w:sz="0" w:space="0" w:color="auto"/>
                                                                                  </w:divBdr>
                                                                                  <w:divsChild>
                                                                                    <w:div w:id="544832883">
                                                                                      <w:marLeft w:val="0"/>
                                                                                      <w:marRight w:val="0"/>
                                                                                      <w:marTop w:val="0"/>
                                                                                      <w:marBottom w:val="0"/>
                                                                                      <w:divBdr>
                                                                                        <w:top w:val="none" w:sz="0" w:space="0" w:color="auto"/>
                                                                                        <w:left w:val="none" w:sz="0" w:space="0" w:color="auto"/>
                                                                                        <w:bottom w:val="none" w:sz="0" w:space="0" w:color="auto"/>
                                                                                        <w:right w:val="none" w:sz="0" w:space="0" w:color="auto"/>
                                                                                      </w:divBdr>
                                                                                      <w:divsChild>
                                                                                        <w:div w:id="1777865790">
                                                                                          <w:marLeft w:val="0"/>
                                                                                          <w:marRight w:val="0"/>
                                                                                          <w:marTop w:val="0"/>
                                                                                          <w:marBottom w:val="0"/>
                                                                                          <w:divBdr>
                                                                                            <w:top w:val="none" w:sz="0" w:space="0" w:color="auto"/>
                                                                                            <w:left w:val="none" w:sz="0" w:space="0" w:color="auto"/>
                                                                                            <w:bottom w:val="none" w:sz="0" w:space="0" w:color="auto"/>
                                                                                            <w:right w:val="none" w:sz="0" w:space="0" w:color="auto"/>
                                                                                          </w:divBdr>
                                                                                          <w:divsChild>
                                                                                            <w:div w:id="9738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4435709">
      <w:bodyDiv w:val="1"/>
      <w:marLeft w:val="0"/>
      <w:marRight w:val="0"/>
      <w:marTop w:val="0"/>
      <w:marBottom w:val="0"/>
      <w:divBdr>
        <w:top w:val="none" w:sz="0" w:space="0" w:color="auto"/>
        <w:left w:val="none" w:sz="0" w:space="0" w:color="auto"/>
        <w:bottom w:val="none" w:sz="0" w:space="0" w:color="auto"/>
        <w:right w:val="none" w:sz="0" w:space="0" w:color="auto"/>
      </w:divBdr>
    </w:div>
    <w:div w:id="574515609">
      <w:bodyDiv w:val="1"/>
      <w:marLeft w:val="0"/>
      <w:marRight w:val="0"/>
      <w:marTop w:val="0"/>
      <w:marBottom w:val="0"/>
      <w:divBdr>
        <w:top w:val="none" w:sz="0" w:space="0" w:color="auto"/>
        <w:left w:val="none" w:sz="0" w:space="0" w:color="auto"/>
        <w:bottom w:val="none" w:sz="0" w:space="0" w:color="auto"/>
        <w:right w:val="none" w:sz="0" w:space="0" w:color="auto"/>
      </w:divBdr>
    </w:div>
    <w:div w:id="633289068">
      <w:bodyDiv w:val="1"/>
      <w:marLeft w:val="0"/>
      <w:marRight w:val="0"/>
      <w:marTop w:val="0"/>
      <w:marBottom w:val="0"/>
      <w:divBdr>
        <w:top w:val="none" w:sz="0" w:space="0" w:color="auto"/>
        <w:left w:val="none" w:sz="0" w:space="0" w:color="auto"/>
        <w:bottom w:val="none" w:sz="0" w:space="0" w:color="auto"/>
        <w:right w:val="none" w:sz="0" w:space="0" w:color="auto"/>
      </w:divBdr>
    </w:div>
    <w:div w:id="634146226">
      <w:bodyDiv w:val="1"/>
      <w:marLeft w:val="0"/>
      <w:marRight w:val="0"/>
      <w:marTop w:val="0"/>
      <w:marBottom w:val="0"/>
      <w:divBdr>
        <w:top w:val="none" w:sz="0" w:space="0" w:color="auto"/>
        <w:left w:val="none" w:sz="0" w:space="0" w:color="auto"/>
        <w:bottom w:val="none" w:sz="0" w:space="0" w:color="auto"/>
        <w:right w:val="none" w:sz="0" w:space="0" w:color="auto"/>
      </w:divBdr>
      <w:divsChild>
        <w:div w:id="265967576">
          <w:marLeft w:val="0"/>
          <w:marRight w:val="0"/>
          <w:marTop w:val="0"/>
          <w:marBottom w:val="0"/>
          <w:divBdr>
            <w:top w:val="none" w:sz="0" w:space="0" w:color="auto"/>
            <w:left w:val="none" w:sz="0" w:space="0" w:color="auto"/>
            <w:bottom w:val="none" w:sz="0" w:space="0" w:color="auto"/>
            <w:right w:val="none" w:sz="0" w:space="0" w:color="auto"/>
          </w:divBdr>
          <w:divsChild>
            <w:div w:id="2115588782">
              <w:marLeft w:val="0"/>
              <w:marRight w:val="0"/>
              <w:marTop w:val="0"/>
              <w:marBottom w:val="0"/>
              <w:divBdr>
                <w:top w:val="none" w:sz="0" w:space="0" w:color="auto"/>
                <w:left w:val="none" w:sz="0" w:space="0" w:color="auto"/>
                <w:bottom w:val="none" w:sz="0" w:space="0" w:color="auto"/>
                <w:right w:val="none" w:sz="0" w:space="0" w:color="auto"/>
              </w:divBdr>
              <w:divsChild>
                <w:div w:id="2053916163">
                  <w:marLeft w:val="0"/>
                  <w:marRight w:val="0"/>
                  <w:marTop w:val="0"/>
                  <w:marBottom w:val="0"/>
                  <w:divBdr>
                    <w:top w:val="none" w:sz="0" w:space="0" w:color="auto"/>
                    <w:left w:val="none" w:sz="0" w:space="0" w:color="auto"/>
                    <w:bottom w:val="none" w:sz="0" w:space="0" w:color="auto"/>
                    <w:right w:val="none" w:sz="0" w:space="0" w:color="auto"/>
                  </w:divBdr>
                  <w:divsChild>
                    <w:div w:id="592132643">
                      <w:marLeft w:val="0"/>
                      <w:marRight w:val="0"/>
                      <w:marTop w:val="0"/>
                      <w:marBottom w:val="0"/>
                      <w:divBdr>
                        <w:top w:val="none" w:sz="0" w:space="0" w:color="auto"/>
                        <w:left w:val="none" w:sz="0" w:space="0" w:color="auto"/>
                        <w:bottom w:val="none" w:sz="0" w:space="0" w:color="auto"/>
                        <w:right w:val="none" w:sz="0" w:space="0" w:color="auto"/>
                      </w:divBdr>
                      <w:divsChild>
                        <w:div w:id="912467645">
                          <w:marLeft w:val="0"/>
                          <w:marRight w:val="0"/>
                          <w:marTop w:val="0"/>
                          <w:marBottom w:val="0"/>
                          <w:divBdr>
                            <w:top w:val="none" w:sz="0" w:space="0" w:color="auto"/>
                            <w:left w:val="none" w:sz="0" w:space="0" w:color="auto"/>
                            <w:bottom w:val="none" w:sz="0" w:space="0" w:color="auto"/>
                            <w:right w:val="none" w:sz="0" w:space="0" w:color="auto"/>
                          </w:divBdr>
                          <w:divsChild>
                            <w:div w:id="1822042493">
                              <w:marLeft w:val="0"/>
                              <w:marRight w:val="0"/>
                              <w:marTop w:val="0"/>
                              <w:marBottom w:val="0"/>
                              <w:divBdr>
                                <w:top w:val="none" w:sz="0" w:space="0" w:color="auto"/>
                                <w:left w:val="none" w:sz="0" w:space="0" w:color="auto"/>
                                <w:bottom w:val="none" w:sz="0" w:space="0" w:color="auto"/>
                                <w:right w:val="none" w:sz="0" w:space="0" w:color="auto"/>
                              </w:divBdr>
                              <w:divsChild>
                                <w:div w:id="142356569">
                                  <w:marLeft w:val="0"/>
                                  <w:marRight w:val="0"/>
                                  <w:marTop w:val="0"/>
                                  <w:marBottom w:val="0"/>
                                  <w:divBdr>
                                    <w:top w:val="none" w:sz="0" w:space="0" w:color="auto"/>
                                    <w:left w:val="none" w:sz="0" w:space="0" w:color="auto"/>
                                    <w:bottom w:val="none" w:sz="0" w:space="0" w:color="auto"/>
                                    <w:right w:val="none" w:sz="0" w:space="0" w:color="auto"/>
                                  </w:divBdr>
                                  <w:divsChild>
                                    <w:div w:id="124199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6298846">
      <w:bodyDiv w:val="1"/>
      <w:marLeft w:val="0"/>
      <w:marRight w:val="0"/>
      <w:marTop w:val="0"/>
      <w:marBottom w:val="0"/>
      <w:divBdr>
        <w:top w:val="none" w:sz="0" w:space="0" w:color="auto"/>
        <w:left w:val="none" w:sz="0" w:space="0" w:color="auto"/>
        <w:bottom w:val="none" w:sz="0" w:space="0" w:color="auto"/>
        <w:right w:val="none" w:sz="0" w:space="0" w:color="auto"/>
      </w:divBdr>
      <w:divsChild>
        <w:div w:id="319700463">
          <w:marLeft w:val="0"/>
          <w:marRight w:val="0"/>
          <w:marTop w:val="0"/>
          <w:marBottom w:val="0"/>
          <w:divBdr>
            <w:top w:val="none" w:sz="0" w:space="0" w:color="auto"/>
            <w:left w:val="none" w:sz="0" w:space="0" w:color="auto"/>
            <w:bottom w:val="none" w:sz="0" w:space="0" w:color="auto"/>
            <w:right w:val="none" w:sz="0" w:space="0" w:color="auto"/>
          </w:divBdr>
          <w:divsChild>
            <w:div w:id="1601331788">
              <w:marLeft w:val="0"/>
              <w:marRight w:val="0"/>
              <w:marTop w:val="0"/>
              <w:marBottom w:val="0"/>
              <w:divBdr>
                <w:top w:val="none" w:sz="0" w:space="0" w:color="auto"/>
                <w:left w:val="none" w:sz="0" w:space="0" w:color="auto"/>
                <w:bottom w:val="none" w:sz="0" w:space="0" w:color="auto"/>
                <w:right w:val="none" w:sz="0" w:space="0" w:color="auto"/>
              </w:divBdr>
              <w:divsChild>
                <w:div w:id="1600288629">
                  <w:marLeft w:val="0"/>
                  <w:marRight w:val="0"/>
                  <w:marTop w:val="0"/>
                  <w:marBottom w:val="0"/>
                  <w:divBdr>
                    <w:top w:val="none" w:sz="0" w:space="0" w:color="auto"/>
                    <w:left w:val="none" w:sz="0" w:space="0" w:color="auto"/>
                    <w:bottom w:val="none" w:sz="0" w:space="0" w:color="auto"/>
                    <w:right w:val="none" w:sz="0" w:space="0" w:color="auto"/>
                  </w:divBdr>
                  <w:divsChild>
                    <w:div w:id="56830468">
                      <w:marLeft w:val="0"/>
                      <w:marRight w:val="0"/>
                      <w:marTop w:val="0"/>
                      <w:marBottom w:val="0"/>
                      <w:divBdr>
                        <w:top w:val="none" w:sz="0" w:space="0" w:color="auto"/>
                        <w:left w:val="none" w:sz="0" w:space="0" w:color="auto"/>
                        <w:bottom w:val="none" w:sz="0" w:space="0" w:color="auto"/>
                        <w:right w:val="none" w:sz="0" w:space="0" w:color="auto"/>
                      </w:divBdr>
                      <w:divsChild>
                        <w:div w:id="278298339">
                          <w:marLeft w:val="0"/>
                          <w:marRight w:val="0"/>
                          <w:marTop w:val="45"/>
                          <w:marBottom w:val="0"/>
                          <w:divBdr>
                            <w:top w:val="none" w:sz="0" w:space="0" w:color="auto"/>
                            <w:left w:val="none" w:sz="0" w:space="0" w:color="auto"/>
                            <w:bottom w:val="none" w:sz="0" w:space="0" w:color="auto"/>
                            <w:right w:val="none" w:sz="0" w:space="0" w:color="auto"/>
                          </w:divBdr>
                          <w:divsChild>
                            <w:div w:id="1189875680">
                              <w:marLeft w:val="0"/>
                              <w:marRight w:val="0"/>
                              <w:marTop w:val="0"/>
                              <w:marBottom w:val="0"/>
                              <w:divBdr>
                                <w:top w:val="none" w:sz="0" w:space="0" w:color="auto"/>
                                <w:left w:val="none" w:sz="0" w:space="0" w:color="auto"/>
                                <w:bottom w:val="none" w:sz="0" w:space="0" w:color="auto"/>
                                <w:right w:val="none" w:sz="0" w:space="0" w:color="auto"/>
                              </w:divBdr>
                              <w:divsChild>
                                <w:div w:id="1576013360">
                                  <w:marLeft w:val="2070"/>
                                  <w:marRight w:val="3810"/>
                                  <w:marTop w:val="0"/>
                                  <w:marBottom w:val="0"/>
                                  <w:divBdr>
                                    <w:top w:val="none" w:sz="0" w:space="0" w:color="auto"/>
                                    <w:left w:val="none" w:sz="0" w:space="0" w:color="auto"/>
                                    <w:bottom w:val="none" w:sz="0" w:space="0" w:color="auto"/>
                                    <w:right w:val="none" w:sz="0" w:space="0" w:color="auto"/>
                                  </w:divBdr>
                                  <w:divsChild>
                                    <w:div w:id="287323055">
                                      <w:marLeft w:val="0"/>
                                      <w:marRight w:val="0"/>
                                      <w:marTop w:val="0"/>
                                      <w:marBottom w:val="0"/>
                                      <w:divBdr>
                                        <w:top w:val="none" w:sz="0" w:space="0" w:color="auto"/>
                                        <w:left w:val="none" w:sz="0" w:space="0" w:color="auto"/>
                                        <w:bottom w:val="none" w:sz="0" w:space="0" w:color="auto"/>
                                        <w:right w:val="none" w:sz="0" w:space="0" w:color="auto"/>
                                      </w:divBdr>
                                      <w:divsChild>
                                        <w:div w:id="380250182">
                                          <w:marLeft w:val="0"/>
                                          <w:marRight w:val="0"/>
                                          <w:marTop w:val="0"/>
                                          <w:marBottom w:val="0"/>
                                          <w:divBdr>
                                            <w:top w:val="none" w:sz="0" w:space="0" w:color="auto"/>
                                            <w:left w:val="none" w:sz="0" w:space="0" w:color="auto"/>
                                            <w:bottom w:val="none" w:sz="0" w:space="0" w:color="auto"/>
                                            <w:right w:val="none" w:sz="0" w:space="0" w:color="auto"/>
                                          </w:divBdr>
                                          <w:divsChild>
                                            <w:div w:id="1796219096">
                                              <w:marLeft w:val="0"/>
                                              <w:marRight w:val="0"/>
                                              <w:marTop w:val="0"/>
                                              <w:marBottom w:val="0"/>
                                              <w:divBdr>
                                                <w:top w:val="none" w:sz="0" w:space="0" w:color="auto"/>
                                                <w:left w:val="none" w:sz="0" w:space="0" w:color="auto"/>
                                                <w:bottom w:val="none" w:sz="0" w:space="0" w:color="auto"/>
                                                <w:right w:val="none" w:sz="0" w:space="0" w:color="auto"/>
                                              </w:divBdr>
                                              <w:divsChild>
                                                <w:div w:id="162282173">
                                                  <w:marLeft w:val="0"/>
                                                  <w:marRight w:val="0"/>
                                                  <w:marTop w:val="90"/>
                                                  <w:marBottom w:val="0"/>
                                                  <w:divBdr>
                                                    <w:top w:val="none" w:sz="0" w:space="0" w:color="auto"/>
                                                    <w:left w:val="none" w:sz="0" w:space="0" w:color="auto"/>
                                                    <w:bottom w:val="none" w:sz="0" w:space="0" w:color="auto"/>
                                                    <w:right w:val="none" w:sz="0" w:space="0" w:color="auto"/>
                                                  </w:divBdr>
                                                  <w:divsChild>
                                                    <w:div w:id="22173719">
                                                      <w:marLeft w:val="0"/>
                                                      <w:marRight w:val="0"/>
                                                      <w:marTop w:val="0"/>
                                                      <w:marBottom w:val="0"/>
                                                      <w:divBdr>
                                                        <w:top w:val="none" w:sz="0" w:space="0" w:color="auto"/>
                                                        <w:left w:val="none" w:sz="0" w:space="0" w:color="auto"/>
                                                        <w:bottom w:val="none" w:sz="0" w:space="0" w:color="auto"/>
                                                        <w:right w:val="none" w:sz="0" w:space="0" w:color="auto"/>
                                                      </w:divBdr>
                                                      <w:divsChild>
                                                        <w:div w:id="1816331201">
                                                          <w:marLeft w:val="0"/>
                                                          <w:marRight w:val="0"/>
                                                          <w:marTop w:val="0"/>
                                                          <w:marBottom w:val="0"/>
                                                          <w:divBdr>
                                                            <w:top w:val="none" w:sz="0" w:space="0" w:color="auto"/>
                                                            <w:left w:val="none" w:sz="0" w:space="0" w:color="auto"/>
                                                            <w:bottom w:val="none" w:sz="0" w:space="0" w:color="auto"/>
                                                            <w:right w:val="none" w:sz="0" w:space="0" w:color="auto"/>
                                                          </w:divBdr>
                                                          <w:divsChild>
                                                            <w:div w:id="1341275059">
                                                              <w:marLeft w:val="0"/>
                                                              <w:marRight w:val="0"/>
                                                              <w:marTop w:val="0"/>
                                                              <w:marBottom w:val="390"/>
                                                              <w:divBdr>
                                                                <w:top w:val="none" w:sz="0" w:space="0" w:color="auto"/>
                                                                <w:left w:val="none" w:sz="0" w:space="0" w:color="auto"/>
                                                                <w:bottom w:val="none" w:sz="0" w:space="0" w:color="auto"/>
                                                                <w:right w:val="none" w:sz="0" w:space="0" w:color="auto"/>
                                                              </w:divBdr>
                                                              <w:divsChild>
                                                                <w:div w:id="1815445421">
                                                                  <w:marLeft w:val="0"/>
                                                                  <w:marRight w:val="0"/>
                                                                  <w:marTop w:val="0"/>
                                                                  <w:marBottom w:val="0"/>
                                                                  <w:divBdr>
                                                                    <w:top w:val="none" w:sz="0" w:space="0" w:color="auto"/>
                                                                    <w:left w:val="none" w:sz="0" w:space="0" w:color="auto"/>
                                                                    <w:bottom w:val="none" w:sz="0" w:space="0" w:color="auto"/>
                                                                    <w:right w:val="none" w:sz="0" w:space="0" w:color="auto"/>
                                                                  </w:divBdr>
                                                                  <w:divsChild>
                                                                    <w:div w:id="1812285204">
                                                                      <w:marLeft w:val="0"/>
                                                                      <w:marRight w:val="0"/>
                                                                      <w:marTop w:val="0"/>
                                                                      <w:marBottom w:val="0"/>
                                                                      <w:divBdr>
                                                                        <w:top w:val="none" w:sz="0" w:space="0" w:color="auto"/>
                                                                        <w:left w:val="none" w:sz="0" w:space="0" w:color="auto"/>
                                                                        <w:bottom w:val="none" w:sz="0" w:space="0" w:color="auto"/>
                                                                        <w:right w:val="none" w:sz="0" w:space="0" w:color="auto"/>
                                                                      </w:divBdr>
                                                                      <w:divsChild>
                                                                        <w:div w:id="252126320">
                                                                          <w:marLeft w:val="0"/>
                                                                          <w:marRight w:val="0"/>
                                                                          <w:marTop w:val="0"/>
                                                                          <w:marBottom w:val="0"/>
                                                                          <w:divBdr>
                                                                            <w:top w:val="none" w:sz="0" w:space="0" w:color="auto"/>
                                                                            <w:left w:val="none" w:sz="0" w:space="0" w:color="auto"/>
                                                                            <w:bottom w:val="none" w:sz="0" w:space="0" w:color="auto"/>
                                                                            <w:right w:val="none" w:sz="0" w:space="0" w:color="auto"/>
                                                                          </w:divBdr>
                                                                          <w:divsChild>
                                                                            <w:div w:id="559287324">
                                                                              <w:marLeft w:val="0"/>
                                                                              <w:marRight w:val="0"/>
                                                                              <w:marTop w:val="0"/>
                                                                              <w:marBottom w:val="0"/>
                                                                              <w:divBdr>
                                                                                <w:top w:val="none" w:sz="0" w:space="0" w:color="auto"/>
                                                                                <w:left w:val="none" w:sz="0" w:space="0" w:color="auto"/>
                                                                                <w:bottom w:val="none" w:sz="0" w:space="0" w:color="auto"/>
                                                                                <w:right w:val="none" w:sz="0" w:space="0" w:color="auto"/>
                                                                              </w:divBdr>
                                                                              <w:divsChild>
                                                                                <w:div w:id="444423712">
                                                                                  <w:marLeft w:val="0"/>
                                                                                  <w:marRight w:val="0"/>
                                                                                  <w:marTop w:val="0"/>
                                                                                  <w:marBottom w:val="0"/>
                                                                                  <w:divBdr>
                                                                                    <w:top w:val="none" w:sz="0" w:space="0" w:color="auto"/>
                                                                                    <w:left w:val="none" w:sz="0" w:space="0" w:color="auto"/>
                                                                                    <w:bottom w:val="none" w:sz="0" w:space="0" w:color="auto"/>
                                                                                    <w:right w:val="none" w:sz="0" w:space="0" w:color="auto"/>
                                                                                  </w:divBdr>
                                                                                  <w:divsChild>
                                                                                    <w:div w:id="1086999431">
                                                                                      <w:marLeft w:val="0"/>
                                                                                      <w:marRight w:val="0"/>
                                                                                      <w:marTop w:val="0"/>
                                                                                      <w:marBottom w:val="0"/>
                                                                                      <w:divBdr>
                                                                                        <w:top w:val="none" w:sz="0" w:space="0" w:color="auto"/>
                                                                                        <w:left w:val="none" w:sz="0" w:space="0" w:color="auto"/>
                                                                                        <w:bottom w:val="none" w:sz="0" w:space="0" w:color="auto"/>
                                                                                        <w:right w:val="none" w:sz="0" w:space="0" w:color="auto"/>
                                                                                      </w:divBdr>
                                                                                      <w:divsChild>
                                                                                        <w:div w:id="1678847718">
                                                                                          <w:marLeft w:val="0"/>
                                                                                          <w:marRight w:val="0"/>
                                                                                          <w:marTop w:val="0"/>
                                                                                          <w:marBottom w:val="0"/>
                                                                                          <w:divBdr>
                                                                                            <w:top w:val="none" w:sz="0" w:space="0" w:color="auto"/>
                                                                                            <w:left w:val="none" w:sz="0" w:space="0" w:color="auto"/>
                                                                                            <w:bottom w:val="none" w:sz="0" w:space="0" w:color="auto"/>
                                                                                            <w:right w:val="none" w:sz="0" w:space="0" w:color="auto"/>
                                                                                          </w:divBdr>
                                                                                          <w:divsChild>
                                                                                            <w:div w:id="115449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642079">
      <w:bodyDiv w:val="1"/>
      <w:marLeft w:val="0"/>
      <w:marRight w:val="0"/>
      <w:marTop w:val="0"/>
      <w:marBottom w:val="0"/>
      <w:divBdr>
        <w:top w:val="none" w:sz="0" w:space="0" w:color="auto"/>
        <w:left w:val="none" w:sz="0" w:space="0" w:color="auto"/>
        <w:bottom w:val="none" w:sz="0" w:space="0" w:color="auto"/>
        <w:right w:val="none" w:sz="0" w:space="0" w:color="auto"/>
      </w:divBdr>
    </w:div>
    <w:div w:id="723719165">
      <w:bodyDiv w:val="1"/>
      <w:marLeft w:val="0"/>
      <w:marRight w:val="0"/>
      <w:marTop w:val="0"/>
      <w:marBottom w:val="0"/>
      <w:divBdr>
        <w:top w:val="none" w:sz="0" w:space="0" w:color="auto"/>
        <w:left w:val="none" w:sz="0" w:space="0" w:color="auto"/>
        <w:bottom w:val="none" w:sz="0" w:space="0" w:color="auto"/>
        <w:right w:val="none" w:sz="0" w:space="0" w:color="auto"/>
      </w:divBdr>
      <w:divsChild>
        <w:div w:id="1874154331">
          <w:marLeft w:val="547"/>
          <w:marRight w:val="0"/>
          <w:marTop w:val="106"/>
          <w:marBottom w:val="0"/>
          <w:divBdr>
            <w:top w:val="none" w:sz="0" w:space="0" w:color="auto"/>
            <w:left w:val="none" w:sz="0" w:space="0" w:color="auto"/>
            <w:bottom w:val="none" w:sz="0" w:space="0" w:color="auto"/>
            <w:right w:val="none" w:sz="0" w:space="0" w:color="auto"/>
          </w:divBdr>
        </w:div>
        <w:div w:id="632751554">
          <w:marLeft w:val="1714"/>
          <w:marRight w:val="0"/>
          <w:marTop w:val="96"/>
          <w:marBottom w:val="0"/>
          <w:divBdr>
            <w:top w:val="none" w:sz="0" w:space="0" w:color="auto"/>
            <w:left w:val="none" w:sz="0" w:space="0" w:color="auto"/>
            <w:bottom w:val="none" w:sz="0" w:space="0" w:color="auto"/>
            <w:right w:val="none" w:sz="0" w:space="0" w:color="auto"/>
          </w:divBdr>
        </w:div>
        <w:div w:id="1987275794">
          <w:marLeft w:val="1714"/>
          <w:marRight w:val="0"/>
          <w:marTop w:val="96"/>
          <w:marBottom w:val="0"/>
          <w:divBdr>
            <w:top w:val="none" w:sz="0" w:space="0" w:color="auto"/>
            <w:left w:val="none" w:sz="0" w:space="0" w:color="auto"/>
            <w:bottom w:val="none" w:sz="0" w:space="0" w:color="auto"/>
            <w:right w:val="none" w:sz="0" w:space="0" w:color="auto"/>
          </w:divBdr>
        </w:div>
        <w:div w:id="1763069346">
          <w:marLeft w:val="547"/>
          <w:marRight w:val="0"/>
          <w:marTop w:val="106"/>
          <w:marBottom w:val="0"/>
          <w:divBdr>
            <w:top w:val="none" w:sz="0" w:space="0" w:color="auto"/>
            <w:left w:val="none" w:sz="0" w:space="0" w:color="auto"/>
            <w:bottom w:val="none" w:sz="0" w:space="0" w:color="auto"/>
            <w:right w:val="none" w:sz="0" w:space="0" w:color="auto"/>
          </w:divBdr>
        </w:div>
        <w:div w:id="1424107139">
          <w:marLeft w:val="547"/>
          <w:marRight w:val="0"/>
          <w:marTop w:val="106"/>
          <w:marBottom w:val="0"/>
          <w:divBdr>
            <w:top w:val="none" w:sz="0" w:space="0" w:color="auto"/>
            <w:left w:val="none" w:sz="0" w:space="0" w:color="auto"/>
            <w:bottom w:val="none" w:sz="0" w:space="0" w:color="auto"/>
            <w:right w:val="none" w:sz="0" w:space="0" w:color="auto"/>
          </w:divBdr>
        </w:div>
        <w:div w:id="313263429">
          <w:marLeft w:val="547"/>
          <w:marRight w:val="0"/>
          <w:marTop w:val="106"/>
          <w:marBottom w:val="0"/>
          <w:divBdr>
            <w:top w:val="none" w:sz="0" w:space="0" w:color="auto"/>
            <w:left w:val="none" w:sz="0" w:space="0" w:color="auto"/>
            <w:bottom w:val="none" w:sz="0" w:space="0" w:color="auto"/>
            <w:right w:val="none" w:sz="0" w:space="0" w:color="auto"/>
          </w:divBdr>
        </w:div>
      </w:divsChild>
    </w:div>
    <w:div w:id="726028380">
      <w:bodyDiv w:val="1"/>
      <w:marLeft w:val="0"/>
      <w:marRight w:val="0"/>
      <w:marTop w:val="0"/>
      <w:marBottom w:val="0"/>
      <w:divBdr>
        <w:top w:val="none" w:sz="0" w:space="0" w:color="auto"/>
        <w:left w:val="none" w:sz="0" w:space="0" w:color="auto"/>
        <w:bottom w:val="none" w:sz="0" w:space="0" w:color="auto"/>
        <w:right w:val="none" w:sz="0" w:space="0" w:color="auto"/>
      </w:divBdr>
    </w:div>
    <w:div w:id="729695990">
      <w:bodyDiv w:val="1"/>
      <w:marLeft w:val="0"/>
      <w:marRight w:val="0"/>
      <w:marTop w:val="0"/>
      <w:marBottom w:val="0"/>
      <w:divBdr>
        <w:top w:val="none" w:sz="0" w:space="0" w:color="auto"/>
        <w:left w:val="none" w:sz="0" w:space="0" w:color="auto"/>
        <w:bottom w:val="none" w:sz="0" w:space="0" w:color="auto"/>
        <w:right w:val="none" w:sz="0" w:space="0" w:color="auto"/>
      </w:divBdr>
    </w:div>
    <w:div w:id="734817559">
      <w:bodyDiv w:val="1"/>
      <w:marLeft w:val="0"/>
      <w:marRight w:val="0"/>
      <w:marTop w:val="0"/>
      <w:marBottom w:val="0"/>
      <w:divBdr>
        <w:top w:val="none" w:sz="0" w:space="0" w:color="auto"/>
        <w:left w:val="none" w:sz="0" w:space="0" w:color="auto"/>
        <w:bottom w:val="none" w:sz="0" w:space="0" w:color="auto"/>
        <w:right w:val="none" w:sz="0" w:space="0" w:color="auto"/>
      </w:divBdr>
    </w:div>
    <w:div w:id="754397597">
      <w:bodyDiv w:val="1"/>
      <w:marLeft w:val="0"/>
      <w:marRight w:val="0"/>
      <w:marTop w:val="0"/>
      <w:marBottom w:val="0"/>
      <w:divBdr>
        <w:top w:val="none" w:sz="0" w:space="0" w:color="auto"/>
        <w:left w:val="none" w:sz="0" w:space="0" w:color="auto"/>
        <w:bottom w:val="none" w:sz="0" w:space="0" w:color="auto"/>
        <w:right w:val="none" w:sz="0" w:space="0" w:color="auto"/>
      </w:divBdr>
      <w:divsChild>
        <w:div w:id="1475951385">
          <w:marLeft w:val="1714"/>
          <w:marRight w:val="0"/>
          <w:marTop w:val="115"/>
          <w:marBottom w:val="0"/>
          <w:divBdr>
            <w:top w:val="none" w:sz="0" w:space="0" w:color="auto"/>
            <w:left w:val="none" w:sz="0" w:space="0" w:color="auto"/>
            <w:bottom w:val="none" w:sz="0" w:space="0" w:color="auto"/>
            <w:right w:val="none" w:sz="0" w:space="0" w:color="auto"/>
          </w:divBdr>
        </w:div>
        <w:div w:id="2073238167">
          <w:marLeft w:val="1714"/>
          <w:marRight w:val="0"/>
          <w:marTop w:val="115"/>
          <w:marBottom w:val="0"/>
          <w:divBdr>
            <w:top w:val="none" w:sz="0" w:space="0" w:color="auto"/>
            <w:left w:val="none" w:sz="0" w:space="0" w:color="auto"/>
            <w:bottom w:val="none" w:sz="0" w:space="0" w:color="auto"/>
            <w:right w:val="none" w:sz="0" w:space="0" w:color="auto"/>
          </w:divBdr>
        </w:div>
      </w:divsChild>
    </w:div>
    <w:div w:id="769548340">
      <w:bodyDiv w:val="1"/>
      <w:marLeft w:val="0"/>
      <w:marRight w:val="0"/>
      <w:marTop w:val="0"/>
      <w:marBottom w:val="0"/>
      <w:divBdr>
        <w:top w:val="none" w:sz="0" w:space="0" w:color="auto"/>
        <w:left w:val="none" w:sz="0" w:space="0" w:color="auto"/>
        <w:bottom w:val="none" w:sz="0" w:space="0" w:color="auto"/>
        <w:right w:val="none" w:sz="0" w:space="0" w:color="auto"/>
      </w:divBdr>
    </w:div>
    <w:div w:id="795639444">
      <w:bodyDiv w:val="1"/>
      <w:marLeft w:val="0"/>
      <w:marRight w:val="0"/>
      <w:marTop w:val="0"/>
      <w:marBottom w:val="0"/>
      <w:divBdr>
        <w:top w:val="none" w:sz="0" w:space="0" w:color="auto"/>
        <w:left w:val="none" w:sz="0" w:space="0" w:color="auto"/>
        <w:bottom w:val="none" w:sz="0" w:space="0" w:color="auto"/>
        <w:right w:val="none" w:sz="0" w:space="0" w:color="auto"/>
      </w:divBdr>
      <w:divsChild>
        <w:div w:id="117918139">
          <w:marLeft w:val="0"/>
          <w:marRight w:val="0"/>
          <w:marTop w:val="0"/>
          <w:marBottom w:val="0"/>
          <w:divBdr>
            <w:top w:val="none" w:sz="0" w:space="0" w:color="auto"/>
            <w:left w:val="none" w:sz="0" w:space="0" w:color="auto"/>
            <w:bottom w:val="none" w:sz="0" w:space="0" w:color="auto"/>
            <w:right w:val="none" w:sz="0" w:space="0" w:color="auto"/>
          </w:divBdr>
          <w:divsChild>
            <w:div w:id="295989673">
              <w:marLeft w:val="0"/>
              <w:marRight w:val="0"/>
              <w:marTop w:val="0"/>
              <w:marBottom w:val="0"/>
              <w:divBdr>
                <w:top w:val="none" w:sz="0" w:space="0" w:color="auto"/>
                <w:left w:val="single" w:sz="2" w:space="0" w:color="D5D5D4"/>
                <w:bottom w:val="none" w:sz="0" w:space="0" w:color="auto"/>
                <w:right w:val="single" w:sz="2" w:space="0" w:color="D5D5D4"/>
              </w:divBdr>
              <w:divsChild>
                <w:div w:id="668410613">
                  <w:marLeft w:val="0"/>
                  <w:marRight w:val="0"/>
                  <w:marTop w:val="0"/>
                  <w:marBottom w:val="0"/>
                  <w:divBdr>
                    <w:top w:val="none" w:sz="0" w:space="0" w:color="auto"/>
                    <w:left w:val="none" w:sz="0" w:space="0" w:color="auto"/>
                    <w:bottom w:val="none" w:sz="0" w:space="0" w:color="auto"/>
                    <w:right w:val="none" w:sz="0" w:space="0" w:color="auto"/>
                  </w:divBdr>
                  <w:divsChild>
                    <w:div w:id="861165855">
                      <w:marLeft w:val="0"/>
                      <w:marRight w:val="150"/>
                      <w:marTop w:val="0"/>
                      <w:marBottom w:val="180"/>
                      <w:divBdr>
                        <w:top w:val="none" w:sz="0" w:space="0" w:color="auto"/>
                        <w:left w:val="single" w:sz="6" w:space="11" w:color="B5D792"/>
                        <w:bottom w:val="single" w:sz="36" w:space="15" w:color="B5D792"/>
                        <w:right w:val="single" w:sz="6" w:space="0" w:color="B5D792"/>
                      </w:divBdr>
                      <w:divsChild>
                        <w:div w:id="1976179118">
                          <w:marLeft w:val="0"/>
                          <w:marRight w:val="45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95383">
      <w:bodyDiv w:val="1"/>
      <w:marLeft w:val="0"/>
      <w:marRight w:val="0"/>
      <w:marTop w:val="0"/>
      <w:marBottom w:val="0"/>
      <w:divBdr>
        <w:top w:val="none" w:sz="0" w:space="0" w:color="auto"/>
        <w:left w:val="none" w:sz="0" w:space="0" w:color="auto"/>
        <w:bottom w:val="none" w:sz="0" w:space="0" w:color="auto"/>
        <w:right w:val="none" w:sz="0" w:space="0" w:color="auto"/>
      </w:divBdr>
    </w:div>
    <w:div w:id="866334279">
      <w:bodyDiv w:val="1"/>
      <w:marLeft w:val="0"/>
      <w:marRight w:val="0"/>
      <w:marTop w:val="0"/>
      <w:marBottom w:val="0"/>
      <w:divBdr>
        <w:top w:val="none" w:sz="0" w:space="0" w:color="auto"/>
        <w:left w:val="none" w:sz="0" w:space="0" w:color="auto"/>
        <w:bottom w:val="none" w:sz="0" w:space="0" w:color="auto"/>
        <w:right w:val="none" w:sz="0" w:space="0" w:color="auto"/>
      </w:divBdr>
      <w:divsChild>
        <w:div w:id="1426028894">
          <w:marLeft w:val="0"/>
          <w:marRight w:val="0"/>
          <w:marTop w:val="0"/>
          <w:marBottom w:val="0"/>
          <w:divBdr>
            <w:top w:val="none" w:sz="0" w:space="0" w:color="auto"/>
            <w:left w:val="none" w:sz="0" w:space="0" w:color="auto"/>
            <w:bottom w:val="none" w:sz="0" w:space="0" w:color="auto"/>
            <w:right w:val="none" w:sz="0" w:space="0" w:color="auto"/>
          </w:divBdr>
          <w:divsChild>
            <w:div w:id="541790335">
              <w:marLeft w:val="0"/>
              <w:marRight w:val="0"/>
              <w:marTop w:val="0"/>
              <w:marBottom w:val="0"/>
              <w:divBdr>
                <w:top w:val="none" w:sz="0" w:space="0" w:color="auto"/>
                <w:left w:val="none" w:sz="0" w:space="0" w:color="auto"/>
                <w:bottom w:val="none" w:sz="0" w:space="0" w:color="auto"/>
                <w:right w:val="none" w:sz="0" w:space="0" w:color="auto"/>
              </w:divBdr>
              <w:divsChild>
                <w:div w:id="206651094">
                  <w:marLeft w:val="0"/>
                  <w:marRight w:val="0"/>
                  <w:marTop w:val="0"/>
                  <w:marBottom w:val="0"/>
                  <w:divBdr>
                    <w:top w:val="none" w:sz="0" w:space="0" w:color="auto"/>
                    <w:left w:val="none" w:sz="0" w:space="0" w:color="auto"/>
                    <w:bottom w:val="none" w:sz="0" w:space="0" w:color="auto"/>
                    <w:right w:val="none" w:sz="0" w:space="0" w:color="auto"/>
                  </w:divBdr>
                  <w:divsChild>
                    <w:div w:id="989282956">
                      <w:marLeft w:val="-225"/>
                      <w:marRight w:val="-225"/>
                      <w:marTop w:val="0"/>
                      <w:marBottom w:val="0"/>
                      <w:divBdr>
                        <w:top w:val="none" w:sz="0" w:space="0" w:color="auto"/>
                        <w:left w:val="none" w:sz="0" w:space="0" w:color="auto"/>
                        <w:bottom w:val="none" w:sz="0" w:space="0" w:color="auto"/>
                        <w:right w:val="none" w:sz="0" w:space="0" w:color="auto"/>
                      </w:divBdr>
                      <w:divsChild>
                        <w:div w:id="93013095">
                          <w:marLeft w:val="0"/>
                          <w:marRight w:val="0"/>
                          <w:marTop w:val="0"/>
                          <w:marBottom w:val="0"/>
                          <w:divBdr>
                            <w:top w:val="none" w:sz="0" w:space="0" w:color="auto"/>
                            <w:left w:val="none" w:sz="0" w:space="0" w:color="auto"/>
                            <w:bottom w:val="none" w:sz="0" w:space="0" w:color="auto"/>
                            <w:right w:val="none" w:sz="0" w:space="0" w:color="auto"/>
                          </w:divBdr>
                          <w:divsChild>
                            <w:div w:id="93370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503178">
      <w:bodyDiv w:val="1"/>
      <w:marLeft w:val="0"/>
      <w:marRight w:val="0"/>
      <w:marTop w:val="0"/>
      <w:marBottom w:val="0"/>
      <w:divBdr>
        <w:top w:val="none" w:sz="0" w:space="0" w:color="auto"/>
        <w:left w:val="none" w:sz="0" w:space="0" w:color="auto"/>
        <w:bottom w:val="none" w:sz="0" w:space="0" w:color="auto"/>
        <w:right w:val="none" w:sz="0" w:space="0" w:color="auto"/>
      </w:divBdr>
    </w:div>
    <w:div w:id="932661947">
      <w:bodyDiv w:val="1"/>
      <w:marLeft w:val="0"/>
      <w:marRight w:val="0"/>
      <w:marTop w:val="0"/>
      <w:marBottom w:val="0"/>
      <w:divBdr>
        <w:top w:val="none" w:sz="0" w:space="0" w:color="auto"/>
        <w:left w:val="none" w:sz="0" w:space="0" w:color="auto"/>
        <w:bottom w:val="none" w:sz="0" w:space="0" w:color="auto"/>
        <w:right w:val="none" w:sz="0" w:space="0" w:color="auto"/>
      </w:divBdr>
    </w:div>
    <w:div w:id="938174640">
      <w:bodyDiv w:val="1"/>
      <w:marLeft w:val="0"/>
      <w:marRight w:val="0"/>
      <w:marTop w:val="0"/>
      <w:marBottom w:val="0"/>
      <w:divBdr>
        <w:top w:val="none" w:sz="0" w:space="0" w:color="auto"/>
        <w:left w:val="none" w:sz="0" w:space="0" w:color="auto"/>
        <w:bottom w:val="none" w:sz="0" w:space="0" w:color="auto"/>
        <w:right w:val="none" w:sz="0" w:space="0" w:color="auto"/>
      </w:divBdr>
    </w:div>
    <w:div w:id="979530108">
      <w:bodyDiv w:val="1"/>
      <w:marLeft w:val="0"/>
      <w:marRight w:val="0"/>
      <w:marTop w:val="0"/>
      <w:marBottom w:val="0"/>
      <w:divBdr>
        <w:top w:val="none" w:sz="0" w:space="0" w:color="auto"/>
        <w:left w:val="none" w:sz="0" w:space="0" w:color="auto"/>
        <w:bottom w:val="none" w:sz="0" w:space="0" w:color="auto"/>
        <w:right w:val="none" w:sz="0" w:space="0" w:color="auto"/>
      </w:divBdr>
    </w:div>
    <w:div w:id="980306388">
      <w:bodyDiv w:val="1"/>
      <w:marLeft w:val="0"/>
      <w:marRight w:val="0"/>
      <w:marTop w:val="0"/>
      <w:marBottom w:val="0"/>
      <w:divBdr>
        <w:top w:val="none" w:sz="0" w:space="0" w:color="auto"/>
        <w:left w:val="none" w:sz="0" w:space="0" w:color="auto"/>
        <w:bottom w:val="none" w:sz="0" w:space="0" w:color="auto"/>
        <w:right w:val="none" w:sz="0" w:space="0" w:color="auto"/>
      </w:divBdr>
      <w:divsChild>
        <w:div w:id="737166989">
          <w:marLeft w:val="0"/>
          <w:marRight w:val="0"/>
          <w:marTop w:val="0"/>
          <w:marBottom w:val="0"/>
          <w:divBdr>
            <w:top w:val="none" w:sz="0" w:space="0" w:color="auto"/>
            <w:left w:val="none" w:sz="0" w:space="0" w:color="auto"/>
            <w:bottom w:val="none" w:sz="0" w:space="0" w:color="auto"/>
            <w:right w:val="none" w:sz="0" w:space="0" w:color="auto"/>
          </w:divBdr>
          <w:divsChild>
            <w:div w:id="650523993">
              <w:marLeft w:val="0"/>
              <w:marRight w:val="0"/>
              <w:marTop w:val="0"/>
              <w:marBottom w:val="0"/>
              <w:divBdr>
                <w:top w:val="none" w:sz="0" w:space="0" w:color="auto"/>
                <w:left w:val="none" w:sz="0" w:space="0" w:color="auto"/>
                <w:bottom w:val="none" w:sz="0" w:space="0" w:color="auto"/>
                <w:right w:val="none" w:sz="0" w:space="0" w:color="auto"/>
              </w:divBdr>
              <w:divsChild>
                <w:div w:id="1910535474">
                  <w:marLeft w:val="0"/>
                  <w:marRight w:val="0"/>
                  <w:marTop w:val="0"/>
                  <w:marBottom w:val="0"/>
                  <w:divBdr>
                    <w:top w:val="none" w:sz="0" w:space="0" w:color="auto"/>
                    <w:left w:val="none" w:sz="0" w:space="0" w:color="auto"/>
                    <w:bottom w:val="none" w:sz="0" w:space="0" w:color="auto"/>
                    <w:right w:val="none" w:sz="0" w:space="0" w:color="auto"/>
                  </w:divBdr>
                  <w:divsChild>
                    <w:div w:id="1147625859">
                      <w:marLeft w:val="0"/>
                      <w:marRight w:val="0"/>
                      <w:marTop w:val="0"/>
                      <w:marBottom w:val="0"/>
                      <w:divBdr>
                        <w:top w:val="none" w:sz="0" w:space="0" w:color="auto"/>
                        <w:left w:val="none" w:sz="0" w:space="0" w:color="auto"/>
                        <w:bottom w:val="none" w:sz="0" w:space="0" w:color="auto"/>
                        <w:right w:val="none" w:sz="0" w:space="0" w:color="auto"/>
                      </w:divBdr>
                      <w:divsChild>
                        <w:div w:id="1646738521">
                          <w:marLeft w:val="0"/>
                          <w:marRight w:val="0"/>
                          <w:marTop w:val="45"/>
                          <w:marBottom w:val="0"/>
                          <w:divBdr>
                            <w:top w:val="none" w:sz="0" w:space="0" w:color="auto"/>
                            <w:left w:val="none" w:sz="0" w:space="0" w:color="auto"/>
                            <w:bottom w:val="none" w:sz="0" w:space="0" w:color="auto"/>
                            <w:right w:val="none" w:sz="0" w:space="0" w:color="auto"/>
                          </w:divBdr>
                          <w:divsChild>
                            <w:div w:id="1487866606">
                              <w:marLeft w:val="0"/>
                              <w:marRight w:val="0"/>
                              <w:marTop w:val="0"/>
                              <w:marBottom w:val="0"/>
                              <w:divBdr>
                                <w:top w:val="none" w:sz="0" w:space="0" w:color="auto"/>
                                <w:left w:val="none" w:sz="0" w:space="0" w:color="auto"/>
                                <w:bottom w:val="none" w:sz="0" w:space="0" w:color="auto"/>
                                <w:right w:val="none" w:sz="0" w:space="0" w:color="auto"/>
                              </w:divBdr>
                              <w:divsChild>
                                <w:div w:id="43531264">
                                  <w:marLeft w:val="2070"/>
                                  <w:marRight w:val="3810"/>
                                  <w:marTop w:val="0"/>
                                  <w:marBottom w:val="0"/>
                                  <w:divBdr>
                                    <w:top w:val="none" w:sz="0" w:space="0" w:color="auto"/>
                                    <w:left w:val="none" w:sz="0" w:space="0" w:color="auto"/>
                                    <w:bottom w:val="none" w:sz="0" w:space="0" w:color="auto"/>
                                    <w:right w:val="none" w:sz="0" w:space="0" w:color="auto"/>
                                  </w:divBdr>
                                  <w:divsChild>
                                    <w:div w:id="426772090">
                                      <w:marLeft w:val="0"/>
                                      <w:marRight w:val="0"/>
                                      <w:marTop w:val="0"/>
                                      <w:marBottom w:val="0"/>
                                      <w:divBdr>
                                        <w:top w:val="none" w:sz="0" w:space="0" w:color="auto"/>
                                        <w:left w:val="none" w:sz="0" w:space="0" w:color="auto"/>
                                        <w:bottom w:val="none" w:sz="0" w:space="0" w:color="auto"/>
                                        <w:right w:val="none" w:sz="0" w:space="0" w:color="auto"/>
                                      </w:divBdr>
                                      <w:divsChild>
                                        <w:div w:id="727067705">
                                          <w:marLeft w:val="0"/>
                                          <w:marRight w:val="0"/>
                                          <w:marTop w:val="0"/>
                                          <w:marBottom w:val="0"/>
                                          <w:divBdr>
                                            <w:top w:val="none" w:sz="0" w:space="0" w:color="auto"/>
                                            <w:left w:val="none" w:sz="0" w:space="0" w:color="auto"/>
                                            <w:bottom w:val="none" w:sz="0" w:space="0" w:color="auto"/>
                                            <w:right w:val="none" w:sz="0" w:space="0" w:color="auto"/>
                                          </w:divBdr>
                                          <w:divsChild>
                                            <w:div w:id="1263028080">
                                              <w:marLeft w:val="0"/>
                                              <w:marRight w:val="0"/>
                                              <w:marTop w:val="0"/>
                                              <w:marBottom w:val="0"/>
                                              <w:divBdr>
                                                <w:top w:val="none" w:sz="0" w:space="0" w:color="auto"/>
                                                <w:left w:val="none" w:sz="0" w:space="0" w:color="auto"/>
                                                <w:bottom w:val="none" w:sz="0" w:space="0" w:color="auto"/>
                                                <w:right w:val="none" w:sz="0" w:space="0" w:color="auto"/>
                                              </w:divBdr>
                                              <w:divsChild>
                                                <w:div w:id="1545094478">
                                                  <w:marLeft w:val="0"/>
                                                  <w:marRight w:val="0"/>
                                                  <w:marTop w:val="90"/>
                                                  <w:marBottom w:val="0"/>
                                                  <w:divBdr>
                                                    <w:top w:val="none" w:sz="0" w:space="0" w:color="auto"/>
                                                    <w:left w:val="none" w:sz="0" w:space="0" w:color="auto"/>
                                                    <w:bottom w:val="none" w:sz="0" w:space="0" w:color="auto"/>
                                                    <w:right w:val="none" w:sz="0" w:space="0" w:color="auto"/>
                                                  </w:divBdr>
                                                  <w:divsChild>
                                                    <w:div w:id="2035301189">
                                                      <w:marLeft w:val="0"/>
                                                      <w:marRight w:val="0"/>
                                                      <w:marTop w:val="0"/>
                                                      <w:marBottom w:val="0"/>
                                                      <w:divBdr>
                                                        <w:top w:val="none" w:sz="0" w:space="0" w:color="auto"/>
                                                        <w:left w:val="none" w:sz="0" w:space="0" w:color="auto"/>
                                                        <w:bottom w:val="none" w:sz="0" w:space="0" w:color="auto"/>
                                                        <w:right w:val="none" w:sz="0" w:space="0" w:color="auto"/>
                                                      </w:divBdr>
                                                      <w:divsChild>
                                                        <w:div w:id="1051491176">
                                                          <w:marLeft w:val="0"/>
                                                          <w:marRight w:val="0"/>
                                                          <w:marTop w:val="0"/>
                                                          <w:marBottom w:val="0"/>
                                                          <w:divBdr>
                                                            <w:top w:val="none" w:sz="0" w:space="0" w:color="auto"/>
                                                            <w:left w:val="none" w:sz="0" w:space="0" w:color="auto"/>
                                                            <w:bottom w:val="none" w:sz="0" w:space="0" w:color="auto"/>
                                                            <w:right w:val="none" w:sz="0" w:space="0" w:color="auto"/>
                                                          </w:divBdr>
                                                          <w:divsChild>
                                                            <w:div w:id="1360354916">
                                                              <w:marLeft w:val="0"/>
                                                              <w:marRight w:val="0"/>
                                                              <w:marTop w:val="0"/>
                                                              <w:marBottom w:val="390"/>
                                                              <w:divBdr>
                                                                <w:top w:val="none" w:sz="0" w:space="0" w:color="auto"/>
                                                                <w:left w:val="none" w:sz="0" w:space="0" w:color="auto"/>
                                                                <w:bottom w:val="none" w:sz="0" w:space="0" w:color="auto"/>
                                                                <w:right w:val="none" w:sz="0" w:space="0" w:color="auto"/>
                                                              </w:divBdr>
                                                              <w:divsChild>
                                                                <w:div w:id="1881278743">
                                                                  <w:marLeft w:val="0"/>
                                                                  <w:marRight w:val="0"/>
                                                                  <w:marTop w:val="0"/>
                                                                  <w:marBottom w:val="0"/>
                                                                  <w:divBdr>
                                                                    <w:top w:val="none" w:sz="0" w:space="0" w:color="auto"/>
                                                                    <w:left w:val="none" w:sz="0" w:space="0" w:color="auto"/>
                                                                    <w:bottom w:val="none" w:sz="0" w:space="0" w:color="auto"/>
                                                                    <w:right w:val="none" w:sz="0" w:space="0" w:color="auto"/>
                                                                  </w:divBdr>
                                                                  <w:divsChild>
                                                                    <w:div w:id="280186468">
                                                                      <w:marLeft w:val="0"/>
                                                                      <w:marRight w:val="0"/>
                                                                      <w:marTop w:val="0"/>
                                                                      <w:marBottom w:val="0"/>
                                                                      <w:divBdr>
                                                                        <w:top w:val="none" w:sz="0" w:space="0" w:color="auto"/>
                                                                        <w:left w:val="none" w:sz="0" w:space="0" w:color="auto"/>
                                                                        <w:bottom w:val="none" w:sz="0" w:space="0" w:color="auto"/>
                                                                        <w:right w:val="none" w:sz="0" w:space="0" w:color="auto"/>
                                                                      </w:divBdr>
                                                                      <w:divsChild>
                                                                        <w:div w:id="432945343">
                                                                          <w:marLeft w:val="0"/>
                                                                          <w:marRight w:val="0"/>
                                                                          <w:marTop w:val="0"/>
                                                                          <w:marBottom w:val="0"/>
                                                                          <w:divBdr>
                                                                            <w:top w:val="none" w:sz="0" w:space="0" w:color="auto"/>
                                                                            <w:left w:val="none" w:sz="0" w:space="0" w:color="auto"/>
                                                                            <w:bottom w:val="none" w:sz="0" w:space="0" w:color="auto"/>
                                                                            <w:right w:val="none" w:sz="0" w:space="0" w:color="auto"/>
                                                                          </w:divBdr>
                                                                          <w:divsChild>
                                                                            <w:div w:id="1312247674">
                                                                              <w:marLeft w:val="0"/>
                                                                              <w:marRight w:val="0"/>
                                                                              <w:marTop w:val="0"/>
                                                                              <w:marBottom w:val="0"/>
                                                                              <w:divBdr>
                                                                                <w:top w:val="none" w:sz="0" w:space="0" w:color="auto"/>
                                                                                <w:left w:val="none" w:sz="0" w:space="0" w:color="auto"/>
                                                                                <w:bottom w:val="none" w:sz="0" w:space="0" w:color="auto"/>
                                                                                <w:right w:val="none" w:sz="0" w:space="0" w:color="auto"/>
                                                                              </w:divBdr>
                                                                              <w:divsChild>
                                                                                <w:div w:id="1087456176">
                                                                                  <w:marLeft w:val="0"/>
                                                                                  <w:marRight w:val="0"/>
                                                                                  <w:marTop w:val="0"/>
                                                                                  <w:marBottom w:val="0"/>
                                                                                  <w:divBdr>
                                                                                    <w:top w:val="none" w:sz="0" w:space="0" w:color="auto"/>
                                                                                    <w:left w:val="none" w:sz="0" w:space="0" w:color="auto"/>
                                                                                    <w:bottom w:val="none" w:sz="0" w:space="0" w:color="auto"/>
                                                                                    <w:right w:val="none" w:sz="0" w:space="0" w:color="auto"/>
                                                                                  </w:divBdr>
                                                                                  <w:divsChild>
                                                                                    <w:div w:id="56981908">
                                                                                      <w:marLeft w:val="0"/>
                                                                                      <w:marRight w:val="0"/>
                                                                                      <w:marTop w:val="0"/>
                                                                                      <w:marBottom w:val="0"/>
                                                                                      <w:divBdr>
                                                                                        <w:top w:val="none" w:sz="0" w:space="0" w:color="auto"/>
                                                                                        <w:left w:val="none" w:sz="0" w:space="0" w:color="auto"/>
                                                                                        <w:bottom w:val="none" w:sz="0" w:space="0" w:color="auto"/>
                                                                                        <w:right w:val="none" w:sz="0" w:space="0" w:color="auto"/>
                                                                                      </w:divBdr>
                                                                                      <w:divsChild>
                                                                                        <w:div w:id="1779569652">
                                                                                          <w:marLeft w:val="0"/>
                                                                                          <w:marRight w:val="0"/>
                                                                                          <w:marTop w:val="0"/>
                                                                                          <w:marBottom w:val="0"/>
                                                                                          <w:divBdr>
                                                                                            <w:top w:val="none" w:sz="0" w:space="0" w:color="auto"/>
                                                                                            <w:left w:val="none" w:sz="0" w:space="0" w:color="auto"/>
                                                                                            <w:bottom w:val="none" w:sz="0" w:space="0" w:color="auto"/>
                                                                                            <w:right w:val="none" w:sz="0" w:space="0" w:color="auto"/>
                                                                                          </w:divBdr>
                                                                                          <w:divsChild>
                                                                                            <w:div w:id="59598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1180539">
      <w:bodyDiv w:val="1"/>
      <w:marLeft w:val="0"/>
      <w:marRight w:val="0"/>
      <w:marTop w:val="0"/>
      <w:marBottom w:val="0"/>
      <w:divBdr>
        <w:top w:val="none" w:sz="0" w:space="0" w:color="auto"/>
        <w:left w:val="none" w:sz="0" w:space="0" w:color="auto"/>
        <w:bottom w:val="none" w:sz="0" w:space="0" w:color="auto"/>
        <w:right w:val="none" w:sz="0" w:space="0" w:color="auto"/>
      </w:divBdr>
    </w:div>
    <w:div w:id="1005934582">
      <w:bodyDiv w:val="1"/>
      <w:marLeft w:val="0"/>
      <w:marRight w:val="0"/>
      <w:marTop w:val="0"/>
      <w:marBottom w:val="0"/>
      <w:divBdr>
        <w:top w:val="none" w:sz="0" w:space="0" w:color="auto"/>
        <w:left w:val="none" w:sz="0" w:space="0" w:color="auto"/>
        <w:bottom w:val="none" w:sz="0" w:space="0" w:color="auto"/>
        <w:right w:val="none" w:sz="0" w:space="0" w:color="auto"/>
      </w:divBdr>
    </w:div>
    <w:div w:id="1034306283">
      <w:bodyDiv w:val="1"/>
      <w:marLeft w:val="0"/>
      <w:marRight w:val="0"/>
      <w:marTop w:val="0"/>
      <w:marBottom w:val="0"/>
      <w:divBdr>
        <w:top w:val="none" w:sz="0" w:space="0" w:color="auto"/>
        <w:left w:val="none" w:sz="0" w:space="0" w:color="auto"/>
        <w:bottom w:val="none" w:sz="0" w:space="0" w:color="auto"/>
        <w:right w:val="none" w:sz="0" w:space="0" w:color="auto"/>
      </w:divBdr>
    </w:div>
    <w:div w:id="1120420063">
      <w:bodyDiv w:val="1"/>
      <w:marLeft w:val="0"/>
      <w:marRight w:val="0"/>
      <w:marTop w:val="0"/>
      <w:marBottom w:val="0"/>
      <w:divBdr>
        <w:top w:val="none" w:sz="0" w:space="0" w:color="auto"/>
        <w:left w:val="none" w:sz="0" w:space="0" w:color="auto"/>
        <w:bottom w:val="none" w:sz="0" w:space="0" w:color="auto"/>
        <w:right w:val="none" w:sz="0" w:space="0" w:color="auto"/>
      </w:divBdr>
    </w:div>
    <w:div w:id="1136949024">
      <w:bodyDiv w:val="1"/>
      <w:marLeft w:val="0"/>
      <w:marRight w:val="0"/>
      <w:marTop w:val="0"/>
      <w:marBottom w:val="0"/>
      <w:divBdr>
        <w:top w:val="none" w:sz="0" w:space="0" w:color="auto"/>
        <w:left w:val="none" w:sz="0" w:space="0" w:color="auto"/>
        <w:bottom w:val="none" w:sz="0" w:space="0" w:color="auto"/>
        <w:right w:val="none" w:sz="0" w:space="0" w:color="auto"/>
      </w:divBdr>
    </w:div>
    <w:div w:id="1152796851">
      <w:bodyDiv w:val="1"/>
      <w:marLeft w:val="0"/>
      <w:marRight w:val="0"/>
      <w:marTop w:val="0"/>
      <w:marBottom w:val="0"/>
      <w:divBdr>
        <w:top w:val="none" w:sz="0" w:space="0" w:color="auto"/>
        <w:left w:val="none" w:sz="0" w:space="0" w:color="auto"/>
        <w:bottom w:val="none" w:sz="0" w:space="0" w:color="auto"/>
        <w:right w:val="none" w:sz="0" w:space="0" w:color="auto"/>
      </w:divBdr>
    </w:div>
    <w:div w:id="1234394908">
      <w:bodyDiv w:val="1"/>
      <w:marLeft w:val="0"/>
      <w:marRight w:val="0"/>
      <w:marTop w:val="0"/>
      <w:marBottom w:val="0"/>
      <w:divBdr>
        <w:top w:val="none" w:sz="0" w:space="0" w:color="auto"/>
        <w:left w:val="none" w:sz="0" w:space="0" w:color="auto"/>
        <w:bottom w:val="none" w:sz="0" w:space="0" w:color="auto"/>
        <w:right w:val="none" w:sz="0" w:space="0" w:color="auto"/>
      </w:divBdr>
    </w:div>
    <w:div w:id="1238514348">
      <w:bodyDiv w:val="1"/>
      <w:marLeft w:val="0"/>
      <w:marRight w:val="0"/>
      <w:marTop w:val="0"/>
      <w:marBottom w:val="0"/>
      <w:divBdr>
        <w:top w:val="none" w:sz="0" w:space="0" w:color="auto"/>
        <w:left w:val="none" w:sz="0" w:space="0" w:color="auto"/>
        <w:bottom w:val="none" w:sz="0" w:space="0" w:color="auto"/>
        <w:right w:val="none" w:sz="0" w:space="0" w:color="auto"/>
      </w:divBdr>
    </w:div>
    <w:div w:id="1266156085">
      <w:bodyDiv w:val="1"/>
      <w:marLeft w:val="0"/>
      <w:marRight w:val="0"/>
      <w:marTop w:val="0"/>
      <w:marBottom w:val="0"/>
      <w:divBdr>
        <w:top w:val="none" w:sz="0" w:space="0" w:color="auto"/>
        <w:left w:val="none" w:sz="0" w:space="0" w:color="auto"/>
        <w:bottom w:val="none" w:sz="0" w:space="0" w:color="auto"/>
        <w:right w:val="none" w:sz="0" w:space="0" w:color="auto"/>
      </w:divBdr>
    </w:div>
    <w:div w:id="1296789405">
      <w:bodyDiv w:val="1"/>
      <w:marLeft w:val="0"/>
      <w:marRight w:val="0"/>
      <w:marTop w:val="0"/>
      <w:marBottom w:val="0"/>
      <w:divBdr>
        <w:top w:val="none" w:sz="0" w:space="0" w:color="auto"/>
        <w:left w:val="none" w:sz="0" w:space="0" w:color="auto"/>
        <w:bottom w:val="none" w:sz="0" w:space="0" w:color="auto"/>
        <w:right w:val="none" w:sz="0" w:space="0" w:color="auto"/>
      </w:divBdr>
    </w:div>
    <w:div w:id="1312365694">
      <w:bodyDiv w:val="1"/>
      <w:marLeft w:val="0"/>
      <w:marRight w:val="0"/>
      <w:marTop w:val="0"/>
      <w:marBottom w:val="0"/>
      <w:divBdr>
        <w:top w:val="none" w:sz="0" w:space="0" w:color="auto"/>
        <w:left w:val="none" w:sz="0" w:space="0" w:color="auto"/>
        <w:bottom w:val="none" w:sz="0" w:space="0" w:color="auto"/>
        <w:right w:val="none" w:sz="0" w:space="0" w:color="auto"/>
      </w:divBdr>
    </w:div>
    <w:div w:id="1326737615">
      <w:bodyDiv w:val="1"/>
      <w:marLeft w:val="0"/>
      <w:marRight w:val="0"/>
      <w:marTop w:val="0"/>
      <w:marBottom w:val="0"/>
      <w:divBdr>
        <w:top w:val="none" w:sz="0" w:space="0" w:color="auto"/>
        <w:left w:val="none" w:sz="0" w:space="0" w:color="auto"/>
        <w:bottom w:val="none" w:sz="0" w:space="0" w:color="auto"/>
        <w:right w:val="none" w:sz="0" w:space="0" w:color="auto"/>
      </w:divBdr>
    </w:div>
    <w:div w:id="1326860207">
      <w:bodyDiv w:val="1"/>
      <w:marLeft w:val="0"/>
      <w:marRight w:val="0"/>
      <w:marTop w:val="0"/>
      <w:marBottom w:val="0"/>
      <w:divBdr>
        <w:top w:val="none" w:sz="0" w:space="0" w:color="auto"/>
        <w:left w:val="none" w:sz="0" w:space="0" w:color="auto"/>
        <w:bottom w:val="none" w:sz="0" w:space="0" w:color="auto"/>
        <w:right w:val="none" w:sz="0" w:space="0" w:color="auto"/>
      </w:divBdr>
    </w:div>
    <w:div w:id="1330209478">
      <w:bodyDiv w:val="1"/>
      <w:marLeft w:val="0"/>
      <w:marRight w:val="0"/>
      <w:marTop w:val="0"/>
      <w:marBottom w:val="0"/>
      <w:divBdr>
        <w:top w:val="none" w:sz="0" w:space="0" w:color="auto"/>
        <w:left w:val="none" w:sz="0" w:space="0" w:color="auto"/>
        <w:bottom w:val="none" w:sz="0" w:space="0" w:color="auto"/>
        <w:right w:val="none" w:sz="0" w:space="0" w:color="auto"/>
      </w:divBdr>
      <w:divsChild>
        <w:div w:id="1967856150">
          <w:marLeft w:val="0"/>
          <w:marRight w:val="0"/>
          <w:marTop w:val="0"/>
          <w:marBottom w:val="0"/>
          <w:divBdr>
            <w:top w:val="none" w:sz="0" w:space="0" w:color="auto"/>
            <w:left w:val="none" w:sz="0" w:space="0" w:color="auto"/>
            <w:bottom w:val="none" w:sz="0" w:space="0" w:color="auto"/>
            <w:right w:val="none" w:sz="0" w:space="0" w:color="auto"/>
          </w:divBdr>
          <w:divsChild>
            <w:div w:id="1699239868">
              <w:marLeft w:val="0"/>
              <w:marRight w:val="0"/>
              <w:marTop w:val="0"/>
              <w:marBottom w:val="0"/>
              <w:divBdr>
                <w:top w:val="none" w:sz="0" w:space="0" w:color="auto"/>
                <w:left w:val="none" w:sz="0" w:space="0" w:color="auto"/>
                <w:bottom w:val="none" w:sz="0" w:space="0" w:color="auto"/>
                <w:right w:val="none" w:sz="0" w:space="0" w:color="auto"/>
              </w:divBdr>
              <w:divsChild>
                <w:div w:id="971406651">
                  <w:marLeft w:val="0"/>
                  <w:marRight w:val="0"/>
                  <w:marTop w:val="0"/>
                  <w:marBottom w:val="0"/>
                  <w:divBdr>
                    <w:top w:val="none" w:sz="0" w:space="0" w:color="auto"/>
                    <w:left w:val="none" w:sz="0" w:space="0" w:color="auto"/>
                    <w:bottom w:val="none" w:sz="0" w:space="0" w:color="auto"/>
                    <w:right w:val="none" w:sz="0" w:space="0" w:color="auto"/>
                  </w:divBdr>
                  <w:divsChild>
                    <w:div w:id="860975170">
                      <w:marLeft w:val="0"/>
                      <w:marRight w:val="0"/>
                      <w:marTop w:val="45"/>
                      <w:marBottom w:val="0"/>
                      <w:divBdr>
                        <w:top w:val="none" w:sz="0" w:space="0" w:color="auto"/>
                        <w:left w:val="none" w:sz="0" w:space="0" w:color="auto"/>
                        <w:bottom w:val="none" w:sz="0" w:space="0" w:color="auto"/>
                        <w:right w:val="none" w:sz="0" w:space="0" w:color="auto"/>
                      </w:divBdr>
                      <w:divsChild>
                        <w:div w:id="1150902530">
                          <w:marLeft w:val="0"/>
                          <w:marRight w:val="0"/>
                          <w:marTop w:val="0"/>
                          <w:marBottom w:val="0"/>
                          <w:divBdr>
                            <w:top w:val="none" w:sz="0" w:space="0" w:color="auto"/>
                            <w:left w:val="none" w:sz="0" w:space="0" w:color="auto"/>
                            <w:bottom w:val="none" w:sz="0" w:space="0" w:color="auto"/>
                            <w:right w:val="none" w:sz="0" w:space="0" w:color="auto"/>
                          </w:divBdr>
                          <w:divsChild>
                            <w:div w:id="131869581">
                              <w:marLeft w:val="2070"/>
                              <w:marRight w:val="3960"/>
                              <w:marTop w:val="0"/>
                              <w:marBottom w:val="0"/>
                              <w:divBdr>
                                <w:top w:val="none" w:sz="0" w:space="0" w:color="auto"/>
                                <w:left w:val="none" w:sz="0" w:space="0" w:color="auto"/>
                                <w:bottom w:val="none" w:sz="0" w:space="0" w:color="auto"/>
                                <w:right w:val="none" w:sz="0" w:space="0" w:color="auto"/>
                              </w:divBdr>
                              <w:divsChild>
                                <w:div w:id="1837378707">
                                  <w:marLeft w:val="0"/>
                                  <w:marRight w:val="0"/>
                                  <w:marTop w:val="0"/>
                                  <w:marBottom w:val="0"/>
                                  <w:divBdr>
                                    <w:top w:val="none" w:sz="0" w:space="0" w:color="auto"/>
                                    <w:left w:val="none" w:sz="0" w:space="0" w:color="auto"/>
                                    <w:bottom w:val="none" w:sz="0" w:space="0" w:color="auto"/>
                                    <w:right w:val="none" w:sz="0" w:space="0" w:color="auto"/>
                                  </w:divBdr>
                                  <w:divsChild>
                                    <w:div w:id="890924186">
                                      <w:marLeft w:val="0"/>
                                      <w:marRight w:val="0"/>
                                      <w:marTop w:val="0"/>
                                      <w:marBottom w:val="0"/>
                                      <w:divBdr>
                                        <w:top w:val="none" w:sz="0" w:space="0" w:color="auto"/>
                                        <w:left w:val="none" w:sz="0" w:space="0" w:color="auto"/>
                                        <w:bottom w:val="none" w:sz="0" w:space="0" w:color="auto"/>
                                        <w:right w:val="none" w:sz="0" w:space="0" w:color="auto"/>
                                      </w:divBdr>
                                      <w:divsChild>
                                        <w:div w:id="1012028109">
                                          <w:marLeft w:val="0"/>
                                          <w:marRight w:val="0"/>
                                          <w:marTop w:val="0"/>
                                          <w:marBottom w:val="0"/>
                                          <w:divBdr>
                                            <w:top w:val="none" w:sz="0" w:space="0" w:color="auto"/>
                                            <w:left w:val="none" w:sz="0" w:space="0" w:color="auto"/>
                                            <w:bottom w:val="none" w:sz="0" w:space="0" w:color="auto"/>
                                            <w:right w:val="none" w:sz="0" w:space="0" w:color="auto"/>
                                          </w:divBdr>
                                          <w:divsChild>
                                            <w:div w:id="686176425">
                                              <w:marLeft w:val="0"/>
                                              <w:marRight w:val="0"/>
                                              <w:marTop w:val="90"/>
                                              <w:marBottom w:val="0"/>
                                              <w:divBdr>
                                                <w:top w:val="none" w:sz="0" w:space="0" w:color="auto"/>
                                                <w:left w:val="none" w:sz="0" w:space="0" w:color="auto"/>
                                                <w:bottom w:val="none" w:sz="0" w:space="0" w:color="auto"/>
                                                <w:right w:val="none" w:sz="0" w:space="0" w:color="auto"/>
                                              </w:divBdr>
                                              <w:divsChild>
                                                <w:div w:id="760102400">
                                                  <w:marLeft w:val="0"/>
                                                  <w:marRight w:val="0"/>
                                                  <w:marTop w:val="0"/>
                                                  <w:marBottom w:val="0"/>
                                                  <w:divBdr>
                                                    <w:top w:val="none" w:sz="0" w:space="0" w:color="auto"/>
                                                    <w:left w:val="none" w:sz="0" w:space="0" w:color="auto"/>
                                                    <w:bottom w:val="none" w:sz="0" w:space="0" w:color="auto"/>
                                                    <w:right w:val="none" w:sz="0" w:space="0" w:color="auto"/>
                                                  </w:divBdr>
                                                  <w:divsChild>
                                                    <w:div w:id="1529686377">
                                                      <w:marLeft w:val="0"/>
                                                      <w:marRight w:val="0"/>
                                                      <w:marTop w:val="0"/>
                                                      <w:marBottom w:val="0"/>
                                                      <w:divBdr>
                                                        <w:top w:val="none" w:sz="0" w:space="0" w:color="auto"/>
                                                        <w:left w:val="none" w:sz="0" w:space="0" w:color="auto"/>
                                                        <w:bottom w:val="none" w:sz="0" w:space="0" w:color="auto"/>
                                                        <w:right w:val="none" w:sz="0" w:space="0" w:color="auto"/>
                                                      </w:divBdr>
                                                      <w:divsChild>
                                                        <w:div w:id="531578086">
                                                          <w:marLeft w:val="0"/>
                                                          <w:marRight w:val="0"/>
                                                          <w:marTop w:val="0"/>
                                                          <w:marBottom w:val="390"/>
                                                          <w:divBdr>
                                                            <w:top w:val="none" w:sz="0" w:space="0" w:color="auto"/>
                                                            <w:left w:val="none" w:sz="0" w:space="0" w:color="auto"/>
                                                            <w:bottom w:val="none" w:sz="0" w:space="0" w:color="auto"/>
                                                            <w:right w:val="none" w:sz="0" w:space="0" w:color="auto"/>
                                                          </w:divBdr>
                                                          <w:divsChild>
                                                            <w:div w:id="1856504853">
                                                              <w:marLeft w:val="0"/>
                                                              <w:marRight w:val="0"/>
                                                              <w:marTop w:val="0"/>
                                                              <w:marBottom w:val="0"/>
                                                              <w:divBdr>
                                                                <w:top w:val="none" w:sz="0" w:space="0" w:color="auto"/>
                                                                <w:left w:val="none" w:sz="0" w:space="0" w:color="auto"/>
                                                                <w:bottom w:val="none" w:sz="0" w:space="0" w:color="auto"/>
                                                                <w:right w:val="none" w:sz="0" w:space="0" w:color="auto"/>
                                                              </w:divBdr>
                                                              <w:divsChild>
                                                                <w:div w:id="746343929">
                                                                  <w:marLeft w:val="0"/>
                                                                  <w:marRight w:val="0"/>
                                                                  <w:marTop w:val="0"/>
                                                                  <w:marBottom w:val="0"/>
                                                                  <w:divBdr>
                                                                    <w:top w:val="none" w:sz="0" w:space="0" w:color="auto"/>
                                                                    <w:left w:val="none" w:sz="0" w:space="0" w:color="auto"/>
                                                                    <w:bottom w:val="none" w:sz="0" w:space="0" w:color="auto"/>
                                                                    <w:right w:val="none" w:sz="0" w:space="0" w:color="auto"/>
                                                                  </w:divBdr>
                                                                  <w:divsChild>
                                                                    <w:div w:id="229734766">
                                                                      <w:marLeft w:val="0"/>
                                                                      <w:marRight w:val="0"/>
                                                                      <w:marTop w:val="0"/>
                                                                      <w:marBottom w:val="0"/>
                                                                      <w:divBdr>
                                                                        <w:top w:val="none" w:sz="0" w:space="0" w:color="auto"/>
                                                                        <w:left w:val="none" w:sz="0" w:space="0" w:color="auto"/>
                                                                        <w:bottom w:val="none" w:sz="0" w:space="0" w:color="auto"/>
                                                                        <w:right w:val="none" w:sz="0" w:space="0" w:color="auto"/>
                                                                      </w:divBdr>
                                                                      <w:divsChild>
                                                                        <w:div w:id="1331788105">
                                                                          <w:marLeft w:val="0"/>
                                                                          <w:marRight w:val="0"/>
                                                                          <w:marTop w:val="0"/>
                                                                          <w:marBottom w:val="0"/>
                                                                          <w:divBdr>
                                                                            <w:top w:val="none" w:sz="0" w:space="0" w:color="auto"/>
                                                                            <w:left w:val="none" w:sz="0" w:space="0" w:color="auto"/>
                                                                            <w:bottom w:val="none" w:sz="0" w:space="0" w:color="auto"/>
                                                                            <w:right w:val="none" w:sz="0" w:space="0" w:color="auto"/>
                                                                          </w:divBdr>
                                                                          <w:divsChild>
                                                                            <w:div w:id="1949510701">
                                                                              <w:marLeft w:val="0"/>
                                                                              <w:marRight w:val="0"/>
                                                                              <w:marTop w:val="0"/>
                                                                              <w:marBottom w:val="0"/>
                                                                              <w:divBdr>
                                                                                <w:top w:val="none" w:sz="0" w:space="0" w:color="auto"/>
                                                                                <w:left w:val="none" w:sz="0" w:space="0" w:color="auto"/>
                                                                                <w:bottom w:val="none" w:sz="0" w:space="0" w:color="auto"/>
                                                                                <w:right w:val="none" w:sz="0" w:space="0" w:color="auto"/>
                                                                              </w:divBdr>
                                                                              <w:divsChild>
                                                                                <w:div w:id="105854622">
                                                                                  <w:marLeft w:val="0"/>
                                                                                  <w:marRight w:val="0"/>
                                                                                  <w:marTop w:val="0"/>
                                                                                  <w:marBottom w:val="0"/>
                                                                                  <w:divBdr>
                                                                                    <w:top w:val="none" w:sz="0" w:space="0" w:color="auto"/>
                                                                                    <w:left w:val="none" w:sz="0" w:space="0" w:color="auto"/>
                                                                                    <w:bottom w:val="none" w:sz="0" w:space="0" w:color="auto"/>
                                                                                    <w:right w:val="none" w:sz="0" w:space="0" w:color="auto"/>
                                                                                  </w:divBdr>
                                                                                  <w:divsChild>
                                                                                    <w:div w:id="344140269">
                                                                                      <w:marLeft w:val="0"/>
                                                                                      <w:marRight w:val="0"/>
                                                                                      <w:marTop w:val="0"/>
                                                                                      <w:marBottom w:val="0"/>
                                                                                      <w:divBdr>
                                                                                        <w:top w:val="none" w:sz="0" w:space="0" w:color="auto"/>
                                                                                        <w:left w:val="none" w:sz="0" w:space="0" w:color="auto"/>
                                                                                        <w:bottom w:val="none" w:sz="0" w:space="0" w:color="auto"/>
                                                                                        <w:right w:val="none" w:sz="0" w:space="0" w:color="auto"/>
                                                                                      </w:divBdr>
                                                                                      <w:divsChild>
                                                                                        <w:div w:id="532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3415239">
      <w:bodyDiv w:val="1"/>
      <w:marLeft w:val="0"/>
      <w:marRight w:val="0"/>
      <w:marTop w:val="0"/>
      <w:marBottom w:val="0"/>
      <w:divBdr>
        <w:top w:val="none" w:sz="0" w:space="0" w:color="auto"/>
        <w:left w:val="none" w:sz="0" w:space="0" w:color="auto"/>
        <w:bottom w:val="none" w:sz="0" w:space="0" w:color="auto"/>
        <w:right w:val="none" w:sz="0" w:space="0" w:color="auto"/>
      </w:divBdr>
    </w:div>
    <w:div w:id="1353917602">
      <w:bodyDiv w:val="1"/>
      <w:marLeft w:val="0"/>
      <w:marRight w:val="0"/>
      <w:marTop w:val="0"/>
      <w:marBottom w:val="0"/>
      <w:divBdr>
        <w:top w:val="none" w:sz="0" w:space="0" w:color="auto"/>
        <w:left w:val="none" w:sz="0" w:space="0" w:color="auto"/>
        <w:bottom w:val="none" w:sz="0" w:space="0" w:color="auto"/>
        <w:right w:val="none" w:sz="0" w:space="0" w:color="auto"/>
      </w:divBdr>
    </w:div>
    <w:div w:id="1394886132">
      <w:bodyDiv w:val="1"/>
      <w:marLeft w:val="0"/>
      <w:marRight w:val="0"/>
      <w:marTop w:val="0"/>
      <w:marBottom w:val="0"/>
      <w:divBdr>
        <w:top w:val="none" w:sz="0" w:space="0" w:color="auto"/>
        <w:left w:val="none" w:sz="0" w:space="0" w:color="auto"/>
        <w:bottom w:val="none" w:sz="0" w:space="0" w:color="auto"/>
        <w:right w:val="none" w:sz="0" w:space="0" w:color="auto"/>
      </w:divBdr>
    </w:div>
    <w:div w:id="1396732922">
      <w:bodyDiv w:val="1"/>
      <w:marLeft w:val="0"/>
      <w:marRight w:val="0"/>
      <w:marTop w:val="0"/>
      <w:marBottom w:val="0"/>
      <w:divBdr>
        <w:top w:val="none" w:sz="0" w:space="0" w:color="auto"/>
        <w:left w:val="none" w:sz="0" w:space="0" w:color="auto"/>
        <w:bottom w:val="none" w:sz="0" w:space="0" w:color="auto"/>
        <w:right w:val="none" w:sz="0" w:space="0" w:color="auto"/>
      </w:divBdr>
    </w:div>
    <w:div w:id="1428964252">
      <w:bodyDiv w:val="1"/>
      <w:marLeft w:val="0"/>
      <w:marRight w:val="0"/>
      <w:marTop w:val="0"/>
      <w:marBottom w:val="0"/>
      <w:divBdr>
        <w:top w:val="none" w:sz="0" w:space="0" w:color="auto"/>
        <w:left w:val="none" w:sz="0" w:space="0" w:color="auto"/>
        <w:bottom w:val="none" w:sz="0" w:space="0" w:color="auto"/>
        <w:right w:val="none" w:sz="0" w:space="0" w:color="auto"/>
      </w:divBdr>
    </w:div>
    <w:div w:id="1431006398">
      <w:bodyDiv w:val="1"/>
      <w:marLeft w:val="0"/>
      <w:marRight w:val="0"/>
      <w:marTop w:val="0"/>
      <w:marBottom w:val="0"/>
      <w:divBdr>
        <w:top w:val="none" w:sz="0" w:space="0" w:color="auto"/>
        <w:left w:val="none" w:sz="0" w:space="0" w:color="auto"/>
        <w:bottom w:val="none" w:sz="0" w:space="0" w:color="auto"/>
        <w:right w:val="none" w:sz="0" w:space="0" w:color="auto"/>
      </w:divBdr>
    </w:div>
    <w:div w:id="1446266089">
      <w:bodyDiv w:val="1"/>
      <w:marLeft w:val="0"/>
      <w:marRight w:val="0"/>
      <w:marTop w:val="0"/>
      <w:marBottom w:val="0"/>
      <w:divBdr>
        <w:top w:val="none" w:sz="0" w:space="0" w:color="auto"/>
        <w:left w:val="none" w:sz="0" w:space="0" w:color="auto"/>
        <w:bottom w:val="none" w:sz="0" w:space="0" w:color="auto"/>
        <w:right w:val="none" w:sz="0" w:space="0" w:color="auto"/>
      </w:divBdr>
    </w:div>
    <w:div w:id="1447651842">
      <w:bodyDiv w:val="1"/>
      <w:marLeft w:val="0"/>
      <w:marRight w:val="0"/>
      <w:marTop w:val="0"/>
      <w:marBottom w:val="0"/>
      <w:divBdr>
        <w:top w:val="none" w:sz="0" w:space="0" w:color="auto"/>
        <w:left w:val="none" w:sz="0" w:space="0" w:color="auto"/>
        <w:bottom w:val="none" w:sz="0" w:space="0" w:color="auto"/>
        <w:right w:val="none" w:sz="0" w:space="0" w:color="auto"/>
      </w:divBdr>
    </w:div>
    <w:div w:id="1483885374">
      <w:bodyDiv w:val="1"/>
      <w:marLeft w:val="0"/>
      <w:marRight w:val="0"/>
      <w:marTop w:val="0"/>
      <w:marBottom w:val="0"/>
      <w:divBdr>
        <w:top w:val="none" w:sz="0" w:space="0" w:color="auto"/>
        <w:left w:val="none" w:sz="0" w:space="0" w:color="auto"/>
        <w:bottom w:val="none" w:sz="0" w:space="0" w:color="auto"/>
        <w:right w:val="none" w:sz="0" w:space="0" w:color="auto"/>
      </w:divBdr>
    </w:div>
    <w:div w:id="1511724068">
      <w:bodyDiv w:val="1"/>
      <w:marLeft w:val="0"/>
      <w:marRight w:val="0"/>
      <w:marTop w:val="0"/>
      <w:marBottom w:val="0"/>
      <w:divBdr>
        <w:top w:val="none" w:sz="0" w:space="0" w:color="auto"/>
        <w:left w:val="none" w:sz="0" w:space="0" w:color="auto"/>
        <w:bottom w:val="none" w:sz="0" w:space="0" w:color="auto"/>
        <w:right w:val="none" w:sz="0" w:space="0" w:color="auto"/>
      </w:divBdr>
    </w:div>
    <w:div w:id="1512068746">
      <w:bodyDiv w:val="1"/>
      <w:marLeft w:val="0"/>
      <w:marRight w:val="0"/>
      <w:marTop w:val="0"/>
      <w:marBottom w:val="0"/>
      <w:divBdr>
        <w:top w:val="none" w:sz="0" w:space="0" w:color="auto"/>
        <w:left w:val="none" w:sz="0" w:space="0" w:color="auto"/>
        <w:bottom w:val="none" w:sz="0" w:space="0" w:color="auto"/>
        <w:right w:val="none" w:sz="0" w:space="0" w:color="auto"/>
      </w:divBdr>
    </w:div>
    <w:div w:id="1530683545">
      <w:bodyDiv w:val="1"/>
      <w:marLeft w:val="0"/>
      <w:marRight w:val="0"/>
      <w:marTop w:val="0"/>
      <w:marBottom w:val="0"/>
      <w:divBdr>
        <w:top w:val="none" w:sz="0" w:space="0" w:color="auto"/>
        <w:left w:val="none" w:sz="0" w:space="0" w:color="auto"/>
        <w:bottom w:val="none" w:sz="0" w:space="0" w:color="auto"/>
        <w:right w:val="none" w:sz="0" w:space="0" w:color="auto"/>
      </w:divBdr>
      <w:divsChild>
        <w:div w:id="488207083">
          <w:marLeft w:val="0"/>
          <w:marRight w:val="0"/>
          <w:marTop w:val="0"/>
          <w:marBottom w:val="0"/>
          <w:divBdr>
            <w:top w:val="none" w:sz="0" w:space="0" w:color="auto"/>
            <w:left w:val="none" w:sz="0" w:space="0" w:color="auto"/>
            <w:bottom w:val="none" w:sz="0" w:space="0" w:color="auto"/>
            <w:right w:val="none" w:sz="0" w:space="0" w:color="auto"/>
          </w:divBdr>
          <w:divsChild>
            <w:div w:id="330067319">
              <w:marLeft w:val="0"/>
              <w:marRight w:val="0"/>
              <w:marTop w:val="0"/>
              <w:marBottom w:val="0"/>
              <w:divBdr>
                <w:top w:val="none" w:sz="0" w:space="0" w:color="auto"/>
                <w:left w:val="none" w:sz="0" w:space="0" w:color="auto"/>
                <w:bottom w:val="none" w:sz="0" w:space="0" w:color="auto"/>
                <w:right w:val="none" w:sz="0" w:space="0" w:color="auto"/>
              </w:divBdr>
              <w:divsChild>
                <w:div w:id="623270468">
                  <w:marLeft w:val="0"/>
                  <w:marRight w:val="0"/>
                  <w:marTop w:val="0"/>
                  <w:marBottom w:val="0"/>
                  <w:divBdr>
                    <w:top w:val="none" w:sz="0" w:space="0" w:color="auto"/>
                    <w:left w:val="none" w:sz="0" w:space="0" w:color="auto"/>
                    <w:bottom w:val="none" w:sz="0" w:space="0" w:color="auto"/>
                    <w:right w:val="none" w:sz="0" w:space="0" w:color="auto"/>
                  </w:divBdr>
                  <w:divsChild>
                    <w:div w:id="1486431953">
                      <w:marLeft w:val="-225"/>
                      <w:marRight w:val="-225"/>
                      <w:marTop w:val="0"/>
                      <w:marBottom w:val="0"/>
                      <w:divBdr>
                        <w:top w:val="none" w:sz="0" w:space="0" w:color="auto"/>
                        <w:left w:val="none" w:sz="0" w:space="0" w:color="auto"/>
                        <w:bottom w:val="none" w:sz="0" w:space="0" w:color="auto"/>
                        <w:right w:val="none" w:sz="0" w:space="0" w:color="auto"/>
                      </w:divBdr>
                      <w:divsChild>
                        <w:div w:id="802307686">
                          <w:marLeft w:val="0"/>
                          <w:marRight w:val="0"/>
                          <w:marTop w:val="0"/>
                          <w:marBottom w:val="0"/>
                          <w:divBdr>
                            <w:top w:val="none" w:sz="0" w:space="0" w:color="auto"/>
                            <w:left w:val="none" w:sz="0" w:space="0" w:color="auto"/>
                            <w:bottom w:val="none" w:sz="0" w:space="0" w:color="auto"/>
                            <w:right w:val="none" w:sz="0" w:space="0" w:color="auto"/>
                          </w:divBdr>
                          <w:divsChild>
                            <w:div w:id="393085973">
                              <w:marLeft w:val="0"/>
                              <w:marRight w:val="0"/>
                              <w:marTop w:val="0"/>
                              <w:marBottom w:val="0"/>
                              <w:divBdr>
                                <w:top w:val="none" w:sz="0" w:space="0" w:color="auto"/>
                                <w:left w:val="none" w:sz="0" w:space="0" w:color="auto"/>
                                <w:bottom w:val="none" w:sz="0" w:space="0" w:color="auto"/>
                                <w:right w:val="none" w:sz="0" w:space="0" w:color="auto"/>
                              </w:divBdr>
                              <w:divsChild>
                                <w:div w:id="1672634712">
                                  <w:marLeft w:val="0"/>
                                  <w:marRight w:val="0"/>
                                  <w:marTop w:val="0"/>
                                  <w:marBottom w:val="480"/>
                                  <w:divBdr>
                                    <w:top w:val="none" w:sz="0" w:space="0" w:color="auto"/>
                                    <w:left w:val="none" w:sz="0" w:space="0" w:color="auto"/>
                                    <w:bottom w:val="none" w:sz="0" w:space="0" w:color="auto"/>
                                    <w:right w:val="none" w:sz="0" w:space="0" w:color="auto"/>
                                  </w:divBdr>
                                  <w:divsChild>
                                    <w:div w:id="189133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395124">
      <w:bodyDiv w:val="1"/>
      <w:marLeft w:val="0"/>
      <w:marRight w:val="0"/>
      <w:marTop w:val="0"/>
      <w:marBottom w:val="0"/>
      <w:divBdr>
        <w:top w:val="none" w:sz="0" w:space="0" w:color="auto"/>
        <w:left w:val="none" w:sz="0" w:space="0" w:color="auto"/>
        <w:bottom w:val="none" w:sz="0" w:space="0" w:color="auto"/>
        <w:right w:val="none" w:sz="0" w:space="0" w:color="auto"/>
      </w:divBdr>
    </w:div>
    <w:div w:id="1544319913">
      <w:bodyDiv w:val="1"/>
      <w:marLeft w:val="0"/>
      <w:marRight w:val="0"/>
      <w:marTop w:val="0"/>
      <w:marBottom w:val="0"/>
      <w:divBdr>
        <w:top w:val="none" w:sz="0" w:space="0" w:color="auto"/>
        <w:left w:val="none" w:sz="0" w:space="0" w:color="auto"/>
        <w:bottom w:val="none" w:sz="0" w:space="0" w:color="auto"/>
        <w:right w:val="none" w:sz="0" w:space="0" w:color="auto"/>
      </w:divBdr>
    </w:div>
    <w:div w:id="1561554580">
      <w:bodyDiv w:val="1"/>
      <w:marLeft w:val="0"/>
      <w:marRight w:val="0"/>
      <w:marTop w:val="0"/>
      <w:marBottom w:val="0"/>
      <w:divBdr>
        <w:top w:val="none" w:sz="0" w:space="0" w:color="auto"/>
        <w:left w:val="none" w:sz="0" w:space="0" w:color="auto"/>
        <w:bottom w:val="none" w:sz="0" w:space="0" w:color="auto"/>
        <w:right w:val="none" w:sz="0" w:space="0" w:color="auto"/>
      </w:divBdr>
      <w:divsChild>
        <w:div w:id="1488133761">
          <w:marLeft w:val="547"/>
          <w:marRight w:val="0"/>
          <w:marTop w:val="115"/>
          <w:marBottom w:val="0"/>
          <w:divBdr>
            <w:top w:val="none" w:sz="0" w:space="0" w:color="auto"/>
            <w:left w:val="none" w:sz="0" w:space="0" w:color="auto"/>
            <w:bottom w:val="none" w:sz="0" w:space="0" w:color="auto"/>
            <w:right w:val="none" w:sz="0" w:space="0" w:color="auto"/>
          </w:divBdr>
        </w:div>
        <w:div w:id="1369644951">
          <w:marLeft w:val="547"/>
          <w:marRight w:val="0"/>
          <w:marTop w:val="115"/>
          <w:marBottom w:val="0"/>
          <w:divBdr>
            <w:top w:val="none" w:sz="0" w:space="0" w:color="auto"/>
            <w:left w:val="none" w:sz="0" w:space="0" w:color="auto"/>
            <w:bottom w:val="none" w:sz="0" w:space="0" w:color="auto"/>
            <w:right w:val="none" w:sz="0" w:space="0" w:color="auto"/>
          </w:divBdr>
        </w:div>
        <w:div w:id="1230074915">
          <w:marLeft w:val="547"/>
          <w:marRight w:val="0"/>
          <w:marTop w:val="106"/>
          <w:marBottom w:val="0"/>
          <w:divBdr>
            <w:top w:val="none" w:sz="0" w:space="0" w:color="auto"/>
            <w:left w:val="none" w:sz="0" w:space="0" w:color="auto"/>
            <w:bottom w:val="none" w:sz="0" w:space="0" w:color="auto"/>
            <w:right w:val="none" w:sz="0" w:space="0" w:color="auto"/>
          </w:divBdr>
        </w:div>
        <w:div w:id="1671174266">
          <w:marLeft w:val="1714"/>
          <w:marRight w:val="0"/>
          <w:marTop w:val="96"/>
          <w:marBottom w:val="0"/>
          <w:divBdr>
            <w:top w:val="none" w:sz="0" w:space="0" w:color="auto"/>
            <w:left w:val="none" w:sz="0" w:space="0" w:color="auto"/>
            <w:bottom w:val="none" w:sz="0" w:space="0" w:color="auto"/>
            <w:right w:val="none" w:sz="0" w:space="0" w:color="auto"/>
          </w:divBdr>
        </w:div>
        <w:div w:id="26487578">
          <w:marLeft w:val="1714"/>
          <w:marRight w:val="0"/>
          <w:marTop w:val="96"/>
          <w:marBottom w:val="0"/>
          <w:divBdr>
            <w:top w:val="none" w:sz="0" w:space="0" w:color="auto"/>
            <w:left w:val="none" w:sz="0" w:space="0" w:color="auto"/>
            <w:bottom w:val="none" w:sz="0" w:space="0" w:color="auto"/>
            <w:right w:val="none" w:sz="0" w:space="0" w:color="auto"/>
          </w:divBdr>
        </w:div>
        <w:div w:id="605887336">
          <w:marLeft w:val="1714"/>
          <w:marRight w:val="0"/>
          <w:marTop w:val="96"/>
          <w:marBottom w:val="0"/>
          <w:divBdr>
            <w:top w:val="none" w:sz="0" w:space="0" w:color="auto"/>
            <w:left w:val="none" w:sz="0" w:space="0" w:color="auto"/>
            <w:bottom w:val="none" w:sz="0" w:space="0" w:color="auto"/>
            <w:right w:val="none" w:sz="0" w:space="0" w:color="auto"/>
          </w:divBdr>
        </w:div>
        <w:div w:id="2093772802">
          <w:marLeft w:val="1714"/>
          <w:marRight w:val="0"/>
          <w:marTop w:val="96"/>
          <w:marBottom w:val="0"/>
          <w:divBdr>
            <w:top w:val="none" w:sz="0" w:space="0" w:color="auto"/>
            <w:left w:val="none" w:sz="0" w:space="0" w:color="auto"/>
            <w:bottom w:val="none" w:sz="0" w:space="0" w:color="auto"/>
            <w:right w:val="none" w:sz="0" w:space="0" w:color="auto"/>
          </w:divBdr>
        </w:div>
        <w:div w:id="1143545437">
          <w:marLeft w:val="1714"/>
          <w:marRight w:val="0"/>
          <w:marTop w:val="96"/>
          <w:marBottom w:val="0"/>
          <w:divBdr>
            <w:top w:val="none" w:sz="0" w:space="0" w:color="auto"/>
            <w:left w:val="none" w:sz="0" w:space="0" w:color="auto"/>
            <w:bottom w:val="none" w:sz="0" w:space="0" w:color="auto"/>
            <w:right w:val="none" w:sz="0" w:space="0" w:color="auto"/>
          </w:divBdr>
        </w:div>
      </w:divsChild>
    </w:div>
    <w:div w:id="1652245067">
      <w:bodyDiv w:val="1"/>
      <w:marLeft w:val="0"/>
      <w:marRight w:val="0"/>
      <w:marTop w:val="0"/>
      <w:marBottom w:val="0"/>
      <w:divBdr>
        <w:top w:val="none" w:sz="0" w:space="0" w:color="auto"/>
        <w:left w:val="none" w:sz="0" w:space="0" w:color="auto"/>
        <w:bottom w:val="none" w:sz="0" w:space="0" w:color="auto"/>
        <w:right w:val="none" w:sz="0" w:space="0" w:color="auto"/>
      </w:divBdr>
    </w:div>
    <w:div w:id="1668091107">
      <w:bodyDiv w:val="1"/>
      <w:marLeft w:val="0"/>
      <w:marRight w:val="0"/>
      <w:marTop w:val="0"/>
      <w:marBottom w:val="0"/>
      <w:divBdr>
        <w:top w:val="none" w:sz="0" w:space="0" w:color="auto"/>
        <w:left w:val="none" w:sz="0" w:space="0" w:color="auto"/>
        <w:bottom w:val="none" w:sz="0" w:space="0" w:color="auto"/>
        <w:right w:val="none" w:sz="0" w:space="0" w:color="auto"/>
      </w:divBdr>
    </w:div>
    <w:div w:id="1710104723">
      <w:bodyDiv w:val="1"/>
      <w:marLeft w:val="0"/>
      <w:marRight w:val="0"/>
      <w:marTop w:val="0"/>
      <w:marBottom w:val="0"/>
      <w:divBdr>
        <w:top w:val="none" w:sz="0" w:space="0" w:color="auto"/>
        <w:left w:val="none" w:sz="0" w:space="0" w:color="auto"/>
        <w:bottom w:val="none" w:sz="0" w:space="0" w:color="auto"/>
        <w:right w:val="none" w:sz="0" w:space="0" w:color="auto"/>
      </w:divBdr>
    </w:div>
    <w:div w:id="1765035989">
      <w:bodyDiv w:val="1"/>
      <w:marLeft w:val="0"/>
      <w:marRight w:val="0"/>
      <w:marTop w:val="0"/>
      <w:marBottom w:val="0"/>
      <w:divBdr>
        <w:top w:val="none" w:sz="0" w:space="0" w:color="auto"/>
        <w:left w:val="none" w:sz="0" w:space="0" w:color="auto"/>
        <w:bottom w:val="none" w:sz="0" w:space="0" w:color="auto"/>
        <w:right w:val="none" w:sz="0" w:space="0" w:color="auto"/>
      </w:divBdr>
    </w:div>
    <w:div w:id="1774086612">
      <w:bodyDiv w:val="1"/>
      <w:marLeft w:val="0"/>
      <w:marRight w:val="0"/>
      <w:marTop w:val="0"/>
      <w:marBottom w:val="0"/>
      <w:divBdr>
        <w:top w:val="none" w:sz="0" w:space="0" w:color="auto"/>
        <w:left w:val="none" w:sz="0" w:space="0" w:color="auto"/>
        <w:bottom w:val="none" w:sz="0" w:space="0" w:color="auto"/>
        <w:right w:val="none" w:sz="0" w:space="0" w:color="auto"/>
      </w:divBdr>
    </w:div>
    <w:div w:id="1776748615">
      <w:bodyDiv w:val="1"/>
      <w:marLeft w:val="0"/>
      <w:marRight w:val="0"/>
      <w:marTop w:val="0"/>
      <w:marBottom w:val="0"/>
      <w:divBdr>
        <w:top w:val="none" w:sz="0" w:space="0" w:color="auto"/>
        <w:left w:val="none" w:sz="0" w:space="0" w:color="auto"/>
        <w:bottom w:val="none" w:sz="0" w:space="0" w:color="auto"/>
        <w:right w:val="none" w:sz="0" w:space="0" w:color="auto"/>
      </w:divBdr>
    </w:div>
    <w:div w:id="1783450808">
      <w:bodyDiv w:val="1"/>
      <w:marLeft w:val="0"/>
      <w:marRight w:val="0"/>
      <w:marTop w:val="0"/>
      <w:marBottom w:val="0"/>
      <w:divBdr>
        <w:top w:val="none" w:sz="0" w:space="0" w:color="auto"/>
        <w:left w:val="none" w:sz="0" w:space="0" w:color="auto"/>
        <w:bottom w:val="none" w:sz="0" w:space="0" w:color="auto"/>
        <w:right w:val="none" w:sz="0" w:space="0" w:color="auto"/>
      </w:divBdr>
    </w:div>
    <w:div w:id="1794401924">
      <w:bodyDiv w:val="1"/>
      <w:marLeft w:val="0"/>
      <w:marRight w:val="0"/>
      <w:marTop w:val="0"/>
      <w:marBottom w:val="0"/>
      <w:divBdr>
        <w:top w:val="none" w:sz="0" w:space="0" w:color="auto"/>
        <w:left w:val="none" w:sz="0" w:space="0" w:color="auto"/>
        <w:bottom w:val="none" w:sz="0" w:space="0" w:color="auto"/>
        <w:right w:val="none" w:sz="0" w:space="0" w:color="auto"/>
      </w:divBdr>
      <w:divsChild>
        <w:div w:id="704404045">
          <w:marLeft w:val="0"/>
          <w:marRight w:val="0"/>
          <w:marTop w:val="0"/>
          <w:marBottom w:val="0"/>
          <w:divBdr>
            <w:top w:val="none" w:sz="0" w:space="0" w:color="auto"/>
            <w:left w:val="none" w:sz="0" w:space="0" w:color="auto"/>
            <w:bottom w:val="none" w:sz="0" w:space="0" w:color="auto"/>
            <w:right w:val="none" w:sz="0" w:space="0" w:color="auto"/>
          </w:divBdr>
          <w:divsChild>
            <w:div w:id="1745715187">
              <w:marLeft w:val="0"/>
              <w:marRight w:val="0"/>
              <w:marTop w:val="0"/>
              <w:marBottom w:val="0"/>
              <w:divBdr>
                <w:top w:val="none" w:sz="0" w:space="0" w:color="auto"/>
                <w:left w:val="none" w:sz="0" w:space="0" w:color="auto"/>
                <w:bottom w:val="none" w:sz="0" w:space="0" w:color="auto"/>
                <w:right w:val="none" w:sz="0" w:space="0" w:color="auto"/>
              </w:divBdr>
              <w:divsChild>
                <w:div w:id="1598514970">
                  <w:marLeft w:val="0"/>
                  <w:marRight w:val="0"/>
                  <w:marTop w:val="0"/>
                  <w:marBottom w:val="0"/>
                  <w:divBdr>
                    <w:top w:val="none" w:sz="0" w:space="0" w:color="auto"/>
                    <w:left w:val="none" w:sz="0" w:space="0" w:color="auto"/>
                    <w:bottom w:val="none" w:sz="0" w:space="0" w:color="auto"/>
                    <w:right w:val="none" w:sz="0" w:space="0" w:color="auto"/>
                  </w:divBdr>
                  <w:divsChild>
                    <w:div w:id="49480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345646">
      <w:bodyDiv w:val="1"/>
      <w:marLeft w:val="0"/>
      <w:marRight w:val="0"/>
      <w:marTop w:val="0"/>
      <w:marBottom w:val="0"/>
      <w:divBdr>
        <w:top w:val="none" w:sz="0" w:space="0" w:color="auto"/>
        <w:left w:val="none" w:sz="0" w:space="0" w:color="auto"/>
        <w:bottom w:val="none" w:sz="0" w:space="0" w:color="auto"/>
        <w:right w:val="none" w:sz="0" w:space="0" w:color="auto"/>
      </w:divBdr>
      <w:divsChild>
        <w:div w:id="1447852297">
          <w:marLeft w:val="0"/>
          <w:marRight w:val="0"/>
          <w:marTop w:val="0"/>
          <w:marBottom w:val="0"/>
          <w:divBdr>
            <w:top w:val="none" w:sz="0" w:space="0" w:color="auto"/>
            <w:left w:val="none" w:sz="0" w:space="0" w:color="auto"/>
            <w:bottom w:val="none" w:sz="0" w:space="0" w:color="auto"/>
            <w:right w:val="none" w:sz="0" w:space="0" w:color="auto"/>
          </w:divBdr>
          <w:divsChild>
            <w:div w:id="278418040">
              <w:marLeft w:val="0"/>
              <w:marRight w:val="0"/>
              <w:marTop w:val="0"/>
              <w:marBottom w:val="0"/>
              <w:divBdr>
                <w:top w:val="none" w:sz="0" w:space="0" w:color="auto"/>
                <w:left w:val="none" w:sz="0" w:space="0" w:color="auto"/>
                <w:bottom w:val="none" w:sz="0" w:space="0" w:color="auto"/>
                <w:right w:val="none" w:sz="0" w:space="0" w:color="auto"/>
              </w:divBdr>
              <w:divsChild>
                <w:div w:id="1597707055">
                  <w:marLeft w:val="0"/>
                  <w:marRight w:val="0"/>
                  <w:marTop w:val="0"/>
                  <w:marBottom w:val="0"/>
                  <w:divBdr>
                    <w:top w:val="none" w:sz="0" w:space="0" w:color="auto"/>
                    <w:left w:val="none" w:sz="0" w:space="0" w:color="auto"/>
                    <w:bottom w:val="none" w:sz="0" w:space="0" w:color="auto"/>
                    <w:right w:val="none" w:sz="0" w:space="0" w:color="auto"/>
                  </w:divBdr>
                  <w:divsChild>
                    <w:div w:id="800734171">
                      <w:marLeft w:val="0"/>
                      <w:marRight w:val="0"/>
                      <w:marTop w:val="0"/>
                      <w:marBottom w:val="0"/>
                      <w:divBdr>
                        <w:top w:val="none" w:sz="0" w:space="0" w:color="auto"/>
                        <w:left w:val="none" w:sz="0" w:space="0" w:color="auto"/>
                        <w:bottom w:val="none" w:sz="0" w:space="0" w:color="auto"/>
                        <w:right w:val="none" w:sz="0" w:space="0" w:color="auto"/>
                      </w:divBdr>
                    </w:div>
                    <w:div w:id="168080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635424">
      <w:bodyDiv w:val="1"/>
      <w:marLeft w:val="0"/>
      <w:marRight w:val="0"/>
      <w:marTop w:val="0"/>
      <w:marBottom w:val="0"/>
      <w:divBdr>
        <w:top w:val="none" w:sz="0" w:space="0" w:color="auto"/>
        <w:left w:val="none" w:sz="0" w:space="0" w:color="auto"/>
        <w:bottom w:val="none" w:sz="0" w:space="0" w:color="auto"/>
        <w:right w:val="none" w:sz="0" w:space="0" w:color="auto"/>
      </w:divBdr>
      <w:divsChild>
        <w:div w:id="16857522">
          <w:marLeft w:val="0"/>
          <w:marRight w:val="0"/>
          <w:marTop w:val="0"/>
          <w:marBottom w:val="0"/>
          <w:divBdr>
            <w:top w:val="none" w:sz="0" w:space="0" w:color="auto"/>
            <w:left w:val="none" w:sz="0" w:space="0" w:color="auto"/>
            <w:bottom w:val="none" w:sz="0" w:space="0" w:color="auto"/>
            <w:right w:val="none" w:sz="0" w:space="0" w:color="auto"/>
          </w:divBdr>
          <w:divsChild>
            <w:div w:id="1766148668">
              <w:marLeft w:val="0"/>
              <w:marRight w:val="0"/>
              <w:marTop w:val="0"/>
              <w:marBottom w:val="0"/>
              <w:divBdr>
                <w:top w:val="none" w:sz="0" w:space="0" w:color="auto"/>
                <w:left w:val="none" w:sz="0" w:space="0" w:color="auto"/>
                <w:bottom w:val="none" w:sz="0" w:space="0" w:color="auto"/>
                <w:right w:val="none" w:sz="0" w:space="0" w:color="auto"/>
              </w:divBdr>
              <w:divsChild>
                <w:div w:id="1000232275">
                  <w:marLeft w:val="0"/>
                  <w:marRight w:val="0"/>
                  <w:marTop w:val="0"/>
                  <w:marBottom w:val="0"/>
                  <w:divBdr>
                    <w:top w:val="none" w:sz="0" w:space="0" w:color="auto"/>
                    <w:left w:val="none" w:sz="0" w:space="0" w:color="auto"/>
                    <w:bottom w:val="none" w:sz="0" w:space="0" w:color="auto"/>
                    <w:right w:val="none" w:sz="0" w:space="0" w:color="auto"/>
                  </w:divBdr>
                  <w:divsChild>
                    <w:div w:id="692153650">
                      <w:marLeft w:val="0"/>
                      <w:marRight w:val="0"/>
                      <w:marTop w:val="0"/>
                      <w:marBottom w:val="0"/>
                      <w:divBdr>
                        <w:top w:val="none" w:sz="0" w:space="0" w:color="auto"/>
                        <w:left w:val="none" w:sz="0" w:space="0" w:color="auto"/>
                        <w:bottom w:val="none" w:sz="0" w:space="0" w:color="auto"/>
                        <w:right w:val="none" w:sz="0" w:space="0" w:color="auto"/>
                      </w:divBdr>
                      <w:divsChild>
                        <w:div w:id="668363958">
                          <w:marLeft w:val="0"/>
                          <w:marRight w:val="0"/>
                          <w:marTop w:val="45"/>
                          <w:marBottom w:val="0"/>
                          <w:divBdr>
                            <w:top w:val="none" w:sz="0" w:space="0" w:color="auto"/>
                            <w:left w:val="none" w:sz="0" w:space="0" w:color="auto"/>
                            <w:bottom w:val="none" w:sz="0" w:space="0" w:color="auto"/>
                            <w:right w:val="none" w:sz="0" w:space="0" w:color="auto"/>
                          </w:divBdr>
                          <w:divsChild>
                            <w:div w:id="421218123">
                              <w:marLeft w:val="0"/>
                              <w:marRight w:val="0"/>
                              <w:marTop w:val="0"/>
                              <w:marBottom w:val="0"/>
                              <w:divBdr>
                                <w:top w:val="none" w:sz="0" w:space="0" w:color="auto"/>
                                <w:left w:val="none" w:sz="0" w:space="0" w:color="auto"/>
                                <w:bottom w:val="none" w:sz="0" w:space="0" w:color="auto"/>
                                <w:right w:val="none" w:sz="0" w:space="0" w:color="auto"/>
                              </w:divBdr>
                              <w:divsChild>
                                <w:div w:id="998725859">
                                  <w:marLeft w:val="2070"/>
                                  <w:marRight w:val="3810"/>
                                  <w:marTop w:val="0"/>
                                  <w:marBottom w:val="0"/>
                                  <w:divBdr>
                                    <w:top w:val="none" w:sz="0" w:space="0" w:color="auto"/>
                                    <w:left w:val="none" w:sz="0" w:space="0" w:color="auto"/>
                                    <w:bottom w:val="none" w:sz="0" w:space="0" w:color="auto"/>
                                    <w:right w:val="none" w:sz="0" w:space="0" w:color="auto"/>
                                  </w:divBdr>
                                  <w:divsChild>
                                    <w:div w:id="273489750">
                                      <w:marLeft w:val="0"/>
                                      <w:marRight w:val="0"/>
                                      <w:marTop w:val="0"/>
                                      <w:marBottom w:val="0"/>
                                      <w:divBdr>
                                        <w:top w:val="none" w:sz="0" w:space="0" w:color="auto"/>
                                        <w:left w:val="none" w:sz="0" w:space="0" w:color="auto"/>
                                        <w:bottom w:val="none" w:sz="0" w:space="0" w:color="auto"/>
                                        <w:right w:val="none" w:sz="0" w:space="0" w:color="auto"/>
                                      </w:divBdr>
                                      <w:divsChild>
                                        <w:div w:id="1255169875">
                                          <w:marLeft w:val="0"/>
                                          <w:marRight w:val="0"/>
                                          <w:marTop w:val="0"/>
                                          <w:marBottom w:val="0"/>
                                          <w:divBdr>
                                            <w:top w:val="none" w:sz="0" w:space="0" w:color="auto"/>
                                            <w:left w:val="none" w:sz="0" w:space="0" w:color="auto"/>
                                            <w:bottom w:val="none" w:sz="0" w:space="0" w:color="auto"/>
                                            <w:right w:val="none" w:sz="0" w:space="0" w:color="auto"/>
                                          </w:divBdr>
                                          <w:divsChild>
                                            <w:div w:id="554003108">
                                              <w:marLeft w:val="0"/>
                                              <w:marRight w:val="0"/>
                                              <w:marTop w:val="0"/>
                                              <w:marBottom w:val="0"/>
                                              <w:divBdr>
                                                <w:top w:val="none" w:sz="0" w:space="0" w:color="auto"/>
                                                <w:left w:val="none" w:sz="0" w:space="0" w:color="auto"/>
                                                <w:bottom w:val="none" w:sz="0" w:space="0" w:color="auto"/>
                                                <w:right w:val="none" w:sz="0" w:space="0" w:color="auto"/>
                                              </w:divBdr>
                                              <w:divsChild>
                                                <w:div w:id="1580018929">
                                                  <w:marLeft w:val="0"/>
                                                  <w:marRight w:val="0"/>
                                                  <w:marTop w:val="90"/>
                                                  <w:marBottom w:val="0"/>
                                                  <w:divBdr>
                                                    <w:top w:val="none" w:sz="0" w:space="0" w:color="auto"/>
                                                    <w:left w:val="none" w:sz="0" w:space="0" w:color="auto"/>
                                                    <w:bottom w:val="none" w:sz="0" w:space="0" w:color="auto"/>
                                                    <w:right w:val="none" w:sz="0" w:space="0" w:color="auto"/>
                                                  </w:divBdr>
                                                  <w:divsChild>
                                                    <w:div w:id="6249814">
                                                      <w:marLeft w:val="0"/>
                                                      <w:marRight w:val="0"/>
                                                      <w:marTop w:val="0"/>
                                                      <w:marBottom w:val="0"/>
                                                      <w:divBdr>
                                                        <w:top w:val="none" w:sz="0" w:space="0" w:color="auto"/>
                                                        <w:left w:val="none" w:sz="0" w:space="0" w:color="auto"/>
                                                        <w:bottom w:val="none" w:sz="0" w:space="0" w:color="auto"/>
                                                        <w:right w:val="none" w:sz="0" w:space="0" w:color="auto"/>
                                                      </w:divBdr>
                                                      <w:divsChild>
                                                        <w:div w:id="1228034594">
                                                          <w:marLeft w:val="0"/>
                                                          <w:marRight w:val="0"/>
                                                          <w:marTop w:val="0"/>
                                                          <w:marBottom w:val="0"/>
                                                          <w:divBdr>
                                                            <w:top w:val="none" w:sz="0" w:space="0" w:color="auto"/>
                                                            <w:left w:val="none" w:sz="0" w:space="0" w:color="auto"/>
                                                            <w:bottom w:val="none" w:sz="0" w:space="0" w:color="auto"/>
                                                            <w:right w:val="none" w:sz="0" w:space="0" w:color="auto"/>
                                                          </w:divBdr>
                                                          <w:divsChild>
                                                            <w:div w:id="990064502">
                                                              <w:marLeft w:val="0"/>
                                                              <w:marRight w:val="0"/>
                                                              <w:marTop w:val="0"/>
                                                              <w:marBottom w:val="390"/>
                                                              <w:divBdr>
                                                                <w:top w:val="none" w:sz="0" w:space="0" w:color="auto"/>
                                                                <w:left w:val="none" w:sz="0" w:space="0" w:color="auto"/>
                                                                <w:bottom w:val="none" w:sz="0" w:space="0" w:color="auto"/>
                                                                <w:right w:val="none" w:sz="0" w:space="0" w:color="auto"/>
                                                              </w:divBdr>
                                                              <w:divsChild>
                                                                <w:div w:id="1007246974">
                                                                  <w:marLeft w:val="0"/>
                                                                  <w:marRight w:val="0"/>
                                                                  <w:marTop w:val="0"/>
                                                                  <w:marBottom w:val="0"/>
                                                                  <w:divBdr>
                                                                    <w:top w:val="none" w:sz="0" w:space="0" w:color="auto"/>
                                                                    <w:left w:val="none" w:sz="0" w:space="0" w:color="auto"/>
                                                                    <w:bottom w:val="none" w:sz="0" w:space="0" w:color="auto"/>
                                                                    <w:right w:val="none" w:sz="0" w:space="0" w:color="auto"/>
                                                                  </w:divBdr>
                                                                  <w:divsChild>
                                                                    <w:div w:id="73861295">
                                                                      <w:marLeft w:val="0"/>
                                                                      <w:marRight w:val="0"/>
                                                                      <w:marTop w:val="0"/>
                                                                      <w:marBottom w:val="0"/>
                                                                      <w:divBdr>
                                                                        <w:top w:val="none" w:sz="0" w:space="0" w:color="auto"/>
                                                                        <w:left w:val="none" w:sz="0" w:space="0" w:color="auto"/>
                                                                        <w:bottom w:val="none" w:sz="0" w:space="0" w:color="auto"/>
                                                                        <w:right w:val="none" w:sz="0" w:space="0" w:color="auto"/>
                                                                      </w:divBdr>
                                                                      <w:divsChild>
                                                                        <w:div w:id="699816866">
                                                                          <w:marLeft w:val="0"/>
                                                                          <w:marRight w:val="0"/>
                                                                          <w:marTop w:val="0"/>
                                                                          <w:marBottom w:val="0"/>
                                                                          <w:divBdr>
                                                                            <w:top w:val="none" w:sz="0" w:space="0" w:color="auto"/>
                                                                            <w:left w:val="none" w:sz="0" w:space="0" w:color="auto"/>
                                                                            <w:bottom w:val="none" w:sz="0" w:space="0" w:color="auto"/>
                                                                            <w:right w:val="none" w:sz="0" w:space="0" w:color="auto"/>
                                                                          </w:divBdr>
                                                                          <w:divsChild>
                                                                            <w:div w:id="1442452446">
                                                                              <w:marLeft w:val="0"/>
                                                                              <w:marRight w:val="0"/>
                                                                              <w:marTop w:val="0"/>
                                                                              <w:marBottom w:val="0"/>
                                                                              <w:divBdr>
                                                                                <w:top w:val="none" w:sz="0" w:space="0" w:color="auto"/>
                                                                                <w:left w:val="none" w:sz="0" w:space="0" w:color="auto"/>
                                                                                <w:bottom w:val="none" w:sz="0" w:space="0" w:color="auto"/>
                                                                                <w:right w:val="none" w:sz="0" w:space="0" w:color="auto"/>
                                                                              </w:divBdr>
                                                                              <w:divsChild>
                                                                                <w:div w:id="1809787659">
                                                                                  <w:marLeft w:val="0"/>
                                                                                  <w:marRight w:val="0"/>
                                                                                  <w:marTop w:val="0"/>
                                                                                  <w:marBottom w:val="0"/>
                                                                                  <w:divBdr>
                                                                                    <w:top w:val="none" w:sz="0" w:space="0" w:color="auto"/>
                                                                                    <w:left w:val="none" w:sz="0" w:space="0" w:color="auto"/>
                                                                                    <w:bottom w:val="none" w:sz="0" w:space="0" w:color="auto"/>
                                                                                    <w:right w:val="none" w:sz="0" w:space="0" w:color="auto"/>
                                                                                  </w:divBdr>
                                                                                  <w:divsChild>
                                                                                    <w:div w:id="367296240">
                                                                                      <w:marLeft w:val="0"/>
                                                                                      <w:marRight w:val="0"/>
                                                                                      <w:marTop w:val="0"/>
                                                                                      <w:marBottom w:val="0"/>
                                                                                      <w:divBdr>
                                                                                        <w:top w:val="none" w:sz="0" w:space="0" w:color="auto"/>
                                                                                        <w:left w:val="none" w:sz="0" w:space="0" w:color="auto"/>
                                                                                        <w:bottom w:val="none" w:sz="0" w:space="0" w:color="auto"/>
                                                                                        <w:right w:val="none" w:sz="0" w:space="0" w:color="auto"/>
                                                                                      </w:divBdr>
                                                                                      <w:divsChild>
                                                                                        <w:div w:id="2079554586">
                                                                                          <w:marLeft w:val="0"/>
                                                                                          <w:marRight w:val="0"/>
                                                                                          <w:marTop w:val="0"/>
                                                                                          <w:marBottom w:val="0"/>
                                                                                          <w:divBdr>
                                                                                            <w:top w:val="none" w:sz="0" w:space="0" w:color="auto"/>
                                                                                            <w:left w:val="none" w:sz="0" w:space="0" w:color="auto"/>
                                                                                            <w:bottom w:val="none" w:sz="0" w:space="0" w:color="auto"/>
                                                                                            <w:right w:val="none" w:sz="0" w:space="0" w:color="auto"/>
                                                                                          </w:divBdr>
                                                                                          <w:divsChild>
                                                                                            <w:div w:id="106005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0622568">
      <w:bodyDiv w:val="1"/>
      <w:marLeft w:val="0"/>
      <w:marRight w:val="0"/>
      <w:marTop w:val="0"/>
      <w:marBottom w:val="0"/>
      <w:divBdr>
        <w:top w:val="none" w:sz="0" w:space="0" w:color="auto"/>
        <w:left w:val="none" w:sz="0" w:space="0" w:color="auto"/>
        <w:bottom w:val="none" w:sz="0" w:space="0" w:color="auto"/>
        <w:right w:val="none" w:sz="0" w:space="0" w:color="auto"/>
      </w:divBdr>
      <w:divsChild>
        <w:div w:id="44381634">
          <w:marLeft w:val="0"/>
          <w:marRight w:val="0"/>
          <w:marTop w:val="0"/>
          <w:marBottom w:val="0"/>
          <w:divBdr>
            <w:top w:val="none" w:sz="0" w:space="0" w:color="auto"/>
            <w:left w:val="none" w:sz="0" w:space="0" w:color="auto"/>
            <w:bottom w:val="none" w:sz="0" w:space="0" w:color="auto"/>
            <w:right w:val="none" w:sz="0" w:space="0" w:color="auto"/>
          </w:divBdr>
          <w:divsChild>
            <w:div w:id="282539792">
              <w:marLeft w:val="0"/>
              <w:marRight w:val="0"/>
              <w:marTop w:val="0"/>
              <w:marBottom w:val="0"/>
              <w:divBdr>
                <w:top w:val="none" w:sz="0" w:space="0" w:color="auto"/>
                <w:left w:val="none" w:sz="0" w:space="0" w:color="auto"/>
                <w:bottom w:val="none" w:sz="0" w:space="0" w:color="auto"/>
                <w:right w:val="none" w:sz="0" w:space="0" w:color="auto"/>
              </w:divBdr>
              <w:divsChild>
                <w:div w:id="428085620">
                  <w:marLeft w:val="0"/>
                  <w:marRight w:val="0"/>
                  <w:marTop w:val="0"/>
                  <w:marBottom w:val="0"/>
                  <w:divBdr>
                    <w:top w:val="none" w:sz="0" w:space="0" w:color="auto"/>
                    <w:left w:val="none" w:sz="0" w:space="0" w:color="auto"/>
                    <w:bottom w:val="none" w:sz="0" w:space="0" w:color="auto"/>
                    <w:right w:val="none" w:sz="0" w:space="0" w:color="auto"/>
                  </w:divBdr>
                  <w:divsChild>
                    <w:div w:id="2042436390">
                      <w:marLeft w:val="0"/>
                      <w:marRight w:val="0"/>
                      <w:marTop w:val="0"/>
                      <w:marBottom w:val="0"/>
                      <w:divBdr>
                        <w:top w:val="none" w:sz="0" w:space="0" w:color="auto"/>
                        <w:left w:val="none" w:sz="0" w:space="0" w:color="auto"/>
                        <w:bottom w:val="none" w:sz="0" w:space="0" w:color="auto"/>
                        <w:right w:val="none" w:sz="0" w:space="0" w:color="auto"/>
                      </w:divBdr>
                      <w:divsChild>
                        <w:div w:id="2070423404">
                          <w:marLeft w:val="0"/>
                          <w:marRight w:val="0"/>
                          <w:marTop w:val="0"/>
                          <w:marBottom w:val="0"/>
                          <w:divBdr>
                            <w:top w:val="none" w:sz="0" w:space="0" w:color="auto"/>
                            <w:left w:val="none" w:sz="0" w:space="0" w:color="auto"/>
                            <w:bottom w:val="none" w:sz="0" w:space="0" w:color="auto"/>
                            <w:right w:val="none" w:sz="0" w:space="0" w:color="auto"/>
                          </w:divBdr>
                          <w:divsChild>
                            <w:div w:id="2102142091">
                              <w:marLeft w:val="0"/>
                              <w:marRight w:val="0"/>
                              <w:marTop w:val="0"/>
                              <w:marBottom w:val="0"/>
                              <w:divBdr>
                                <w:top w:val="none" w:sz="0" w:space="0" w:color="auto"/>
                                <w:left w:val="none" w:sz="0" w:space="0" w:color="auto"/>
                                <w:bottom w:val="none" w:sz="0" w:space="0" w:color="auto"/>
                                <w:right w:val="none" w:sz="0" w:space="0" w:color="auto"/>
                              </w:divBdr>
                              <w:divsChild>
                                <w:div w:id="329144016">
                                  <w:marLeft w:val="0"/>
                                  <w:marRight w:val="0"/>
                                  <w:marTop w:val="0"/>
                                  <w:marBottom w:val="0"/>
                                  <w:divBdr>
                                    <w:top w:val="none" w:sz="0" w:space="0" w:color="auto"/>
                                    <w:left w:val="none" w:sz="0" w:space="0" w:color="auto"/>
                                    <w:bottom w:val="none" w:sz="0" w:space="0" w:color="auto"/>
                                    <w:right w:val="none" w:sz="0" w:space="0" w:color="auto"/>
                                  </w:divBdr>
                                  <w:divsChild>
                                    <w:div w:id="950282657">
                                      <w:marLeft w:val="0"/>
                                      <w:marRight w:val="0"/>
                                      <w:marTop w:val="0"/>
                                      <w:marBottom w:val="0"/>
                                      <w:divBdr>
                                        <w:top w:val="none" w:sz="0" w:space="0" w:color="auto"/>
                                        <w:left w:val="none" w:sz="0" w:space="0" w:color="auto"/>
                                        <w:bottom w:val="none" w:sz="0" w:space="0" w:color="auto"/>
                                        <w:right w:val="none" w:sz="0" w:space="0" w:color="auto"/>
                                      </w:divBdr>
                                      <w:divsChild>
                                        <w:div w:id="1431387445">
                                          <w:marLeft w:val="0"/>
                                          <w:marRight w:val="0"/>
                                          <w:marTop w:val="150"/>
                                          <w:marBottom w:val="0"/>
                                          <w:divBdr>
                                            <w:top w:val="none" w:sz="0" w:space="0" w:color="auto"/>
                                            <w:left w:val="none" w:sz="0" w:space="0" w:color="auto"/>
                                            <w:bottom w:val="none" w:sz="0" w:space="0" w:color="auto"/>
                                            <w:right w:val="none" w:sz="0" w:space="0" w:color="auto"/>
                                          </w:divBdr>
                                          <w:divsChild>
                                            <w:div w:id="1427728260">
                                              <w:marLeft w:val="0"/>
                                              <w:marRight w:val="0"/>
                                              <w:marTop w:val="0"/>
                                              <w:marBottom w:val="0"/>
                                              <w:divBdr>
                                                <w:top w:val="none" w:sz="0" w:space="0" w:color="auto"/>
                                                <w:left w:val="none" w:sz="0" w:space="0" w:color="auto"/>
                                                <w:bottom w:val="none" w:sz="0" w:space="0" w:color="auto"/>
                                                <w:right w:val="none" w:sz="0" w:space="0" w:color="auto"/>
                                              </w:divBdr>
                                              <w:divsChild>
                                                <w:div w:id="1585266221">
                                                  <w:marLeft w:val="0"/>
                                                  <w:marRight w:val="0"/>
                                                  <w:marTop w:val="0"/>
                                                  <w:marBottom w:val="0"/>
                                                  <w:divBdr>
                                                    <w:top w:val="none" w:sz="0" w:space="0" w:color="auto"/>
                                                    <w:left w:val="none" w:sz="0" w:space="0" w:color="auto"/>
                                                    <w:bottom w:val="none" w:sz="0" w:space="0" w:color="auto"/>
                                                    <w:right w:val="none" w:sz="0" w:space="0" w:color="auto"/>
                                                  </w:divBdr>
                                                  <w:divsChild>
                                                    <w:div w:id="57084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544502">
      <w:bodyDiv w:val="1"/>
      <w:marLeft w:val="0"/>
      <w:marRight w:val="0"/>
      <w:marTop w:val="0"/>
      <w:marBottom w:val="0"/>
      <w:divBdr>
        <w:top w:val="none" w:sz="0" w:space="0" w:color="auto"/>
        <w:left w:val="none" w:sz="0" w:space="0" w:color="auto"/>
        <w:bottom w:val="none" w:sz="0" w:space="0" w:color="auto"/>
        <w:right w:val="none" w:sz="0" w:space="0" w:color="auto"/>
      </w:divBdr>
    </w:div>
    <w:div w:id="1915583054">
      <w:bodyDiv w:val="1"/>
      <w:marLeft w:val="0"/>
      <w:marRight w:val="0"/>
      <w:marTop w:val="0"/>
      <w:marBottom w:val="0"/>
      <w:divBdr>
        <w:top w:val="none" w:sz="0" w:space="0" w:color="auto"/>
        <w:left w:val="none" w:sz="0" w:space="0" w:color="auto"/>
        <w:bottom w:val="none" w:sz="0" w:space="0" w:color="auto"/>
        <w:right w:val="none" w:sz="0" w:space="0" w:color="auto"/>
      </w:divBdr>
    </w:div>
    <w:div w:id="1979913298">
      <w:bodyDiv w:val="1"/>
      <w:marLeft w:val="0"/>
      <w:marRight w:val="0"/>
      <w:marTop w:val="0"/>
      <w:marBottom w:val="0"/>
      <w:divBdr>
        <w:top w:val="none" w:sz="0" w:space="0" w:color="auto"/>
        <w:left w:val="none" w:sz="0" w:space="0" w:color="auto"/>
        <w:bottom w:val="none" w:sz="0" w:space="0" w:color="auto"/>
        <w:right w:val="none" w:sz="0" w:space="0" w:color="auto"/>
      </w:divBdr>
    </w:div>
    <w:div w:id="2045396747">
      <w:bodyDiv w:val="1"/>
      <w:marLeft w:val="0"/>
      <w:marRight w:val="0"/>
      <w:marTop w:val="0"/>
      <w:marBottom w:val="0"/>
      <w:divBdr>
        <w:top w:val="none" w:sz="0" w:space="0" w:color="auto"/>
        <w:left w:val="none" w:sz="0" w:space="0" w:color="auto"/>
        <w:bottom w:val="none" w:sz="0" w:space="0" w:color="auto"/>
        <w:right w:val="none" w:sz="0" w:space="0" w:color="auto"/>
      </w:divBdr>
    </w:div>
    <w:div w:id="2048749902">
      <w:bodyDiv w:val="1"/>
      <w:marLeft w:val="0"/>
      <w:marRight w:val="0"/>
      <w:marTop w:val="0"/>
      <w:marBottom w:val="0"/>
      <w:divBdr>
        <w:top w:val="none" w:sz="0" w:space="0" w:color="auto"/>
        <w:left w:val="none" w:sz="0" w:space="0" w:color="auto"/>
        <w:bottom w:val="none" w:sz="0" w:space="0" w:color="auto"/>
        <w:right w:val="none" w:sz="0" w:space="0" w:color="auto"/>
      </w:divBdr>
    </w:div>
    <w:div w:id="2063946430">
      <w:bodyDiv w:val="1"/>
      <w:marLeft w:val="0"/>
      <w:marRight w:val="0"/>
      <w:marTop w:val="0"/>
      <w:marBottom w:val="0"/>
      <w:divBdr>
        <w:top w:val="none" w:sz="0" w:space="0" w:color="auto"/>
        <w:left w:val="none" w:sz="0" w:space="0" w:color="auto"/>
        <w:bottom w:val="none" w:sz="0" w:space="0" w:color="auto"/>
        <w:right w:val="none" w:sz="0" w:space="0" w:color="auto"/>
      </w:divBdr>
    </w:div>
    <w:div w:id="2081631239">
      <w:bodyDiv w:val="1"/>
      <w:marLeft w:val="0"/>
      <w:marRight w:val="0"/>
      <w:marTop w:val="0"/>
      <w:marBottom w:val="0"/>
      <w:divBdr>
        <w:top w:val="none" w:sz="0" w:space="0" w:color="auto"/>
        <w:left w:val="none" w:sz="0" w:space="0" w:color="auto"/>
        <w:bottom w:val="none" w:sz="0" w:space="0" w:color="auto"/>
        <w:right w:val="none" w:sz="0" w:space="0" w:color="auto"/>
      </w:divBdr>
    </w:div>
    <w:div w:id="2130202567">
      <w:bodyDiv w:val="1"/>
      <w:marLeft w:val="0"/>
      <w:marRight w:val="0"/>
      <w:marTop w:val="0"/>
      <w:marBottom w:val="0"/>
      <w:divBdr>
        <w:top w:val="none" w:sz="0" w:space="0" w:color="auto"/>
        <w:left w:val="none" w:sz="0" w:space="0" w:color="auto"/>
        <w:bottom w:val="none" w:sz="0" w:space="0" w:color="auto"/>
        <w:right w:val="none" w:sz="0" w:space="0" w:color="auto"/>
      </w:divBdr>
    </w:div>
    <w:div w:id="2131125354">
      <w:bodyDiv w:val="1"/>
      <w:marLeft w:val="0"/>
      <w:marRight w:val="0"/>
      <w:marTop w:val="0"/>
      <w:marBottom w:val="0"/>
      <w:divBdr>
        <w:top w:val="none" w:sz="0" w:space="0" w:color="auto"/>
        <w:left w:val="none" w:sz="0" w:space="0" w:color="auto"/>
        <w:bottom w:val="none" w:sz="0" w:space="0" w:color="auto"/>
        <w:right w:val="none" w:sz="0" w:space="0" w:color="auto"/>
      </w:divBdr>
    </w:div>
    <w:div w:id="213405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ec.europa.eu/justice/gender-equality/files/strategy_equality_women_men_fr.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i-is.be/sites/default/files/documents/liste_des_associations_et_quantites_de_produits_recus_2014_-_2015_-_2016_2017_0.xls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tbel.fgov.be/fr/binaries/Publication_Silc_STATBEL_FR_28JUL15_tcm326-271022.xl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i-is.be/sites/default/files/documents/fead_-_reglement_2018_fr.doc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DC840-493D-4954-904B-0C21A05A2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33</Pages>
  <Words>11957</Words>
  <Characters>65764</Characters>
  <Application>Microsoft Office Word</Application>
  <DocSecurity>0</DocSecurity>
  <Lines>548</Lines>
  <Paragraphs>155</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euroscript</Company>
  <LinksUpToDate>false</LinksUpToDate>
  <CharactersWithSpaces>77566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Bossuyt Nele</dc:creator>
  <cp:lastModifiedBy>Bossuyt Nele</cp:lastModifiedBy>
  <cp:revision>20</cp:revision>
  <cp:lastPrinted>2016-08-05T11:21:00Z</cp:lastPrinted>
  <dcterms:created xsi:type="dcterms:W3CDTF">2019-08-26T06:53:00Z</dcterms:created>
  <dcterms:modified xsi:type="dcterms:W3CDTF">2019-12-03T08:44:00Z</dcterms:modified>
</cp:coreProperties>
</file>