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38991378"/>
        <w:docPartObj>
          <w:docPartGallery w:val="Cover Pages"/>
          <w:docPartUnique/>
        </w:docPartObj>
      </w:sdtPr>
      <w:sdtEndPr>
        <w:rPr>
          <w:caps/>
          <w:color w:val="5B9BD5" w:themeColor="accent1"/>
          <w:sz w:val="28"/>
          <w:szCs w:val="28"/>
        </w:rPr>
      </w:sdtEndPr>
      <w:sdtContent>
        <w:p w:rsidR="003C70C9" w:rsidRDefault="003C70C9"/>
        <w:p w:rsidR="003C70C9" w:rsidRDefault="003C70C9">
          <w:pPr>
            <w:rPr>
              <w:caps/>
              <w:color w:val="5B9BD5" w:themeColor="accent1"/>
              <w:sz w:val="28"/>
              <w:szCs w:val="28"/>
            </w:rPr>
          </w:pPr>
          <w:r>
            <w:rPr>
              <w:noProof/>
              <w:lang w:eastAsia="fr-BE"/>
            </w:rPr>
            <mc:AlternateContent>
              <mc:Choice Requires="wps">
                <w:drawing>
                  <wp:anchor distT="0" distB="0" distL="182880" distR="182880" simplePos="0" relativeHeight="251660288" behindDoc="0" locked="0" layoutInCell="1" allowOverlap="1">
                    <wp:simplePos x="0" y="0"/>
                    <wp:positionH relativeFrom="margin">
                      <wp:posOffset>-633095</wp:posOffset>
                    </wp:positionH>
                    <wp:positionV relativeFrom="page">
                      <wp:posOffset>5772150</wp:posOffset>
                    </wp:positionV>
                    <wp:extent cx="7038975" cy="6720840"/>
                    <wp:effectExtent l="0" t="0" r="9525" b="7620"/>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958" w:rsidRPr="003C70C9" w:rsidRDefault="00613859">
                                <w:pPr>
                                  <w:pStyle w:val="Geenafstand"/>
                                  <w:spacing w:before="40" w:after="560" w:line="216" w:lineRule="auto"/>
                                  <w:rPr>
                                    <w:color w:val="5B9BD5" w:themeColor="accent1"/>
                                    <w:sz w:val="72"/>
                                    <w:szCs w:val="72"/>
                                    <w:lang w:val="nl-NL"/>
                                  </w:rPr>
                                </w:pPr>
                                <w:sdt>
                                  <w:sdtPr>
                                    <w:rPr>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74958" w:rsidRPr="003C70C9">
                                      <w:rPr>
                                        <w:sz w:val="72"/>
                                        <w:szCs w:val="72"/>
                                        <w:lang w:val="nl-NL"/>
                                      </w:rPr>
                                      <w:t>Toelage ter bevordering van de participatie en de sociale activering van OCMW-gebruikers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74958" w:rsidRPr="003C70C9" w:rsidRDefault="00174958" w:rsidP="003C70C9">
                                    <w:pPr>
                                      <w:pStyle w:val="Geenafstand"/>
                                      <w:spacing w:before="40" w:after="40"/>
                                      <w:rPr>
                                        <w:caps/>
                                        <w:color w:val="1F3864" w:themeColor="accent5" w:themeShade="80"/>
                                        <w:sz w:val="28"/>
                                        <w:szCs w:val="28"/>
                                      </w:rPr>
                                    </w:pPr>
                                    <w:r>
                                      <w:rPr>
                                        <w:caps/>
                                        <w:color w:val="1F3864" w:themeColor="accent5" w:themeShade="80"/>
                                        <w:sz w:val="28"/>
                                        <w:szCs w:val="28"/>
                                      </w:rPr>
                                      <w:t>POD Maatschappelijke Integratie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49.85pt;margin-top:454.5pt;width:554.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" filled="f" stroked="f" strokeweight=".5pt">
                    <v:textbox style="mso-fit-shape-to-text:t" inset="0,0,0,0">
                      <w:txbxContent>
                        <w:p w:rsidR="00174958" w:rsidRPr="003C70C9" w:rsidRDefault="00613859">
                          <w:pPr>
                            <w:pStyle w:val="Geenafstand"/>
                            <w:spacing w:before="40" w:after="560" w:line="216" w:lineRule="auto"/>
                            <w:rPr>
                              <w:color w:val="5B9BD5" w:themeColor="accent1"/>
                              <w:sz w:val="72"/>
                              <w:szCs w:val="72"/>
                              <w:lang w:val="nl-NL"/>
                            </w:rPr>
                          </w:pPr>
                          <w:sdt>
                            <w:sdtPr>
                              <w:rPr>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174958" w:rsidRPr="003C70C9">
                                <w:rPr>
                                  <w:sz w:val="72"/>
                                  <w:szCs w:val="72"/>
                                  <w:lang w:val="nl-NL"/>
                                </w:rPr>
                                <w:t>Toelage ter bevordering van de participatie en de sociale activering van OCMW-gebruikers</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174958" w:rsidRPr="003C70C9" w:rsidRDefault="00174958" w:rsidP="003C70C9">
                              <w:pPr>
                                <w:pStyle w:val="Geenafstand"/>
                                <w:spacing w:before="40" w:after="40"/>
                                <w:rPr>
                                  <w:caps/>
                                  <w:color w:val="1F3864" w:themeColor="accent5" w:themeShade="80"/>
                                  <w:sz w:val="28"/>
                                  <w:szCs w:val="28"/>
                                </w:rPr>
                              </w:pPr>
                              <w:r>
                                <w:rPr>
                                  <w:caps/>
                                  <w:color w:val="1F3864" w:themeColor="accent5" w:themeShade="80"/>
                                  <w:sz w:val="28"/>
                                  <w:szCs w:val="28"/>
                                </w:rPr>
                                <w:t>POD Maatschappelijke Integratie</w:t>
                              </w:r>
                            </w:p>
                          </w:sdtContent>
                        </w:sdt>
                      </w:txbxContent>
                    </v:textbox>
                    <w10:wrap type="square" anchorx="margin" anchory="page"/>
                  </v:shape>
                </w:pict>
              </mc:Fallback>
            </mc:AlternateContent>
          </w:r>
          <w:r>
            <w:rPr>
              <w:noProof/>
              <w:lang w:eastAsia="fr-BE"/>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rsidR="00174958" w:rsidRDefault="00174958">
                                    <w:pPr>
                                      <w:pStyle w:val="Geenafstand"/>
                                      <w:jc w:val="right"/>
                                      <w:rPr>
                                        <w:color w:val="FFFFFF" w:themeColor="background1"/>
                                        <w:sz w:val="24"/>
                                        <w:szCs w:val="24"/>
                                      </w:rPr>
                                    </w:pPr>
                                    <w:r>
                                      <w:rPr>
                                        <w:color w:val="FFFFFF" w:themeColor="background1"/>
                                        <w:sz w:val="24"/>
                                        <w:szCs w:val="24"/>
                                      </w:rPr>
                                      <w:t>201</w:t>
                                    </w:r>
                                    <w:r w:rsidR="00455F47">
                                      <w:rPr>
                                        <w:color w:val="FFFFFF" w:themeColor="background1"/>
                                        <w:sz w:val="24"/>
                                        <w:szCs w:val="24"/>
                                      </w:rPr>
                                      <w:t>7 2018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" fillcolor="#5b9bd5 [3204]" stroked="f" strokeweight="1pt">
                    <v:path arrowok="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p w:rsidR="00174958" w:rsidRDefault="00174958">
                              <w:pPr>
                                <w:pStyle w:val="Geenafstand"/>
                                <w:jc w:val="right"/>
                                <w:rPr>
                                  <w:color w:val="FFFFFF" w:themeColor="background1"/>
                                  <w:sz w:val="24"/>
                                  <w:szCs w:val="24"/>
                                </w:rPr>
                              </w:pPr>
                              <w:r>
                                <w:rPr>
                                  <w:color w:val="FFFFFF" w:themeColor="background1"/>
                                  <w:sz w:val="24"/>
                                  <w:szCs w:val="24"/>
                                </w:rPr>
                                <w:t>201</w:t>
                              </w:r>
                              <w:r w:rsidR="00455F47">
                                <w:rPr>
                                  <w:color w:val="FFFFFF" w:themeColor="background1"/>
                                  <w:sz w:val="24"/>
                                  <w:szCs w:val="24"/>
                                </w:rPr>
                                <w:t>7 2018</w:t>
                              </w:r>
                            </w:p>
                          </w:sdtContent>
                        </w:sdt>
                      </w:txbxContent>
                    </v:textbox>
                    <w10:wrap anchorx="margin" anchory="page"/>
                  </v:rect>
                </w:pict>
              </mc:Fallback>
            </mc:AlternateContent>
          </w:r>
          <w:r>
            <w:rPr>
              <w:caps/>
              <w:color w:val="5B9BD5" w:themeColor="accent1"/>
              <w:sz w:val="28"/>
              <w:szCs w:val="28"/>
            </w:rPr>
            <w:br w:type="page"/>
          </w:r>
        </w:p>
      </w:sdtContent>
    </w:sdt>
    <w:sdt>
      <w:sdtPr>
        <w:rPr>
          <w:rFonts w:asciiTheme="minorHAnsi" w:eastAsiaTheme="minorEastAsia" w:hAnsiTheme="minorHAnsi" w:cstheme="minorBidi"/>
          <w:color w:val="auto"/>
          <w:sz w:val="21"/>
          <w:szCs w:val="21"/>
          <w:lang w:val="nl-NL"/>
        </w:rPr>
        <w:id w:val="1946354196"/>
        <w:docPartObj>
          <w:docPartGallery w:val="Table of Contents"/>
          <w:docPartUnique/>
        </w:docPartObj>
      </w:sdtPr>
      <w:sdtEndPr>
        <w:rPr>
          <w:b/>
          <w:bCs/>
        </w:rPr>
      </w:sdtEndPr>
      <w:sdtContent>
        <w:bookmarkStart w:id="0" w:name="_GoBack" w:displacedByCustomXml="prev"/>
        <w:bookmarkEnd w:id="0" w:displacedByCustomXml="prev"/>
        <w:p w:rsidR="00174958" w:rsidRDefault="00174958">
          <w:pPr>
            <w:pStyle w:val="Kopvaninhoudsopgave"/>
          </w:pPr>
          <w:r>
            <w:rPr>
              <w:lang w:val="nl-NL"/>
            </w:rPr>
            <w:t>Inhoud</w:t>
          </w:r>
        </w:p>
        <w:p w:rsidR="00613859" w:rsidRDefault="00174958">
          <w:pPr>
            <w:pStyle w:val="Inhopg1"/>
            <w:tabs>
              <w:tab w:val="left" w:pos="440"/>
              <w:tab w:val="right" w:leader="dot" w:pos="9062"/>
            </w:tabs>
            <w:rPr>
              <w:noProof/>
              <w:sz w:val="22"/>
              <w:szCs w:val="22"/>
              <w:lang w:eastAsia="fr-BE"/>
            </w:rPr>
          </w:pPr>
          <w:r>
            <w:fldChar w:fldCharType="begin"/>
          </w:r>
          <w:r>
            <w:instrText xml:space="preserve"> TOC \o "1-3" \h \z \u </w:instrText>
          </w:r>
          <w:r>
            <w:fldChar w:fldCharType="separate"/>
          </w:r>
          <w:hyperlink w:anchor="_Toc506398902" w:history="1">
            <w:r w:rsidR="00613859" w:rsidRPr="00023BA9">
              <w:rPr>
                <w:rStyle w:val="Hyperlink"/>
                <w:noProof/>
              </w:rPr>
              <w:t>1.</w:t>
            </w:r>
            <w:r w:rsidR="00613859">
              <w:rPr>
                <w:noProof/>
                <w:sz w:val="22"/>
                <w:szCs w:val="22"/>
                <w:lang w:eastAsia="fr-BE"/>
              </w:rPr>
              <w:tab/>
            </w:r>
            <w:r w:rsidR="00613859" w:rsidRPr="00023BA9">
              <w:rPr>
                <w:rStyle w:val="Hyperlink"/>
                <w:noProof/>
              </w:rPr>
              <w:t>Wat?</w:t>
            </w:r>
            <w:r w:rsidR="00613859">
              <w:rPr>
                <w:noProof/>
                <w:webHidden/>
              </w:rPr>
              <w:tab/>
            </w:r>
            <w:r w:rsidR="00613859">
              <w:rPr>
                <w:noProof/>
                <w:webHidden/>
              </w:rPr>
              <w:fldChar w:fldCharType="begin"/>
            </w:r>
            <w:r w:rsidR="00613859">
              <w:rPr>
                <w:noProof/>
                <w:webHidden/>
              </w:rPr>
              <w:instrText xml:space="preserve"> PAGEREF _Toc506398902 \h </w:instrText>
            </w:r>
            <w:r w:rsidR="00613859">
              <w:rPr>
                <w:noProof/>
                <w:webHidden/>
              </w:rPr>
            </w:r>
            <w:r w:rsidR="00613859">
              <w:rPr>
                <w:noProof/>
                <w:webHidden/>
              </w:rPr>
              <w:fldChar w:fldCharType="separate"/>
            </w:r>
            <w:r w:rsidR="00613859">
              <w:rPr>
                <w:noProof/>
                <w:webHidden/>
              </w:rPr>
              <w:t>2</w:t>
            </w:r>
            <w:r w:rsidR="00613859">
              <w:rPr>
                <w:noProof/>
                <w:webHidden/>
              </w:rPr>
              <w:fldChar w:fldCharType="end"/>
            </w:r>
          </w:hyperlink>
        </w:p>
        <w:p w:rsidR="00613859" w:rsidRDefault="00613859">
          <w:pPr>
            <w:pStyle w:val="Inhopg1"/>
            <w:tabs>
              <w:tab w:val="left" w:pos="440"/>
              <w:tab w:val="right" w:leader="dot" w:pos="9062"/>
            </w:tabs>
            <w:rPr>
              <w:noProof/>
              <w:sz w:val="22"/>
              <w:szCs w:val="22"/>
              <w:lang w:eastAsia="fr-BE"/>
            </w:rPr>
          </w:pPr>
          <w:hyperlink w:anchor="_Toc506398903" w:history="1">
            <w:r w:rsidRPr="00023BA9">
              <w:rPr>
                <w:rStyle w:val="Hyperlink"/>
                <w:noProof/>
              </w:rPr>
              <w:t>2.</w:t>
            </w:r>
            <w:r>
              <w:rPr>
                <w:noProof/>
                <w:sz w:val="22"/>
                <w:szCs w:val="22"/>
                <w:lang w:eastAsia="fr-BE"/>
              </w:rPr>
              <w:tab/>
            </w:r>
            <w:r w:rsidRPr="00023BA9">
              <w:rPr>
                <w:rStyle w:val="Hyperlink"/>
                <w:noProof/>
              </w:rPr>
              <w:t>Doel van de toelage</w:t>
            </w:r>
            <w:r>
              <w:rPr>
                <w:noProof/>
                <w:webHidden/>
              </w:rPr>
              <w:tab/>
            </w:r>
            <w:r>
              <w:rPr>
                <w:noProof/>
                <w:webHidden/>
              </w:rPr>
              <w:fldChar w:fldCharType="begin"/>
            </w:r>
            <w:r>
              <w:rPr>
                <w:noProof/>
                <w:webHidden/>
              </w:rPr>
              <w:instrText xml:space="preserve"> PAGEREF _Toc506398903 \h </w:instrText>
            </w:r>
            <w:r>
              <w:rPr>
                <w:noProof/>
                <w:webHidden/>
              </w:rPr>
            </w:r>
            <w:r>
              <w:rPr>
                <w:noProof/>
                <w:webHidden/>
              </w:rPr>
              <w:fldChar w:fldCharType="separate"/>
            </w:r>
            <w:r>
              <w:rPr>
                <w:noProof/>
                <w:webHidden/>
              </w:rPr>
              <w:t>3</w:t>
            </w:r>
            <w:r>
              <w:rPr>
                <w:noProof/>
                <w:webHidden/>
              </w:rPr>
              <w:fldChar w:fldCharType="end"/>
            </w:r>
          </w:hyperlink>
        </w:p>
        <w:p w:rsidR="00613859" w:rsidRDefault="00613859">
          <w:pPr>
            <w:pStyle w:val="Inhopg1"/>
            <w:tabs>
              <w:tab w:val="left" w:pos="440"/>
              <w:tab w:val="right" w:leader="dot" w:pos="9062"/>
            </w:tabs>
            <w:rPr>
              <w:noProof/>
              <w:sz w:val="22"/>
              <w:szCs w:val="22"/>
              <w:lang w:eastAsia="fr-BE"/>
            </w:rPr>
          </w:pPr>
          <w:hyperlink w:anchor="_Toc506398904" w:history="1">
            <w:r w:rsidRPr="00023BA9">
              <w:rPr>
                <w:rStyle w:val="Hyperlink"/>
                <w:noProof/>
              </w:rPr>
              <w:t>3.</w:t>
            </w:r>
            <w:r>
              <w:rPr>
                <w:noProof/>
                <w:sz w:val="22"/>
                <w:szCs w:val="22"/>
                <w:lang w:eastAsia="fr-BE"/>
              </w:rPr>
              <w:tab/>
            </w:r>
            <w:r w:rsidRPr="00023BA9">
              <w:rPr>
                <w:rStyle w:val="Hyperlink"/>
                <w:noProof/>
              </w:rPr>
              <w:t>Voor wie?</w:t>
            </w:r>
            <w:r>
              <w:rPr>
                <w:noProof/>
                <w:webHidden/>
              </w:rPr>
              <w:tab/>
            </w:r>
            <w:r>
              <w:rPr>
                <w:noProof/>
                <w:webHidden/>
              </w:rPr>
              <w:fldChar w:fldCharType="begin"/>
            </w:r>
            <w:r>
              <w:rPr>
                <w:noProof/>
                <w:webHidden/>
              </w:rPr>
              <w:instrText xml:space="preserve"> PAGEREF _Toc506398904 \h </w:instrText>
            </w:r>
            <w:r>
              <w:rPr>
                <w:noProof/>
                <w:webHidden/>
              </w:rPr>
            </w:r>
            <w:r>
              <w:rPr>
                <w:noProof/>
                <w:webHidden/>
              </w:rPr>
              <w:fldChar w:fldCharType="separate"/>
            </w:r>
            <w:r>
              <w:rPr>
                <w:noProof/>
                <w:webHidden/>
              </w:rPr>
              <w:t>5</w:t>
            </w:r>
            <w:r>
              <w:rPr>
                <w:noProof/>
                <w:webHidden/>
              </w:rPr>
              <w:fldChar w:fldCharType="end"/>
            </w:r>
          </w:hyperlink>
        </w:p>
        <w:p w:rsidR="00613859" w:rsidRDefault="00613859">
          <w:pPr>
            <w:pStyle w:val="Inhopg1"/>
            <w:tabs>
              <w:tab w:val="left" w:pos="440"/>
              <w:tab w:val="right" w:leader="dot" w:pos="9062"/>
            </w:tabs>
            <w:rPr>
              <w:noProof/>
              <w:sz w:val="22"/>
              <w:szCs w:val="22"/>
              <w:lang w:eastAsia="fr-BE"/>
            </w:rPr>
          </w:pPr>
          <w:hyperlink w:anchor="_Toc506398905" w:history="1">
            <w:r w:rsidRPr="00023BA9">
              <w:rPr>
                <w:rStyle w:val="Hyperlink"/>
                <w:noProof/>
              </w:rPr>
              <w:t>4.</w:t>
            </w:r>
            <w:r>
              <w:rPr>
                <w:noProof/>
                <w:sz w:val="22"/>
                <w:szCs w:val="22"/>
                <w:lang w:eastAsia="fr-BE"/>
              </w:rPr>
              <w:tab/>
            </w:r>
            <w:r w:rsidRPr="00023BA9">
              <w:rPr>
                <w:rStyle w:val="Hyperlink"/>
                <w:noProof/>
              </w:rPr>
              <w:t>Aanwending van de toelage</w:t>
            </w:r>
            <w:r>
              <w:rPr>
                <w:noProof/>
                <w:webHidden/>
              </w:rPr>
              <w:tab/>
            </w:r>
            <w:r>
              <w:rPr>
                <w:noProof/>
                <w:webHidden/>
              </w:rPr>
              <w:fldChar w:fldCharType="begin"/>
            </w:r>
            <w:r>
              <w:rPr>
                <w:noProof/>
                <w:webHidden/>
              </w:rPr>
              <w:instrText xml:space="preserve"> PAGEREF _Toc506398905 \h </w:instrText>
            </w:r>
            <w:r>
              <w:rPr>
                <w:noProof/>
                <w:webHidden/>
              </w:rPr>
            </w:r>
            <w:r>
              <w:rPr>
                <w:noProof/>
                <w:webHidden/>
              </w:rPr>
              <w:fldChar w:fldCharType="separate"/>
            </w:r>
            <w:r>
              <w:rPr>
                <w:noProof/>
                <w:webHidden/>
              </w:rPr>
              <w:t>7</w:t>
            </w:r>
            <w:r>
              <w:rPr>
                <w:noProof/>
                <w:webHidden/>
              </w:rPr>
              <w:fldChar w:fldCharType="end"/>
            </w:r>
          </w:hyperlink>
        </w:p>
        <w:p w:rsidR="00613859" w:rsidRDefault="00613859">
          <w:pPr>
            <w:pStyle w:val="Inhopg1"/>
            <w:tabs>
              <w:tab w:val="left" w:pos="440"/>
              <w:tab w:val="right" w:leader="dot" w:pos="9062"/>
            </w:tabs>
            <w:rPr>
              <w:noProof/>
              <w:sz w:val="22"/>
              <w:szCs w:val="22"/>
              <w:lang w:eastAsia="fr-BE"/>
            </w:rPr>
          </w:pPr>
          <w:hyperlink w:anchor="_Toc506398906" w:history="1">
            <w:r w:rsidRPr="00023BA9">
              <w:rPr>
                <w:rStyle w:val="Hyperlink"/>
                <w:noProof/>
              </w:rPr>
              <w:t>5.</w:t>
            </w:r>
            <w:r>
              <w:rPr>
                <w:noProof/>
                <w:sz w:val="22"/>
                <w:szCs w:val="22"/>
                <w:lang w:eastAsia="fr-BE"/>
              </w:rPr>
              <w:tab/>
            </w:r>
            <w:r w:rsidRPr="00023BA9">
              <w:rPr>
                <w:rStyle w:val="Hyperlink"/>
                <w:noProof/>
              </w:rPr>
              <w:t>Collectieve modules</w:t>
            </w:r>
            <w:r>
              <w:rPr>
                <w:noProof/>
                <w:webHidden/>
              </w:rPr>
              <w:tab/>
            </w:r>
            <w:r>
              <w:rPr>
                <w:noProof/>
                <w:webHidden/>
              </w:rPr>
              <w:fldChar w:fldCharType="begin"/>
            </w:r>
            <w:r>
              <w:rPr>
                <w:noProof/>
                <w:webHidden/>
              </w:rPr>
              <w:instrText xml:space="preserve"> PAGEREF _Toc506398906 \h </w:instrText>
            </w:r>
            <w:r>
              <w:rPr>
                <w:noProof/>
                <w:webHidden/>
              </w:rPr>
            </w:r>
            <w:r>
              <w:rPr>
                <w:noProof/>
                <w:webHidden/>
              </w:rPr>
              <w:fldChar w:fldCharType="separate"/>
            </w:r>
            <w:r>
              <w:rPr>
                <w:noProof/>
                <w:webHidden/>
              </w:rPr>
              <w:t>10</w:t>
            </w:r>
            <w:r>
              <w:rPr>
                <w:noProof/>
                <w:webHidden/>
              </w:rPr>
              <w:fldChar w:fldCharType="end"/>
            </w:r>
          </w:hyperlink>
        </w:p>
        <w:p w:rsidR="00613859" w:rsidRDefault="00613859">
          <w:pPr>
            <w:pStyle w:val="Inhopg1"/>
            <w:tabs>
              <w:tab w:val="left" w:pos="440"/>
              <w:tab w:val="right" w:leader="dot" w:pos="9062"/>
            </w:tabs>
            <w:rPr>
              <w:noProof/>
              <w:sz w:val="22"/>
              <w:szCs w:val="22"/>
              <w:lang w:eastAsia="fr-BE"/>
            </w:rPr>
          </w:pPr>
          <w:hyperlink w:anchor="_Toc506398907" w:history="1">
            <w:r w:rsidRPr="00023BA9">
              <w:rPr>
                <w:rStyle w:val="Hyperlink"/>
                <w:noProof/>
              </w:rPr>
              <w:t>6.</w:t>
            </w:r>
            <w:r>
              <w:rPr>
                <w:noProof/>
                <w:sz w:val="22"/>
                <w:szCs w:val="22"/>
                <w:lang w:eastAsia="fr-BE"/>
              </w:rPr>
              <w:tab/>
            </w:r>
            <w:r w:rsidRPr="00023BA9">
              <w:rPr>
                <w:rStyle w:val="Hyperlink"/>
                <w:noProof/>
              </w:rPr>
              <w:t>Personeelskosten</w:t>
            </w:r>
            <w:r>
              <w:rPr>
                <w:noProof/>
                <w:webHidden/>
              </w:rPr>
              <w:tab/>
            </w:r>
            <w:r>
              <w:rPr>
                <w:noProof/>
                <w:webHidden/>
              </w:rPr>
              <w:fldChar w:fldCharType="begin"/>
            </w:r>
            <w:r>
              <w:rPr>
                <w:noProof/>
                <w:webHidden/>
              </w:rPr>
              <w:instrText xml:space="preserve"> PAGEREF _Toc506398907 \h </w:instrText>
            </w:r>
            <w:r>
              <w:rPr>
                <w:noProof/>
                <w:webHidden/>
              </w:rPr>
            </w:r>
            <w:r>
              <w:rPr>
                <w:noProof/>
                <w:webHidden/>
              </w:rPr>
              <w:fldChar w:fldCharType="separate"/>
            </w:r>
            <w:r>
              <w:rPr>
                <w:noProof/>
                <w:webHidden/>
              </w:rPr>
              <w:t>12</w:t>
            </w:r>
            <w:r>
              <w:rPr>
                <w:noProof/>
                <w:webHidden/>
              </w:rPr>
              <w:fldChar w:fldCharType="end"/>
            </w:r>
          </w:hyperlink>
        </w:p>
        <w:p w:rsidR="00613859" w:rsidRDefault="00613859">
          <w:pPr>
            <w:pStyle w:val="Inhopg1"/>
            <w:tabs>
              <w:tab w:val="left" w:pos="440"/>
              <w:tab w:val="right" w:leader="dot" w:pos="9062"/>
            </w:tabs>
            <w:rPr>
              <w:noProof/>
              <w:sz w:val="22"/>
              <w:szCs w:val="22"/>
              <w:lang w:eastAsia="fr-BE"/>
            </w:rPr>
          </w:pPr>
          <w:hyperlink w:anchor="_Toc506398908" w:history="1">
            <w:r w:rsidRPr="00023BA9">
              <w:rPr>
                <w:rStyle w:val="Hyperlink"/>
                <w:noProof/>
              </w:rPr>
              <w:t>7.</w:t>
            </w:r>
            <w:r>
              <w:rPr>
                <w:noProof/>
                <w:sz w:val="22"/>
                <w:szCs w:val="22"/>
                <w:lang w:eastAsia="fr-BE"/>
              </w:rPr>
              <w:tab/>
            </w:r>
            <w:r w:rsidRPr="00023BA9">
              <w:rPr>
                <w:rStyle w:val="Hyperlink"/>
                <w:noProof/>
              </w:rPr>
              <w:t>Toelageperiode</w:t>
            </w:r>
            <w:r>
              <w:rPr>
                <w:noProof/>
                <w:webHidden/>
              </w:rPr>
              <w:tab/>
            </w:r>
            <w:r>
              <w:rPr>
                <w:noProof/>
                <w:webHidden/>
              </w:rPr>
              <w:fldChar w:fldCharType="begin"/>
            </w:r>
            <w:r>
              <w:rPr>
                <w:noProof/>
                <w:webHidden/>
              </w:rPr>
              <w:instrText xml:space="preserve"> PAGEREF _Toc506398908 \h </w:instrText>
            </w:r>
            <w:r>
              <w:rPr>
                <w:noProof/>
                <w:webHidden/>
              </w:rPr>
            </w:r>
            <w:r>
              <w:rPr>
                <w:noProof/>
                <w:webHidden/>
              </w:rPr>
              <w:fldChar w:fldCharType="separate"/>
            </w:r>
            <w:r>
              <w:rPr>
                <w:noProof/>
                <w:webHidden/>
              </w:rPr>
              <w:t>13</w:t>
            </w:r>
            <w:r>
              <w:rPr>
                <w:noProof/>
                <w:webHidden/>
              </w:rPr>
              <w:fldChar w:fldCharType="end"/>
            </w:r>
          </w:hyperlink>
        </w:p>
        <w:p w:rsidR="00613859" w:rsidRDefault="00613859">
          <w:pPr>
            <w:pStyle w:val="Inhopg1"/>
            <w:tabs>
              <w:tab w:val="left" w:pos="440"/>
              <w:tab w:val="right" w:leader="dot" w:pos="9062"/>
            </w:tabs>
            <w:rPr>
              <w:noProof/>
              <w:sz w:val="22"/>
              <w:szCs w:val="22"/>
              <w:lang w:eastAsia="fr-BE"/>
            </w:rPr>
          </w:pPr>
          <w:hyperlink w:anchor="_Toc506398909" w:history="1">
            <w:r w:rsidRPr="00023BA9">
              <w:rPr>
                <w:rStyle w:val="Hyperlink"/>
                <w:noProof/>
              </w:rPr>
              <w:t>8.</w:t>
            </w:r>
            <w:r>
              <w:rPr>
                <w:noProof/>
                <w:sz w:val="22"/>
                <w:szCs w:val="22"/>
                <w:lang w:eastAsia="fr-BE"/>
              </w:rPr>
              <w:tab/>
            </w:r>
            <w:r w:rsidRPr="00023BA9">
              <w:rPr>
                <w:rStyle w:val="Hyperlink"/>
                <w:noProof/>
              </w:rPr>
              <w:t>Herverdeling van niet benut saldo</w:t>
            </w:r>
            <w:r>
              <w:rPr>
                <w:noProof/>
                <w:webHidden/>
              </w:rPr>
              <w:tab/>
            </w:r>
            <w:r>
              <w:rPr>
                <w:noProof/>
                <w:webHidden/>
              </w:rPr>
              <w:fldChar w:fldCharType="begin"/>
            </w:r>
            <w:r>
              <w:rPr>
                <w:noProof/>
                <w:webHidden/>
              </w:rPr>
              <w:instrText xml:space="preserve"> PAGEREF _Toc506398909 \h </w:instrText>
            </w:r>
            <w:r>
              <w:rPr>
                <w:noProof/>
                <w:webHidden/>
              </w:rPr>
            </w:r>
            <w:r>
              <w:rPr>
                <w:noProof/>
                <w:webHidden/>
              </w:rPr>
              <w:fldChar w:fldCharType="separate"/>
            </w:r>
            <w:r>
              <w:rPr>
                <w:noProof/>
                <w:webHidden/>
              </w:rPr>
              <w:t>14</w:t>
            </w:r>
            <w:r>
              <w:rPr>
                <w:noProof/>
                <w:webHidden/>
              </w:rPr>
              <w:fldChar w:fldCharType="end"/>
            </w:r>
          </w:hyperlink>
        </w:p>
        <w:p w:rsidR="00613859" w:rsidRDefault="00613859">
          <w:pPr>
            <w:pStyle w:val="Inhopg1"/>
            <w:tabs>
              <w:tab w:val="left" w:pos="440"/>
              <w:tab w:val="right" w:leader="dot" w:pos="9062"/>
            </w:tabs>
            <w:rPr>
              <w:noProof/>
              <w:sz w:val="22"/>
              <w:szCs w:val="22"/>
              <w:lang w:eastAsia="fr-BE"/>
            </w:rPr>
          </w:pPr>
          <w:hyperlink w:anchor="_Toc506398910" w:history="1">
            <w:r w:rsidRPr="00023BA9">
              <w:rPr>
                <w:rStyle w:val="Hyperlink"/>
                <w:noProof/>
              </w:rPr>
              <w:t>9.</w:t>
            </w:r>
            <w:r>
              <w:rPr>
                <w:noProof/>
                <w:sz w:val="22"/>
                <w:szCs w:val="22"/>
                <w:lang w:eastAsia="fr-BE"/>
              </w:rPr>
              <w:tab/>
            </w:r>
            <w:r w:rsidRPr="00023BA9">
              <w:rPr>
                <w:rStyle w:val="Hyperlink"/>
                <w:noProof/>
              </w:rPr>
              <w:t>Hoe verantwoorden in geval van uitbesteding?</w:t>
            </w:r>
            <w:r>
              <w:rPr>
                <w:noProof/>
                <w:webHidden/>
              </w:rPr>
              <w:tab/>
            </w:r>
            <w:r>
              <w:rPr>
                <w:noProof/>
                <w:webHidden/>
              </w:rPr>
              <w:fldChar w:fldCharType="begin"/>
            </w:r>
            <w:r>
              <w:rPr>
                <w:noProof/>
                <w:webHidden/>
              </w:rPr>
              <w:instrText xml:space="preserve"> PAGEREF _Toc506398910 \h </w:instrText>
            </w:r>
            <w:r>
              <w:rPr>
                <w:noProof/>
                <w:webHidden/>
              </w:rPr>
            </w:r>
            <w:r>
              <w:rPr>
                <w:noProof/>
                <w:webHidden/>
              </w:rPr>
              <w:fldChar w:fldCharType="separate"/>
            </w:r>
            <w:r>
              <w:rPr>
                <w:noProof/>
                <w:webHidden/>
              </w:rPr>
              <w:t>15</w:t>
            </w:r>
            <w:r>
              <w:rPr>
                <w:noProof/>
                <w:webHidden/>
              </w:rPr>
              <w:fldChar w:fldCharType="end"/>
            </w:r>
          </w:hyperlink>
        </w:p>
        <w:p w:rsidR="00613859" w:rsidRDefault="00613859">
          <w:pPr>
            <w:pStyle w:val="Inhopg1"/>
            <w:tabs>
              <w:tab w:val="left" w:pos="660"/>
              <w:tab w:val="right" w:leader="dot" w:pos="9062"/>
            </w:tabs>
            <w:rPr>
              <w:noProof/>
              <w:sz w:val="22"/>
              <w:szCs w:val="22"/>
              <w:lang w:eastAsia="fr-BE"/>
            </w:rPr>
          </w:pPr>
          <w:hyperlink w:anchor="_Toc506398911" w:history="1">
            <w:r w:rsidRPr="00023BA9">
              <w:rPr>
                <w:rStyle w:val="Hyperlink"/>
                <w:noProof/>
              </w:rPr>
              <w:t>10.</w:t>
            </w:r>
            <w:r>
              <w:rPr>
                <w:noProof/>
                <w:sz w:val="22"/>
                <w:szCs w:val="22"/>
                <w:lang w:eastAsia="fr-BE"/>
              </w:rPr>
              <w:tab/>
            </w:r>
            <w:r w:rsidRPr="00023BA9">
              <w:rPr>
                <w:rStyle w:val="Hyperlink"/>
                <w:noProof/>
              </w:rPr>
              <w:t>Investeringen</w:t>
            </w:r>
            <w:r>
              <w:rPr>
                <w:noProof/>
                <w:webHidden/>
              </w:rPr>
              <w:tab/>
            </w:r>
            <w:r>
              <w:rPr>
                <w:noProof/>
                <w:webHidden/>
              </w:rPr>
              <w:fldChar w:fldCharType="begin"/>
            </w:r>
            <w:r>
              <w:rPr>
                <w:noProof/>
                <w:webHidden/>
              </w:rPr>
              <w:instrText xml:space="preserve"> PAGEREF _Toc506398911 \h </w:instrText>
            </w:r>
            <w:r>
              <w:rPr>
                <w:noProof/>
                <w:webHidden/>
              </w:rPr>
            </w:r>
            <w:r>
              <w:rPr>
                <w:noProof/>
                <w:webHidden/>
              </w:rPr>
              <w:fldChar w:fldCharType="separate"/>
            </w:r>
            <w:r>
              <w:rPr>
                <w:noProof/>
                <w:webHidden/>
              </w:rPr>
              <w:t>16</w:t>
            </w:r>
            <w:r>
              <w:rPr>
                <w:noProof/>
                <w:webHidden/>
              </w:rPr>
              <w:fldChar w:fldCharType="end"/>
            </w:r>
          </w:hyperlink>
        </w:p>
        <w:p w:rsidR="00613859" w:rsidRDefault="00613859">
          <w:pPr>
            <w:pStyle w:val="Inhopg1"/>
            <w:tabs>
              <w:tab w:val="left" w:pos="660"/>
              <w:tab w:val="right" w:leader="dot" w:pos="9062"/>
            </w:tabs>
            <w:rPr>
              <w:noProof/>
              <w:sz w:val="22"/>
              <w:szCs w:val="22"/>
              <w:lang w:eastAsia="fr-BE"/>
            </w:rPr>
          </w:pPr>
          <w:hyperlink w:anchor="_Toc506398912" w:history="1">
            <w:r w:rsidRPr="00023BA9">
              <w:rPr>
                <w:rStyle w:val="Hyperlink"/>
                <w:noProof/>
              </w:rPr>
              <w:t>11.</w:t>
            </w:r>
            <w:r>
              <w:rPr>
                <w:noProof/>
                <w:sz w:val="22"/>
                <w:szCs w:val="22"/>
                <w:lang w:eastAsia="fr-BE"/>
              </w:rPr>
              <w:tab/>
            </w:r>
            <w:r w:rsidRPr="00023BA9">
              <w:rPr>
                <w:rStyle w:val="Hyperlink"/>
                <w:noProof/>
              </w:rPr>
              <w:t>Verwijzingen</w:t>
            </w:r>
            <w:r>
              <w:rPr>
                <w:noProof/>
                <w:webHidden/>
              </w:rPr>
              <w:tab/>
            </w:r>
            <w:r>
              <w:rPr>
                <w:noProof/>
                <w:webHidden/>
              </w:rPr>
              <w:fldChar w:fldCharType="begin"/>
            </w:r>
            <w:r>
              <w:rPr>
                <w:noProof/>
                <w:webHidden/>
              </w:rPr>
              <w:instrText xml:space="preserve"> PAGEREF _Toc506398912 \h </w:instrText>
            </w:r>
            <w:r>
              <w:rPr>
                <w:noProof/>
                <w:webHidden/>
              </w:rPr>
            </w:r>
            <w:r>
              <w:rPr>
                <w:noProof/>
                <w:webHidden/>
              </w:rPr>
              <w:fldChar w:fldCharType="separate"/>
            </w:r>
            <w:r>
              <w:rPr>
                <w:noProof/>
                <w:webHidden/>
              </w:rPr>
              <w:t>16</w:t>
            </w:r>
            <w:r>
              <w:rPr>
                <w:noProof/>
                <w:webHidden/>
              </w:rPr>
              <w:fldChar w:fldCharType="end"/>
            </w:r>
          </w:hyperlink>
        </w:p>
        <w:p w:rsidR="00174958" w:rsidRDefault="00174958">
          <w:r>
            <w:rPr>
              <w:b/>
              <w:bCs/>
              <w:lang w:val="nl-NL"/>
            </w:rPr>
            <w:fldChar w:fldCharType="end"/>
          </w:r>
        </w:p>
      </w:sdtContent>
    </w:sdt>
    <w:p w:rsidR="003C70C9" w:rsidRDefault="003C70C9">
      <w:pPr>
        <w:rPr>
          <w:rFonts w:ascii="Calibri" w:eastAsiaTheme="majorEastAsia" w:hAnsi="Calibri" w:cstheme="majorBidi"/>
          <w:b/>
          <w:caps/>
          <w:color w:val="000000" w:themeColor="text1"/>
          <w:sz w:val="24"/>
          <w:szCs w:val="40"/>
          <w:lang w:val="nl-NL"/>
        </w:rPr>
      </w:pPr>
      <w:r>
        <w:br w:type="page"/>
      </w:r>
    </w:p>
    <w:p w:rsidR="008E2D46" w:rsidRDefault="00BD7A6E" w:rsidP="000E3D99">
      <w:pPr>
        <w:pStyle w:val="Stijl1"/>
      </w:pPr>
      <w:bookmarkStart w:id="1" w:name="_Toc506398902"/>
      <w:r>
        <w:lastRenderedPageBreak/>
        <w:t>Wat?</w:t>
      </w:r>
      <w:bookmarkEnd w:id="1"/>
      <w:r>
        <w:t xml:space="preserve"> </w:t>
      </w:r>
    </w:p>
    <w:p w:rsidR="0094143D" w:rsidRPr="00283343" w:rsidRDefault="0094143D" w:rsidP="0094143D">
      <w:pPr>
        <w:rPr>
          <w:sz w:val="22"/>
          <w:szCs w:val="22"/>
          <w:lang w:val="nl-NL"/>
        </w:rPr>
      </w:pPr>
      <w:r w:rsidRPr="00283343">
        <w:rPr>
          <w:sz w:val="22"/>
          <w:szCs w:val="22"/>
          <w:lang w:val="nl-NL"/>
        </w:rPr>
        <w:t xml:space="preserve">Via een jaarlijks toelagebesluit wordt een toelage ter beschikking gesteld van de </w:t>
      </w:r>
      <w:proofErr w:type="spellStart"/>
      <w:r w:rsidRPr="00283343">
        <w:rPr>
          <w:sz w:val="22"/>
          <w:szCs w:val="22"/>
          <w:lang w:val="nl-NL"/>
        </w:rPr>
        <w:t>OCMW’s</w:t>
      </w:r>
      <w:proofErr w:type="spellEnd"/>
      <w:r w:rsidR="00327A75" w:rsidRPr="00283343">
        <w:rPr>
          <w:sz w:val="22"/>
          <w:szCs w:val="22"/>
          <w:lang w:val="nl-NL"/>
        </w:rPr>
        <w:t xml:space="preserve">. Deze toelage </w:t>
      </w:r>
      <w:r w:rsidRPr="00283343">
        <w:rPr>
          <w:sz w:val="22"/>
          <w:szCs w:val="22"/>
          <w:lang w:val="nl-NL"/>
        </w:rPr>
        <w:t>kan aangewend worden voor de financiering van initiatieven ter bevordering van de participatie en de sociale activering van OCMW-gebruikers.</w:t>
      </w:r>
      <w:r w:rsidR="00327A75" w:rsidRPr="00283343">
        <w:rPr>
          <w:sz w:val="22"/>
          <w:szCs w:val="22"/>
          <w:lang w:val="nl-NL"/>
        </w:rPr>
        <w:t xml:space="preserve"> De toelageperiode loopt telkens van 1 januari tot en met 31 december.</w:t>
      </w:r>
    </w:p>
    <w:p w:rsidR="0094143D" w:rsidRPr="00283343" w:rsidRDefault="0094143D" w:rsidP="0094143D">
      <w:pPr>
        <w:rPr>
          <w:sz w:val="22"/>
          <w:szCs w:val="22"/>
          <w:lang w:val="nl-NL"/>
        </w:rPr>
      </w:pPr>
      <w:r w:rsidRPr="00283343">
        <w:rPr>
          <w:sz w:val="22"/>
          <w:szCs w:val="22"/>
          <w:lang w:val="nl-NL"/>
        </w:rPr>
        <w:t xml:space="preserve">Het jaarlijks beschikbare budget hiervoor wordt onder de </w:t>
      </w:r>
      <w:proofErr w:type="spellStart"/>
      <w:r w:rsidRPr="00283343">
        <w:rPr>
          <w:sz w:val="22"/>
          <w:szCs w:val="22"/>
          <w:lang w:val="nl-NL"/>
        </w:rPr>
        <w:t>OCMW’s</w:t>
      </w:r>
      <w:proofErr w:type="spellEnd"/>
      <w:r w:rsidRPr="00283343">
        <w:rPr>
          <w:sz w:val="22"/>
          <w:szCs w:val="22"/>
          <w:lang w:val="nl-NL"/>
        </w:rPr>
        <w:t xml:space="preserve"> verdeeld volgens volgende verdeelsleutel:</w:t>
      </w:r>
    </w:p>
    <w:p w:rsidR="0094143D" w:rsidRPr="00283343" w:rsidRDefault="0094143D" w:rsidP="00EF7EBE">
      <w:pPr>
        <w:numPr>
          <w:ilvl w:val="0"/>
          <w:numId w:val="2"/>
        </w:numPr>
        <w:jc w:val="both"/>
        <w:rPr>
          <w:b/>
          <w:bCs/>
          <w:sz w:val="22"/>
          <w:szCs w:val="22"/>
          <w:lang w:val="nl-NL"/>
        </w:rPr>
      </w:pPr>
      <w:r w:rsidRPr="00283343">
        <w:rPr>
          <w:sz w:val="22"/>
          <w:szCs w:val="22"/>
          <w:lang w:val="nl-NL"/>
        </w:rPr>
        <w:t xml:space="preserve">75 % op basis van het aantal gerechtigden op een leefloon als bedoeld door de wet van 26 mei 2002 betreffende het recht op maatschappelijke integratie, of op een financiële maatschappelijke hulp terugbetaald door de staat in het kader van artikel 5 van de wet van 2 april 1965 betreffende het ten laste nemen van de steun verleend door de openbare centra voor maatschappelijk welzijn in de gemeente op datum van 1 januari </w:t>
      </w:r>
      <w:r w:rsidR="00174958" w:rsidRPr="00283343">
        <w:rPr>
          <w:sz w:val="22"/>
          <w:szCs w:val="22"/>
          <w:lang w:val="nl-NL"/>
        </w:rPr>
        <w:t>van het voorgaande jaar</w:t>
      </w:r>
      <w:r w:rsidRPr="00283343">
        <w:rPr>
          <w:bCs/>
          <w:sz w:val="22"/>
          <w:szCs w:val="22"/>
          <w:lang w:val="nl-NL"/>
        </w:rPr>
        <w:t>;</w:t>
      </w:r>
    </w:p>
    <w:p w:rsidR="00327A75" w:rsidRPr="00283343" w:rsidRDefault="0094143D" w:rsidP="00EF7EBE">
      <w:pPr>
        <w:numPr>
          <w:ilvl w:val="0"/>
          <w:numId w:val="2"/>
        </w:numPr>
        <w:jc w:val="both"/>
        <w:rPr>
          <w:sz w:val="22"/>
          <w:szCs w:val="22"/>
          <w:lang w:val="nl-NL"/>
        </w:rPr>
      </w:pPr>
      <w:r w:rsidRPr="00283343">
        <w:rPr>
          <w:sz w:val="22"/>
          <w:szCs w:val="22"/>
          <w:lang w:val="nl-NL"/>
        </w:rPr>
        <w:t xml:space="preserve">25 % op basis van het aantal rechthebbenden op een verhoogde verzekeringstegemoetkoming als bedoeld in artikel 37, § 19, van de wet betreffende de verplichte verzekering voor geneeskundige verzorging en uitkeringen gecoördineerd op 14 juli 1994, in de gemeente op 1 januari </w:t>
      </w:r>
      <w:r w:rsidR="00174958" w:rsidRPr="00283343">
        <w:rPr>
          <w:sz w:val="22"/>
          <w:szCs w:val="22"/>
          <w:lang w:val="nl-NL"/>
        </w:rPr>
        <w:t>van het voorgaande jaar</w:t>
      </w:r>
      <w:r w:rsidRPr="00283343">
        <w:rPr>
          <w:sz w:val="22"/>
          <w:szCs w:val="22"/>
          <w:lang w:val="nl-NL"/>
        </w:rPr>
        <w:t>.</w:t>
      </w:r>
    </w:p>
    <w:p w:rsidR="0094143D" w:rsidRPr="00283343" w:rsidRDefault="0094143D" w:rsidP="00EF7EBE">
      <w:pPr>
        <w:jc w:val="both"/>
        <w:rPr>
          <w:sz w:val="22"/>
          <w:szCs w:val="22"/>
          <w:lang w:val="nl-NL"/>
        </w:rPr>
      </w:pPr>
      <w:r w:rsidRPr="00283343">
        <w:rPr>
          <w:sz w:val="22"/>
          <w:szCs w:val="22"/>
          <w:lang w:val="nl-NL"/>
        </w:rPr>
        <w:t xml:space="preserve">Deze verdeelsleutel is evolutief in de tijd – </w:t>
      </w:r>
      <w:r w:rsidR="00EF7EBE" w:rsidRPr="00283343">
        <w:rPr>
          <w:sz w:val="22"/>
          <w:szCs w:val="22"/>
          <w:lang w:val="nl-NL"/>
        </w:rPr>
        <w:t xml:space="preserve">de </w:t>
      </w:r>
      <w:r w:rsidRPr="00283343">
        <w:rPr>
          <w:sz w:val="22"/>
          <w:szCs w:val="22"/>
          <w:lang w:val="nl-NL"/>
        </w:rPr>
        <w:t>parameter wordt gemeten op 1 januari van het voorgaande jaar – en volgt de werkelijkheid op de voet. De verdeelsleutel vertrekt van een objectief criterium dat een aanwijzing vormt voor de armoedegraad in een bepaalde stad of gemeente en voor de werklast van het OCMW.</w:t>
      </w:r>
    </w:p>
    <w:p w:rsidR="00327A75" w:rsidRPr="00283343" w:rsidRDefault="00327A75" w:rsidP="0094143D">
      <w:pPr>
        <w:rPr>
          <w:sz w:val="22"/>
          <w:szCs w:val="22"/>
          <w:lang w:val="nl-NL"/>
        </w:rPr>
      </w:pPr>
      <w:r w:rsidRPr="00283343">
        <w:rPr>
          <w:sz w:val="22"/>
          <w:szCs w:val="22"/>
          <w:lang w:val="nl-NL"/>
        </w:rPr>
        <w:t>Het toegekende bedrag per OCMW wordt als bijlage bij het koninklijk besluit gevoegd.</w:t>
      </w:r>
    </w:p>
    <w:p w:rsidR="00880B57" w:rsidRPr="00283343" w:rsidRDefault="00880B57" w:rsidP="0094143D">
      <w:pPr>
        <w:rPr>
          <w:b/>
          <w:sz w:val="22"/>
          <w:szCs w:val="22"/>
          <w:lang w:val="nl-NL"/>
        </w:rPr>
      </w:pPr>
      <w:r w:rsidRPr="00283343">
        <w:rPr>
          <w:b/>
          <w:sz w:val="22"/>
          <w:szCs w:val="22"/>
          <w:lang w:val="nl-NL"/>
        </w:rPr>
        <w:t>Bijzonderheid:</w:t>
      </w:r>
    </w:p>
    <w:p w:rsidR="00880B57" w:rsidRPr="00283343" w:rsidRDefault="00BA47FD" w:rsidP="003577E6">
      <w:pPr>
        <w:pStyle w:val="Lijstalinea"/>
        <w:numPr>
          <w:ilvl w:val="0"/>
          <w:numId w:val="3"/>
        </w:numPr>
        <w:jc w:val="both"/>
        <w:rPr>
          <w:b/>
          <w:sz w:val="22"/>
          <w:szCs w:val="22"/>
          <w:lang w:val="nl-NL"/>
        </w:rPr>
      </w:pPr>
      <w:r w:rsidRPr="00283343">
        <w:rPr>
          <w:b/>
          <w:sz w:val="22"/>
          <w:szCs w:val="22"/>
          <w:lang w:val="nl-NL"/>
        </w:rPr>
        <w:t xml:space="preserve">Overgangsmaatregel </w:t>
      </w:r>
      <w:r w:rsidR="003638C4" w:rsidRPr="00283343">
        <w:rPr>
          <w:b/>
          <w:sz w:val="22"/>
          <w:szCs w:val="22"/>
          <w:lang w:val="nl-NL"/>
        </w:rPr>
        <w:t>2017 en 2018:</w:t>
      </w:r>
      <w:r w:rsidRPr="00283343">
        <w:rPr>
          <w:b/>
          <w:sz w:val="22"/>
          <w:szCs w:val="22"/>
          <w:lang w:val="nl-NL"/>
        </w:rPr>
        <w:t xml:space="preserve"> compensatiebesluit</w:t>
      </w:r>
    </w:p>
    <w:p w:rsidR="00830F91" w:rsidRPr="00283343" w:rsidRDefault="00CE1097" w:rsidP="003577E6">
      <w:pPr>
        <w:pStyle w:val="Lijstalinea"/>
        <w:jc w:val="both"/>
        <w:rPr>
          <w:sz w:val="22"/>
          <w:szCs w:val="22"/>
          <w:lang w:val="nl-NL"/>
        </w:rPr>
      </w:pPr>
      <w:r w:rsidRPr="00283343">
        <w:rPr>
          <w:sz w:val="22"/>
          <w:szCs w:val="22"/>
          <w:lang w:val="nl-NL"/>
        </w:rPr>
        <w:t xml:space="preserve">De toelage voor participatie en sociale activering werd in 2017 grondig hervormd. Om een zekere continuïteit te garanderen voor de opgezette </w:t>
      </w:r>
      <w:r w:rsidR="009231A0" w:rsidRPr="00283343">
        <w:rPr>
          <w:sz w:val="22"/>
          <w:szCs w:val="22"/>
          <w:lang w:val="nl-NL"/>
        </w:rPr>
        <w:t>initiatieven</w:t>
      </w:r>
      <w:r w:rsidRPr="00283343">
        <w:rPr>
          <w:sz w:val="22"/>
          <w:szCs w:val="22"/>
          <w:lang w:val="nl-NL"/>
        </w:rPr>
        <w:t xml:space="preserve">, is er voor </w:t>
      </w:r>
      <w:r w:rsidR="00174958" w:rsidRPr="00283343">
        <w:rPr>
          <w:sz w:val="22"/>
          <w:szCs w:val="22"/>
          <w:lang w:val="nl-NL"/>
        </w:rPr>
        <w:t>gekozen</w:t>
      </w:r>
      <w:r w:rsidRPr="00283343">
        <w:rPr>
          <w:sz w:val="22"/>
          <w:szCs w:val="22"/>
          <w:lang w:val="nl-NL"/>
        </w:rPr>
        <w:t xml:space="preserve"> om bij wijze van overgangsmaatregel, </w:t>
      </w:r>
      <w:r w:rsidR="00EF7EBE" w:rsidRPr="00283343">
        <w:rPr>
          <w:sz w:val="22"/>
          <w:szCs w:val="22"/>
          <w:lang w:val="nl-NL"/>
        </w:rPr>
        <w:t xml:space="preserve">een </w:t>
      </w:r>
      <w:r w:rsidR="00174958" w:rsidRPr="00283343">
        <w:rPr>
          <w:sz w:val="22"/>
          <w:szCs w:val="22"/>
          <w:lang w:val="nl-NL"/>
        </w:rPr>
        <w:t>‘</w:t>
      </w:r>
      <w:r w:rsidR="00EF7EBE" w:rsidRPr="00283343">
        <w:rPr>
          <w:sz w:val="22"/>
          <w:szCs w:val="22"/>
          <w:lang w:val="nl-NL"/>
        </w:rPr>
        <w:t>compe</w:t>
      </w:r>
      <w:r w:rsidR="00830F91" w:rsidRPr="00283343">
        <w:rPr>
          <w:sz w:val="22"/>
          <w:szCs w:val="22"/>
          <w:lang w:val="nl-NL"/>
        </w:rPr>
        <w:t>ns</w:t>
      </w:r>
      <w:r w:rsidR="00EF7EBE" w:rsidRPr="00283343">
        <w:rPr>
          <w:sz w:val="22"/>
          <w:szCs w:val="22"/>
          <w:lang w:val="nl-NL"/>
        </w:rPr>
        <w:t>erend</w:t>
      </w:r>
      <w:r w:rsidR="00174958" w:rsidRPr="00283343">
        <w:rPr>
          <w:sz w:val="22"/>
          <w:szCs w:val="22"/>
          <w:lang w:val="nl-NL"/>
        </w:rPr>
        <w:t>’</w:t>
      </w:r>
      <w:r w:rsidR="00EF7EBE" w:rsidRPr="00283343">
        <w:rPr>
          <w:sz w:val="22"/>
          <w:szCs w:val="22"/>
          <w:lang w:val="nl-NL"/>
        </w:rPr>
        <w:t xml:space="preserve"> bedrag te voorzien voor </w:t>
      </w:r>
      <w:r w:rsidR="00174958" w:rsidRPr="00283343">
        <w:rPr>
          <w:sz w:val="22"/>
          <w:szCs w:val="22"/>
          <w:lang w:val="nl-NL"/>
        </w:rPr>
        <w:t>de jaren</w:t>
      </w:r>
      <w:r w:rsidR="00830F91" w:rsidRPr="00283343">
        <w:rPr>
          <w:sz w:val="22"/>
          <w:szCs w:val="22"/>
          <w:lang w:val="nl-NL"/>
        </w:rPr>
        <w:t xml:space="preserve"> 2017 en 2018. Dit ‘compenserend’ bedrag wordt toegekend ter ondersteuning van </w:t>
      </w:r>
      <w:r w:rsidRPr="00283343">
        <w:rPr>
          <w:sz w:val="22"/>
          <w:szCs w:val="22"/>
          <w:lang w:val="nl-NL"/>
        </w:rPr>
        <w:t xml:space="preserve">de </w:t>
      </w:r>
      <w:proofErr w:type="spellStart"/>
      <w:r w:rsidRPr="00283343">
        <w:rPr>
          <w:sz w:val="22"/>
          <w:szCs w:val="22"/>
          <w:lang w:val="nl-NL"/>
        </w:rPr>
        <w:t>OCMW</w:t>
      </w:r>
      <w:r w:rsidR="00EF7EBE" w:rsidRPr="00283343">
        <w:rPr>
          <w:sz w:val="22"/>
          <w:szCs w:val="22"/>
          <w:lang w:val="nl-NL"/>
        </w:rPr>
        <w:t>’</w:t>
      </w:r>
      <w:r w:rsidRPr="00283343">
        <w:rPr>
          <w:sz w:val="22"/>
          <w:szCs w:val="22"/>
          <w:lang w:val="nl-NL"/>
        </w:rPr>
        <w:t>s</w:t>
      </w:r>
      <w:proofErr w:type="spellEnd"/>
      <w:r w:rsidRPr="00283343">
        <w:rPr>
          <w:sz w:val="22"/>
          <w:szCs w:val="22"/>
          <w:lang w:val="nl-NL"/>
        </w:rPr>
        <w:t xml:space="preserve"> </w:t>
      </w:r>
      <w:r w:rsidR="00EF7EBE" w:rsidRPr="00283343">
        <w:rPr>
          <w:sz w:val="22"/>
          <w:szCs w:val="22"/>
          <w:lang w:val="nl-NL"/>
        </w:rPr>
        <w:t>die na de toepassing van de nieuwe verdeelsleutel</w:t>
      </w:r>
      <w:r w:rsidR="00830F91" w:rsidRPr="00283343">
        <w:rPr>
          <w:sz w:val="22"/>
          <w:szCs w:val="22"/>
          <w:lang w:val="nl-NL"/>
        </w:rPr>
        <w:t xml:space="preserve">, </w:t>
      </w:r>
      <w:r w:rsidR="00174958" w:rsidRPr="00283343">
        <w:rPr>
          <w:sz w:val="22"/>
          <w:szCs w:val="22"/>
          <w:lang w:val="nl-NL"/>
        </w:rPr>
        <w:t xml:space="preserve">een substantieel minder grote toelage kregen </w:t>
      </w:r>
      <w:r w:rsidR="00EF7EBE" w:rsidRPr="00283343">
        <w:rPr>
          <w:sz w:val="22"/>
          <w:szCs w:val="22"/>
          <w:lang w:val="nl-NL"/>
        </w:rPr>
        <w:t>ten</w:t>
      </w:r>
      <w:r w:rsidRPr="00283343">
        <w:rPr>
          <w:sz w:val="22"/>
          <w:szCs w:val="22"/>
          <w:lang w:val="nl-NL"/>
        </w:rPr>
        <w:t xml:space="preserve"> opzichte van 2016</w:t>
      </w:r>
      <w:r w:rsidR="00830F91" w:rsidRPr="00283343">
        <w:rPr>
          <w:sz w:val="22"/>
          <w:szCs w:val="22"/>
          <w:lang w:val="nl-NL"/>
        </w:rPr>
        <w:t>.</w:t>
      </w:r>
    </w:p>
    <w:p w:rsidR="00160E8D" w:rsidRDefault="00160E8D" w:rsidP="003577E6">
      <w:pPr>
        <w:pStyle w:val="Lijstalinea"/>
        <w:jc w:val="both"/>
        <w:rPr>
          <w:sz w:val="22"/>
          <w:szCs w:val="22"/>
          <w:lang w:val="nl-NL"/>
        </w:rPr>
      </w:pPr>
    </w:p>
    <w:p w:rsidR="003577E6" w:rsidRPr="00283343" w:rsidRDefault="009231A0" w:rsidP="003577E6">
      <w:pPr>
        <w:pStyle w:val="Lijstalinea"/>
        <w:jc w:val="both"/>
        <w:rPr>
          <w:sz w:val="22"/>
          <w:szCs w:val="22"/>
          <w:lang w:val="nl-NL"/>
        </w:rPr>
      </w:pPr>
      <w:r w:rsidRPr="00283343">
        <w:rPr>
          <w:sz w:val="22"/>
          <w:szCs w:val="22"/>
          <w:lang w:val="nl-NL"/>
        </w:rPr>
        <w:t>Zo werd een basis</w:t>
      </w:r>
      <w:r w:rsidR="00481691" w:rsidRPr="00283343">
        <w:rPr>
          <w:sz w:val="22"/>
          <w:szCs w:val="22"/>
          <w:lang w:val="nl-NL"/>
        </w:rPr>
        <w:t xml:space="preserve">bedrag </w:t>
      </w:r>
      <w:r w:rsidRPr="00283343">
        <w:rPr>
          <w:sz w:val="22"/>
          <w:szCs w:val="22"/>
          <w:lang w:val="nl-NL"/>
        </w:rPr>
        <w:t xml:space="preserve">toegekend </w:t>
      </w:r>
      <w:r w:rsidR="00481691" w:rsidRPr="00283343">
        <w:rPr>
          <w:sz w:val="22"/>
          <w:szCs w:val="22"/>
          <w:lang w:val="nl-NL"/>
        </w:rPr>
        <w:t>via het koninklijk besluit van 17 januari 2017</w:t>
      </w:r>
      <w:r w:rsidR="0002030E" w:rsidRPr="00283343">
        <w:rPr>
          <w:rStyle w:val="Voetnootmarkering"/>
          <w:sz w:val="22"/>
          <w:szCs w:val="22"/>
          <w:lang w:val="nl-NL"/>
        </w:rPr>
        <w:footnoteReference w:id="1"/>
      </w:r>
      <w:r w:rsidR="00481691" w:rsidRPr="00283343">
        <w:rPr>
          <w:sz w:val="22"/>
          <w:szCs w:val="22"/>
          <w:lang w:val="nl-NL"/>
        </w:rPr>
        <w:t xml:space="preserve"> op bas</w:t>
      </w:r>
      <w:r w:rsidR="003577E6" w:rsidRPr="00283343">
        <w:rPr>
          <w:sz w:val="22"/>
          <w:szCs w:val="22"/>
          <w:lang w:val="nl-NL"/>
        </w:rPr>
        <w:t xml:space="preserve">is van de nieuwe verdeelsleutel. </w:t>
      </w:r>
      <w:r w:rsidR="00481691" w:rsidRPr="00283343">
        <w:rPr>
          <w:sz w:val="22"/>
          <w:szCs w:val="22"/>
          <w:lang w:val="nl-NL"/>
        </w:rPr>
        <w:t xml:space="preserve"> </w:t>
      </w:r>
      <w:r w:rsidR="00830F91" w:rsidRPr="00283343">
        <w:rPr>
          <w:sz w:val="22"/>
          <w:szCs w:val="22"/>
          <w:lang w:val="nl-NL"/>
        </w:rPr>
        <w:t>V</w:t>
      </w:r>
      <w:r w:rsidR="003577E6" w:rsidRPr="00283343">
        <w:rPr>
          <w:sz w:val="22"/>
          <w:szCs w:val="22"/>
          <w:lang w:val="nl-NL"/>
        </w:rPr>
        <w:t>ia het koninklijk besluit van 24 september 2017</w:t>
      </w:r>
      <w:r w:rsidR="0002030E" w:rsidRPr="00283343">
        <w:rPr>
          <w:rStyle w:val="Voetnootmarkering"/>
          <w:sz w:val="22"/>
          <w:szCs w:val="22"/>
          <w:lang w:val="nl-NL"/>
        </w:rPr>
        <w:footnoteReference w:id="2"/>
      </w:r>
      <w:r w:rsidR="003577E6" w:rsidRPr="00283343">
        <w:rPr>
          <w:sz w:val="22"/>
          <w:szCs w:val="22"/>
          <w:lang w:val="nl-NL"/>
        </w:rPr>
        <w:t xml:space="preserve"> werd een </w:t>
      </w:r>
      <w:r w:rsidR="00830F91" w:rsidRPr="00283343">
        <w:rPr>
          <w:sz w:val="22"/>
          <w:szCs w:val="22"/>
          <w:lang w:val="nl-NL"/>
        </w:rPr>
        <w:t xml:space="preserve">‘compenserend’ </w:t>
      </w:r>
      <w:r w:rsidR="003577E6" w:rsidRPr="00283343">
        <w:rPr>
          <w:sz w:val="22"/>
          <w:szCs w:val="22"/>
          <w:lang w:val="nl-NL"/>
        </w:rPr>
        <w:t xml:space="preserve">bedrag toegekend aan de </w:t>
      </w:r>
      <w:proofErr w:type="spellStart"/>
      <w:r w:rsidR="003577E6" w:rsidRPr="00283343">
        <w:rPr>
          <w:sz w:val="22"/>
          <w:szCs w:val="22"/>
          <w:lang w:val="nl-NL"/>
        </w:rPr>
        <w:t>OCMW’s</w:t>
      </w:r>
      <w:proofErr w:type="spellEnd"/>
      <w:r w:rsidR="003577E6" w:rsidRPr="00283343">
        <w:rPr>
          <w:sz w:val="22"/>
          <w:szCs w:val="22"/>
          <w:lang w:val="nl-NL"/>
        </w:rPr>
        <w:t xml:space="preserve"> die hiervoor in aanmerking kwamen. </w:t>
      </w:r>
    </w:p>
    <w:p w:rsidR="008E2D46" w:rsidRDefault="00880B57" w:rsidP="000E3D99">
      <w:pPr>
        <w:pStyle w:val="Stijl1"/>
      </w:pPr>
      <w:bookmarkStart w:id="2" w:name="_Toc506398903"/>
      <w:r>
        <w:t>Doel van de toelage</w:t>
      </w:r>
      <w:bookmarkEnd w:id="2"/>
      <w:r>
        <w:t xml:space="preserve"> </w:t>
      </w:r>
    </w:p>
    <w:p w:rsidR="00880B57" w:rsidRPr="006D0949" w:rsidRDefault="00E2075E" w:rsidP="006F5079">
      <w:pPr>
        <w:rPr>
          <w:rFonts w:eastAsia="Calibri"/>
          <w:sz w:val="22"/>
          <w:szCs w:val="22"/>
          <w:lang w:val="nl-NL"/>
        </w:rPr>
      </w:pPr>
      <w:r w:rsidRPr="006D0949">
        <w:rPr>
          <w:rFonts w:eastAsia="Calibri"/>
          <w:sz w:val="22"/>
          <w:szCs w:val="22"/>
          <w:lang w:val="nl-NL"/>
        </w:rPr>
        <w:t xml:space="preserve">De doelstelling van de toelage is om de </w:t>
      </w:r>
      <w:proofErr w:type="spellStart"/>
      <w:r w:rsidRPr="006D0949">
        <w:rPr>
          <w:rFonts w:eastAsia="Calibri"/>
          <w:sz w:val="22"/>
          <w:szCs w:val="22"/>
          <w:lang w:val="nl-NL"/>
        </w:rPr>
        <w:t>OCMW’s</w:t>
      </w:r>
      <w:proofErr w:type="spellEnd"/>
      <w:r w:rsidRPr="006D0949">
        <w:rPr>
          <w:rFonts w:eastAsia="Calibri"/>
          <w:sz w:val="22"/>
          <w:szCs w:val="22"/>
          <w:lang w:val="nl-NL"/>
        </w:rPr>
        <w:t xml:space="preserve"> te ondersteunen in de uitbouw van een beleid van participatie en sociale activering. </w:t>
      </w:r>
      <w:r w:rsidR="00880B57" w:rsidRPr="006D0949">
        <w:rPr>
          <w:rFonts w:eastAsia="Calibri"/>
          <w:sz w:val="22"/>
          <w:szCs w:val="22"/>
          <w:lang w:val="nl-NL"/>
        </w:rPr>
        <w:t xml:space="preserve">Binnen </w:t>
      </w:r>
      <w:r w:rsidRPr="006D0949">
        <w:rPr>
          <w:rFonts w:eastAsia="Calibri"/>
          <w:sz w:val="22"/>
          <w:szCs w:val="22"/>
          <w:lang w:val="nl-NL"/>
        </w:rPr>
        <w:t xml:space="preserve">dit </w:t>
      </w:r>
      <w:r w:rsidR="00880B57" w:rsidRPr="006D0949">
        <w:rPr>
          <w:rFonts w:eastAsia="Calibri"/>
          <w:sz w:val="22"/>
          <w:szCs w:val="22"/>
          <w:lang w:val="nl-NL"/>
        </w:rPr>
        <w:t>algemene kader zijn er drie beleidsprioriteiten:</w:t>
      </w:r>
    </w:p>
    <w:p w:rsidR="00880B57" w:rsidRPr="006D0949" w:rsidRDefault="00880B57" w:rsidP="00880B57">
      <w:pPr>
        <w:pStyle w:val="Lijstalinea"/>
        <w:numPr>
          <w:ilvl w:val="0"/>
          <w:numId w:val="7"/>
        </w:numPr>
        <w:contextualSpacing w:val="0"/>
        <w:jc w:val="both"/>
        <w:rPr>
          <w:rFonts w:eastAsia="Calibri"/>
          <w:b/>
          <w:sz w:val="22"/>
          <w:szCs w:val="22"/>
          <w:lang w:val="nl-NL"/>
        </w:rPr>
      </w:pPr>
      <w:r w:rsidRPr="006D0949">
        <w:rPr>
          <w:rFonts w:eastAsia="Calibri"/>
          <w:b/>
          <w:sz w:val="22"/>
          <w:szCs w:val="22"/>
          <w:lang w:val="nl-NL"/>
        </w:rPr>
        <w:t xml:space="preserve">Bevorderen van maatschappelijke participatie </w:t>
      </w:r>
    </w:p>
    <w:p w:rsidR="00880B57" w:rsidRPr="006D0949" w:rsidRDefault="00880B57" w:rsidP="00880B57">
      <w:pPr>
        <w:ind w:left="360"/>
        <w:jc w:val="both"/>
        <w:rPr>
          <w:rFonts w:eastAsia="Calibri"/>
          <w:sz w:val="22"/>
          <w:szCs w:val="22"/>
          <w:lang w:val="nl-NL"/>
        </w:rPr>
      </w:pPr>
      <w:r w:rsidRPr="006D0949">
        <w:rPr>
          <w:rFonts w:eastAsia="Calibri"/>
          <w:sz w:val="22"/>
          <w:szCs w:val="22"/>
          <w:lang w:val="nl-NL"/>
        </w:rPr>
        <w:t>De toelage kan aangewend worden voor volgende initiatieven ter bevordering van de maatschappelijke participatie van OCMW-gebruikers:</w:t>
      </w:r>
    </w:p>
    <w:p w:rsidR="00880B57" w:rsidRPr="006D0949" w:rsidRDefault="00880B57" w:rsidP="00880B57">
      <w:pPr>
        <w:numPr>
          <w:ilvl w:val="0"/>
          <w:numId w:val="5"/>
        </w:numPr>
        <w:ind w:left="720"/>
        <w:jc w:val="both"/>
        <w:rPr>
          <w:rFonts w:eastAsia="Calibri"/>
          <w:sz w:val="22"/>
          <w:szCs w:val="22"/>
          <w:lang w:val="nl-NL"/>
        </w:rPr>
      </w:pPr>
      <w:r w:rsidRPr="006D0949">
        <w:rPr>
          <w:rFonts w:eastAsia="Calibri"/>
          <w:sz w:val="22"/>
          <w:szCs w:val="22"/>
          <w:lang w:val="nl-NL"/>
        </w:rPr>
        <w:t>de volledige of gedeeltelijke financiering van de deelname door de gebruikers aan sociale, sportieve of culturele manifestaties;</w:t>
      </w:r>
    </w:p>
    <w:p w:rsidR="00880B57" w:rsidRPr="006D0949" w:rsidRDefault="00880B57" w:rsidP="00880B57">
      <w:pPr>
        <w:numPr>
          <w:ilvl w:val="0"/>
          <w:numId w:val="5"/>
        </w:numPr>
        <w:ind w:left="720"/>
        <w:jc w:val="both"/>
        <w:rPr>
          <w:rFonts w:eastAsia="Calibri"/>
          <w:sz w:val="22"/>
          <w:szCs w:val="22"/>
          <w:lang w:val="nl-NL"/>
        </w:rPr>
      </w:pPr>
      <w:r w:rsidRPr="006D0949">
        <w:rPr>
          <w:rFonts w:eastAsia="Calibri"/>
          <w:sz w:val="22"/>
          <w:szCs w:val="22"/>
          <w:lang w:val="nl-NL"/>
        </w:rPr>
        <w:t>de volledige of gedeeltelijke financiering van de deelname door de gebruikers aan sociale, culturele of sportieve verenigingen met inbegrip van lidgeld en de voor de deelname noodzakelijke benodigdheden en uitrustingen;</w:t>
      </w:r>
    </w:p>
    <w:p w:rsidR="00880B57" w:rsidRPr="006D0949" w:rsidRDefault="00880B57" w:rsidP="00880B57">
      <w:pPr>
        <w:numPr>
          <w:ilvl w:val="0"/>
          <w:numId w:val="5"/>
        </w:numPr>
        <w:ind w:left="720"/>
        <w:jc w:val="both"/>
        <w:rPr>
          <w:rFonts w:eastAsia="Calibri"/>
          <w:sz w:val="22"/>
          <w:szCs w:val="22"/>
          <w:lang w:val="nl-NL"/>
        </w:rPr>
      </w:pPr>
      <w:r w:rsidRPr="006D0949">
        <w:rPr>
          <w:rFonts w:eastAsia="Calibri"/>
          <w:sz w:val="22"/>
          <w:szCs w:val="22"/>
          <w:lang w:val="nl-NL"/>
        </w:rPr>
        <w:t>de ondersteuning en de financiering van initiatieven van of voor de doelgroep op sociaal, cultureel of sportief vlak;</w:t>
      </w:r>
    </w:p>
    <w:p w:rsidR="00880B57" w:rsidRDefault="00880B57" w:rsidP="00880B57">
      <w:pPr>
        <w:numPr>
          <w:ilvl w:val="0"/>
          <w:numId w:val="5"/>
        </w:numPr>
        <w:ind w:left="720"/>
        <w:jc w:val="both"/>
        <w:rPr>
          <w:rFonts w:eastAsia="Calibri"/>
          <w:sz w:val="22"/>
          <w:szCs w:val="22"/>
          <w:lang w:val="nl-NL"/>
        </w:rPr>
      </w:pPr>
      <w:r w:rsidRPr="006D0949">
        <w:rPr>
          <w:rFonts w:eastAsia="Calibri"/>
          <w:sz w:val="22"/>
          <w:szCs w:val="22"/>
          <w:lang w:val="nl-NL"/>
        </w:rPr>
        <w:t>de ondersteuning en de financiering van initiatieven die de toegang en de participatie van de doelgroep tot de nieuwe informatie- en communicatietechnologieën bevorderen.</w:t>
      </w:r>
    </w:p>
    <w:p w:rsidR="00160E8D" w:rsidRPr="006D0949" w:rsidRDefault="00160E8D" w:rsidP="00160E8D">
      <w:pPr>
        <w:ind w:left="360"/>
        <w:jc w:val="both"/>
        <w:rPr>
          <w:rFonts w:eastAsia="Calibri"/>
          <w:sz w:val="22"/>
          <w:szCs w:val="22"/>
          <w:lang w:val="nl-NL"/>
        </w:rPr>
      </w:pPr>
    </w:p>
    <w:p w:rsidR="00880B57" w:rsidRPr="006D0949" w:rsidRDefault="00880B57" w:rsidP="00880B57">
      <w:pPr>
        <w:pStyle w:val="Lijstalinea"/>
        <w:numPr>
          <w:ilvl w:val="0"/>
          <w:numId w:val="7"/>
        </w:numPr>
        <w:contextualSpacing w:val="0"/>
        <w:jc w:val="both"/>
        <w:rPr>
          <w:rFonts w:eastAsia="Calibri"/>
          <w:b/>
          <w:sz w:val="22"/>
          <w:szCs w:val="22"/>
          <w:lang w:val="nl-NL"/>
        </w:rPr>
      </w:pPr>
      <w:r w:rsidRPr="006D0949">
        <w:rPr>
          <w:rFonts w:eastAsia="Calibri"/>
          <w:b/>
          <w:sz w:val="22"/>
          <w:szCs w:val="22"/>
          <w:lang w:val="nl-NL"/>
        </w:rPr>
        <w:t xml:space="preserve">Organiseren van collectieve modules </w:t>
      </w:r>
    </w:p>
    <w:p w:rsidR="00880B57" w:rsidRPr="006D0949" w:rsidRDefault="00880B57" w:rsidP="00880B57">
      <w:pPr>
        <w:ind w:left="360"/>
        <w:jc w:val="both"/>
        <w:rPr>
          <w:rFonts w:eastAsia="Calibri"/>
          <w:sz w:val="22"/>
          <w:szCs w:val="22"/>
          <w:lang w:val="nl-NL"/>
        </w:rPr>
      </w:pPr>
      <w:r w:rsidRPr="006D0949">
        <w:rPr>
          <w:rFonts w:eastAsia="Calibri"/>
          <w:sz w:val="22"/>
          <w:szCs w:val="22"/>
          <w:lang w:val="nl-NL"/>
        </w:rPr>
        <w:t>Deze toelage kan aangewend worden voor de financiering van het organiseren van collectieve modules, dewelke de individuele begeleiding in het kader van de geïndividualiseerde projecten voor maatschappelijke integratie kunnen aanvullen.</w:t>
      </w:r>
    </w:p>
    <w:p w:rsidR="00880B57" w:rsidRPr="006D0949" w:rsidRDefault="00880B57" w:rsidP="00880B57">
      <w:pPr>
        <w:ind w:left="360"/>
        <w:jc w:val="both"/>
        <w:rPr>
          <w:rFonts w:eastAsia="Calibri"/>
          <w:sz w:val="22"/>
          <w:szCs w:val="22"/>
          <w:highlight w:val="yellow"/>
          <w:lang w:val="nl-NL"/>
        </w:rPr>
      </w:pPr>
      <w:r w:rsidRPr="006D0949">
        <w:rPr>
          <w:rFonts w:eastAsia="Calibri"/>
          <w:sz w:val="22"/>
          <w:szCs w:val="22"/>
          <w:lang w:val="nl-NL"/>
        </w:rPr>
        <w:t>Collectieve modules worden in deze context gedefinieerd als een samenhangend geheel van activiteiten die in groepsverband worden uitgevoerd met het oog op het bereiken van een welbepaald doel. Het aspect van de groepsdynamiek is hierbij zeer belangrijk. In die zin vormen collectieve modules die goed begeleid en gestuurd worden en naar een welbepaald doel toewerken, een bijzonder zinvolle aanvulling op individuele begeleiding.</w:t>
      </w:r>
    </w:p>
    <w:p w:rsidR="00B57445" w:rsidRDefault="00880B57" w:rsidP="00B57445">
      <w:pPr>
        <w:ind w:left="360"/>
        <w:jc w:val="both"/>
        <w:rPr>
          <w:rFonts w:eastAsia="Calibri"/>
          <w:sz w:val="22"/>
          <w:szCs w:val="22"/>
          <w:lang w:val="nl-NL"/>
        </w:rPr>
      </w:pPr>
      <w:r w:rsidRPr="006D0949">
        <w:rPr>
          <w:rFonts w:eastAsia="Calibri"/>
          <w:sz w:val="22"/>
          <w:szCs w:val="22"/>
          <w:lang w:val="nl-NL"/>
        </w:rPr>
        <w:t>Voorbeelden van dergelijke modules zijn groepswerk collectieve schuldenregeling, kookateliers, cursussen gericht op taal, attitudetraining, omgaan met gezag, zelfstandig het openbaar vervoer nemen, stiptheid, opwaarderen van het zelfbeeld…</w:t>
      </w:r>
    </w:p>
    <w:p w:rsidR="00160E8D" w:rsidRDefault="00160E8D" w:rsidP="00B57445">
      <w:pPr>
        <w:ind w:left="360"/>
        <w:jc w:val="both"/>
        <w:rPr>
          <w:rFonts w:eastAsia="Calibri"/>
          <w:b/>
          <w:sz w:val="22"/>
          <w:szCs w:val="22"/>
          <w:lang w:val="nl-NL"/>
        </w:rPr>
      </w:pPr>
    </w:p>
    <w:p w:rsidR="00880B57" w:rsidRPr="006D0949" w:rsidRDefault="00880B57" w:rsidP="00880B57">
      <w:pPr>
        <w:pStyle w:val="Lijstalinea"/>
        <w:numPr>
          <w:ilvl w:val="0"/>
          <w:numId w:val="7"/>
        </w:numPr>
        <w:contextualSpacing w:val="0"/>
        <w:jc w:val="both"/>
        <w:rPr>
          <w:rFonts w:eastAsia="Calibri"/>
          <w:b/>
          <w:sz w:val="22"/>
          <w:szCs w:val="22"/>
          <w:lang w:val="nl-NL"/>
        </w:rPr>
      </w:pPr>
      <w:r w:rsidRPr="006D0949">
        <w:rPr>
          <w:rFonts w:eastAsia="Calibri"/>
          <w:b/>
          <w:sz w:val="22"/>
          <w:szCs w:val="22"/>
          <w:lang w:val="nl-NL"/>
        </w:rPr>
        <w:t>Bestrijden van kinderarmoede</w:t>
      </w:r>
    </w:p>
    <w:p w:rsidR="00880B57" w:rsidRPr="006D0949" w:rsidRDefault="00880B57" w:rsidP="00880B57">
      <w:pPr>
        <w:ind w:left="360"/>
        <w:jc w:val="both"/>
        <w:rPr>
          <w:rFonts w:eastAsia="Calibri"/>
          <w:sz w:val="22"/>
          <w:szCs w:val="22"/>
          <w:lang w:val="nl-NL"/>
        </w:rPr>
      </w:pPr>
      <w:r w:rsidRPr="006D0949">
        <w:rPr>
          <w:rFonts w:eastAsia="Calibri"/>
          <w:sz w:val="22"/>
          <w:szCs w:val="22"/>
          <w:lang w:val="nl-NL"/>
        </w:rPr>
        <w:t>Het gedeelte van de toelage dat voorbehouden wordt voor de bestrijding van kinderarmoede kan aangewend worden voor volgende initiatieven:</w:t>
      </w:r>
    </w:p>
    <w:p w:rsidR="00880B57" w:rsidRPr="006D0949" w:rsidRDefault="00880B57" w:rsidP="00880B57">
      <w:pPr>
        <w:numPr>
          <w:ilvl w:val="0"/>
          <w:numId w:val="4"/>
        </w:numPr>
        <w:ind w:left="720"/>
        <w:jc w:val="both"/>
        <w:rPr>
          <w:rFonts w:eastAsia="Calibri"/>
          <w:sz w:val="22"/>
          <w:szCs w:val="22"/>
          <w:lang w:val="nl-NL"/>
        </w:rPr>
      </w:pPr>
      <w:r w:rsidRPr="006D0949">
        <w:rPr>
          <w:rFonts w:eastAsia="Calibri"/>
          <w:sz w:val="22"/>
          <w:szCs w:val="22"/>
          <w:lang w:val="nl-NL"/>
        </w:rPr>
        <w:t xml:space="preserve">de volledige of gedeeltelijke financiering van maatschappelijke dienstverlening om de maatschappelijke integratie van kinderen van gebruikers via deelname aan sociale programma’s te bevorderen. </w:t>
      </w:r>
    </w:p>
    <w:p w:rsidR="00880B57" w:rsidRPr="006D0949" w:rsidRDefault="00880B57" w:rsidP="00880B57">
      <w:pPr>
        <w:ind w:left="360"/>
        <w:jc w:val="both"/>
        <w:rPr>
          <w:rFonts w:eastAsia="Calibri"/>
          <w:sz w:val="22"/>
          <w:szCs w:val="22"/>
          <w:lang w:val="nl-NL"/>
        </w:rPr>
      </w:pPr>
      <w:r w:rsidRPr="006D0949">
        <w:rPr>
          <w:rFonts w:eastAsia="Calibri"/>
          <w:sz w:val="22"/>
          <w:szCs w:val="22"/>
          <w:lang w:val="nl-NL"/>
        </w:rPr>
        <w:t>Worden inzonderheid bedoeld:</w:t>
      </w:r>
    </w:p>
    <w:p w:rsidR="00880B57" w:rsidRPr="006D0949" w:rsidRDefault="00880B57" w:rsidP="00880B57">
      <w:pPr>
        <w:numPr>
          <w:ilvl w:val="0"/>
          <w:numId w:val="6"/>
        </w:numPr>
        <w:tabs>
          <w:tab w:val="clear" w:pos="799"/>
          <w:tab w:val="num" w:pos="1159"/>
        </w:tabs>
        <w:ind w:left="1159"/>
        <w:jc w:val="both"/>
        <w:rPr>
          <w:rFonts w:eastAsia="Calibri"/>
          <w:bCs/>
          <w:sz w:val="22"/>
          <w:szCs w:val="22"/>
          <w:lang w:val="nl-NL"/>
        </w:rPr>
      </w:pPr>
      <w:r w:rsidRPr="006D0949">
        <w:rPr>
          <w:rFonts w:eastAsia="Calibri"/>
          <w:bCs/>
          <w:sz w:val="22"/>
          <w:szCs w:val="22"/>
          <w:lang w:val="nl-NL"/>
        </w:rPr>
        <w:t>de maatschappelijke dienstverlening in het kader van de deelname aan sociale programma's;</w:t>
      </w:r>
    </w:p>
    <w:p w:rsidR="00880B57" w:rsidRPr="006D0949" w:rsidRDefault="00880B57" w:rsidP="00880B57">
      <w:pPr>
        <w:numPr>
          <w:ilvl w:val="0"/>
          <w:numId w:val="6"/>
        </w:numPr>
        <w:tabs>
          <w:tab w:val="clear" w:pos="799"/>
          <w:tab w:val="num" w:pos="1159"/>
        </w:tabs>
        <w:ind w:left="1159"/>
        <w:jc w:val="both"/>
        <w:rPr>
          <w:rFonts w:eastAsia="Calibri"/>
          <w:bCs/>
          <w:sz w:val="22"/>
          <w:szCs w:val="22"/>
          <w:lang w:val="nl-NL"/>
        </w:rPr>
      </w:pPr>
      <w:r w:rsidRPr="006D0949">
        <w:rPr>
          <w:rFonts w:eastAsia="Calibri"/>
          <w:bCs/>
          <w:sz w:val="22"/>
          <w:szCs w:val="22"/>
          <w:lang w:val="nl-NL"/>
        </w:rPr>
        <w:t>de maatschappelijke dienstverlening in het kader van onderwijsondersteuning;</w:t>
      </w:r>
    </w:p>
    <w:p w:rsidR="00880B57" w:rsidRPr="006D0949" w:rsidRDefault="00880B57" w:rsidP="00880B57">
      <w:pPr>
        <w:numPr>
          <w:ilvl w:val="0"/>
          <w:numId w:val="6"/>
        </w:numPr>
        <w:tabs>
          <w:tab w:val="clear" w:pos="799"/>
          <w:tab w:val="num" w:pos="1159"/>
        </w:tabs>
        <w:ind w:left="1159"/>
        <w:jc w:val="both"/>
        <w:rPr>
          <w:rFonts w:eastAsia="Calibri"/>
          <w:bCs/>
          <w:sz w:val="22"/>
          <w:szCs w:val="22"/>
          <w:lang w:val="nl-NL"/>
        </w:rPr>
      </w:pPr>
      <w:r w:rsidRPr="006D0949">
        <w:rPr>
          <w:rFonts w:eastAsia="Calibri"/>
          <w:bCs/>
          <w:sz w:val="22"/>
          <w:szCs w:val="22"/>
          <w:lang w:val="nl-NL"/>
        </w:rPr>
        <w:t xml:space="preserve">de maatschappelijke dienstverlening in het kader van psychologische ondersteuning voor het kind of voor de ouders in het kader van de raadpleging van een specialist; </w:t>
      </w:r>
    </w:p>
    <w:p w:rsidR="00880B57" w:rsidRPr="006D0949" w:rsidRDefault="00880B57" w:rsidP="00880B57">
      <w:pPr>
        <w:numPr>
          <w:ilvl w:val="0"/>
          <w:numId w:val="6"/>
        </w:numPr>
        <w:tabs>
          <w:tab w:val="clear" w:pos="799"/>
          <w:tab w:val="num" w:pos="1159"/>
        </w:tabs>
        <w:ind w:left="1159"/>
        <w:jc w:val="both"/>
        <w:rPr>
          <w:rFonts w:eastAsia="Calibri"/>
          <w:bCs/>
          <w:sz w:val="22"/>
          <w:szCs w:val="22"/>
          <w:lang w:val="nl-NL"/>
        </w:rPr>
      </w:pPr>
      <w:r w:rsidRPr="006D0949">
        <w:rPr>
          <w:rFonts w:eastAsia="Calibri"/>
          <w:bCs/>
          <w:sz w:val="22"/>
          <w:szCs w:val="22"/>
          <w:lang w:val="nl-NL"/>
        </w:rPr>
        <w:t>de maatschappelijke dienstverlening in het kader van paramedische ondersteuning;</w:t>
      </w:r>
    </w:p>
    <w:p w:rsidR="00880B57" w:rsidRPr="006D0949" w:rsidRDefault="00880B57" w:rsidP="00880B57">
      <w:pPr>
        <w:numPr>
          <w:ilvl w:val="0"/>
          <w:numId w:val="6"/>
        </w:numPr>
        <w:tabs>
          <w:tab w:val="clear" w:pos="799"/>
          <w:tab w:val="num" w:pos="1159"/>
        </w:tabs>
        <w:ind w:left="1159"/>
        <w:jc w:val="both"/>
        <w:rPr>
          <w:rFonts w:eastAsia="Calibri"/>
          <w:bCs/>
          <w:sz w:val="22"/>
          <w:szCs w:val="22"/>
          <w:lang w:val="nl-NL"/>
        </w:rPr>
      </w:pPr>
      <w:r w:rsidRPr="006D0949">
        <w:rPr>
          <w:rFonts w:eastAsia="Calibri"/>
          <w:bCs/>
          <w:sz w:val="22"/>
          <w:szCs w:val="22"/>
          <w:lang w:val="nl-NL"/>
        </w:rPr>
        <w:t>de steun bij de aankoop van pedagogisch materiaal en spellen.</w:t>
      </w:r>
    </w:p>
    <w:p w:rsidR="00880B57" w:rsidRPr="006D0949" w:rsidRDefault="00880B57" w:rsidP="00880B57">
      <w:pPr>
        <w:numPr>
          <w:ilvl w:val="0"/>
          <w:numId w:val="4"/>
        </w:numPr>
        <w:ind w:left="720"/>
        <w:jc w:val="both"/>
        <w:rPr>
          <w:rFonts w:eastAsia="Calibri"/>
          <w:sz w:val="22"/>
          <w:szCs w:val="22"/>
          <w:lang w:val="nl-NL"/>
        </w:rPr>
      </w:pPr>
      <w:r w:rsidRPr="006D0949">
        <w:rPr>
          <w:rFonts w:eastAsia="Calibri"/>
          <w:sz w:val="22"/>
          <w:szCs w:val="22"/>
          <w:lang w:val="nl-NL"/>
        </w:rPr>
        <w:t>de volledige of gedeeltelijke financiering van initiatieven met of voor kinderen van gebruikers om hun maatschappelijke integratie te bevorderen. Worden inzonderheid bedoeld de kosten voor het opzetten van acties met het oog op de sociale integratie van kansarme kinderen.</w:t>
      </w:r>
    </w:p>
    <w:p w:rsidR="008D0975" w:rsidRDefault="008D0975" w:rsidP="00734B79">
      <w:pPr>
        <w:rPr>
          <w:sz w:val="22"/>
          <w:szCs w:val="22"/>
          <w:lang w:val="nl-NL"/>
        </w:rPr>
      </w:pPr>
    </w:p>
    <w:p w:rsidR="00181D6F" w:rsidRPr="006D0949" w:rsidRDefault="008D0975" w:rsidP="00734B79">
      <w:pPr>
        <w:rPr>
          <w:b/>
          <w:sz w:val="22"/>
          <w:szCs w:val="22"/>
          <w:lang w:val="nl-NL"/>
        </w:rPr>
      </w:pPr>
      <w:r w:rsidRPr="006D0949">
        <w:rPr>
          <w:b/>
          <w:sz w:val="22"/>
          <w:szCs w:val="22"/>
          <w:lang w:val="nl-NL"/>
        </w:rPr>
        <w:t xml:space="preserve">Opgelet: </w:t>
      </w:r>
    </w:p>
    <w:p w:rsidR="008D0975" w:rsidRPr="006D0949" w:rsidRDefault="0055294B" w:rsidP="008D0975">
      <w:pPr>
        <w:jc w:val="both"/>
        <w:rPr>
          <w:sz w:val="22"/>
          <w:szCs w:val="22"/>
          <w:lang w:val="nl-NL"/>
        </w:rPr>
      </w:pPr>
      <w:r w:rsidRPr="006D0949">
        <w:rPr>
          <w:sz w:val="22"/>
          <w:szCs w:val="22"/>
          <w:lang w:val="nl-NL"/>
        </w:rPr>
        <w:t xml:space="preserve">Met de zesde Staatshervorming werd de bevoegdheid van professionele activering overgeheveld naar de Gewesten. Bijgevolg kunnen er vanuit het federale niveau geen initiatieven meer gefinancierd worden die </w:t>
      </w:r>
      <w:r w:rsidR="004B5D1F" w:rsidRPr="006D0949">
        <w:rPr>
          <w:sz w:val="22"/>
          <w:szCs w:val="22"/>
          <w:lang w:val="nl-NL"/>
        </w:rPr>
        <w:t xml:space="preserve">onder het bevoegdheidsdomein </w:t>
      </w:r>
      <w:r w:rsidR="008D0975" w:rsidRPr="006D0949">
        <w:rPr>
          <w:sz w:val="22"/>
          <w:szCs w:val="22"/>
          <w:lang w:val="nl-NL"/>
        </w:rPr>
        <w:t xml:space="preserve">professionele activering </w:t>
      </w:r>
      <w:r w:rsidR="004B5D1F" w:rsidRPr="006D0949">
        <w:rPr>
          <w:sz w:val="22"/>
          <w:szCs w:val="22"/>
          <w:lang w:val="nl-NL"/>
        </w:rPr>
        <w:t xml:space="preserve">vallen. Initiatieven voor sociale activering kunnen daarentegen nog wel </w:t>
      </w:r>
      <w:r w:rsidR="004D311A" w:rsidRPr="006D0949">
        <w:rPr>
          <w:sz w:val="22"/>
          <w:szCs w:val="22"/>
          <w:lang w:val="nl-NL"/>
        </w:rPr>
        <w:t>in aanmerking komen voor financiering.</w:t>
      </w:r>
      <w:r w:rsidR="004B5D1F" w:rsidRPr="006D0949">
        <w:rPr>
          <w:sz w:val="22"/>
          <w:szCs w:val="22"/>
          <w:lang w:val="nl-NL"/>
        </w:rPr>
        <w:t xml:space="preserve"> </w:t>
      </w:r>
    </w:p>
    <w:p w:rsidR="004B5D1F" w:rsidRPr="006D0949" w:rsidRDefault="004B5D1F" w:rsidP="008D0975">
      <w:pPr>
        <w:jc w:val="both"/>
        <w:rPr>
          <w:sz w:val="22"/>
          <w:szCs w:val="22"/>
          <w:lang w:val="nl-NL"/>
        </w:rPr>
      </w:pPr>
      <w:r w:rsidRPr="006D0949">
        <w:rPr>
          <w:sz w:val="22"/>
          <w:szCs w:val="22"/>
          <w:lang w:val="nl-NL"/>
        </w:rPr>
        <w:t xml:space="preserve">De grens tussen professionele en sociale activering wordt </w:t>
      </w:r>
      <w:r w:rsidR="008D0975" w:rsidRPr="006D0949">
        <w:rPr>
          <w:sz w:val="22"/>
          <w:szCs w:val="22"/>
          <w:lang w:val="nl-NL"/>
        </w:rPr>
        <w:t xml:space="preserve">hierbij </w:t>
      </w:r>
      <w:r w:rsidRPr="006D0949">
        <w:rPr>
          <w:sz w:val="22"/>
          <w:szCs w:val="22"/>
          <w:lang w:val="nl-NL"/>
        </w:rPr>
        <w:t>als volgt getrokken:</w:t>
      </w:r>
    </w:p>
    <w:p w:rsidR="004B5D1F" w:rsidRPr="006D0949" w:rsidRDefault="004B5D1F" w:rsidP="008D0975">
      <w:pPr>
        <w:jc w:val="both"/>
        <w:rPr>
          <w:sz w:val="22"/>
          <w:szCs w:val="22"/>
          <w:lang w:val="nl-NL"/>
        </w:rPr>
      </w:pPr>
      <w:r w:rsidRPr="006D0949">
        <w:rPr>
          <w:sz w:val="22"/>
          <w:szCs w:val="22"/>
          <w:lang w:val="nl-NL"/>
        </w:rPr>
        <w:t>Vallen onder sociale activering: vooropleidingen en workshops gericht op het ontwikkelen en bijbrengen van algemene vaardigheden, alsook vaardigheden die voorbereiden op een professioneel traject (vb. werken rond taal, zelfvertrouwen en positief zelfbeeld, communicatievaardigheden, mobiliteit, (</w:t>
      </w:r>
      <w:proofErr w:type="spellStart"/>
      <w:r w:rsidRPr="006D0949">
        <w:rPr>
          <w:sz w:val="22"/>
          <w:szCs w:val="22"/>
          <w:lang w:val="nl-NL"/>
        </w:rPr>
        <w:t>arbeids</w:t>
      </w:r>
      <w:proofErr w:type="spellEnd"/>
      <w:r w:rsidRPr="006D0949">
        <w:rPr>
          <w:sz w:val="22"/>
          <w:szCs w:val="22"/>
          <w:lang w:val="nl-NL"/>
        </w:rPr>
        <w:t>)attitudetraining, sollicitatietraining, …).</w:t>
      </w:r>
    </w:p>
    <w:p w:rsidR="004B5D1F" w:rsidRPr="006D0949" w:rsidRDefault="003577E6" w:rsidP="003577E6">
      <w:pPr>
        <w:pStyle w:val="Lijstalinea"/>
        <w:ind w:left="1428"/>
        <w:jc w:val="both"/>
        <w:rPr>
          <w:b/>
          <w:sz w:val="22"/>
          <w:szCs w:val="22"/>
          <w:lang w:val="nl-NL"/>
        </w:rPr>
      </w:pPr>
      <w:r w:rsidRPr="006D0949">
        <w:rPr>
          <w:b/>
          <w:sz w:val="22"/>
          <w:szCs w:val="22"/>
          <w:lang w:val="nl-NL"/>
        </w:rPr>
        <w:t xml:space="preserve">=&gt; </w:t>
      </w:r>
      <w:r w:rsidR="004B5D1F" w:rsidRPr="006D0949">
        <w:rPr>
          <w:b/>
          <w:sz w:val="22"/>
          <w:szCs w:val="22"/>
          <w:lang w:val="nl-NL"/>
        </w:rPr>
        <w:t>Komen in aanmerking voor de toelage voor participatie en sociale activering</w:t>
      </w:r>
    </w:p>
    <w:p w:rsidR="004B5D1F" w:rsidRPr="006D0949" w:rsidRDefault="004D311A" w:rsidP="008D0975">
      <w:pPr>
        <w:jc w:val="both"/>
        <w:rPr>
          <w:sz w:val="22"/>
          <w:szCs w:val="22"/>
          <w:lang w:val="nl-NL"/>
        </w:rPr>
      </w:pPr>
      <w:r w:rsidRPr="006D0949">
        <w:rPr>
          <w:sz w:val="22"/>
          <w:szCs w:val="22"/>
          <w:lang w:val="nl-NL"/>
        </w:rPr>
        <w:t>Vallen onder p</w:t>
      </w:r>
      <w:r w:rsidR="004B5D1F" w:rsidRPr="006D0949">
        <w:rPr>
          <w:sz w:val="22"/>
          <w:szCs w:val="22"/>
          <w:lang w:val="nl-NL"/>
        </w:rPr>
        <w:t xml:space="preserve">rofessionele activering: vooropleidingen die uitsluitend gericht zijn op het verwerven van </w:t>
      </w:r>
      <w:proofErr w:type="spellStart"/>
      <w:r w:rsidR="004B5D1F" w:rsidRPr="006D0949">
        <w:rPr>
          <w:sz w:val="22"/>
          <w:szCs w:val="22"/>
          <w:lang w:val="nl-NL"/>
        </w:rPr>
        <w:t>beroepsspecifieke</w:t>
      </w:r>
      <w:proofErr w:type="spellEnd"/>
      <w:r w:rsidR="004B5D1F" w:rsidRPr="006D0949">
        <w:rPr>
          <w:sz w:val="22"/>
          <w:szCs w:val="22"/>
          <w:lang w:val="nl-NL"/>
        </w:rPr>
        <w:t xml:space="preserve"> competenties (vb. vooropleiding bouw, horeca) en eigenlijke beroepsopleidingen.</w:t>
      </w:r>
    </w:p>
    <w:p w:rsidR="004B5D1F" w:rsidRPr="006D0949" w:rsidRDefault="00E2075E" w:rsidP="003577E6">
      <w:pPr>
        <w:pStyle w:val="Lijstalinea"/>
        <w:ind w:left="1428"/>
        <w:jc w:val="both"/>
        <w:rPr>
          <w:b/>
          <w:sz w:val="22"/>
          <w:szCs w:val="22"/>
          <w:lang w:val="nl-NL"/>
        </w:rPr>
      </w:pPr>
      <w:r w:rsidRPr="006D0949">
        <w:rPr>
          <w:b/>
          <w:sz w:val="22"/>
          <w:szCs w:val="22"/>
          <w:lang w:val="nl-NL"/>
        </w:rPr>
        <w:t xml:space="preserve"> </w:t>
      </w:r>
      <w:r w:rsidR="003577E6" w:rsidRPr="006D0949">
        <w:rPr>
          <w:b/>
          <w:sz w:val="22"/>
          <w:szCs w:val="22"/>
          <w:lang w:val="nl-NL"/>
        </w:rPr>
        <w:t xml:space="preserve">=&gt; </w:t>
      </w:r>
      <w:r w:rsidR="004B5D1F" w:rsidRPr="006D0949">
        <w:rPr>
          <w:b/>
          <w:sz w:val="22"/>
          <w:szCs w:val="22"/>
          <w:lang w:val="nl-NL"/>
        </w:rPr>
        <w:t>Komen NIET in aanmerking voor de toelage voor participatie en sociale activering aangezien ze zich volledig op het domein van de professionele activering bevinden</w:t>
      </w:r>
    </w:p>
    <w:p w:rsidR="00160E8D" w:rsidRDefault="00160E8D">
      <w:pPr>
        <w:rPr>
          <w:b/>
          <w:sz w:val="22"/>
          <w:szCs w:val="22"/>
          <w:lang w:val="nl-NL"/>
        </w:rPr>
      </w:pPr>
      <w:r>
        <w:rPr>
          <w:b/>
          <w:sz w:val="22"/>
          <w:szCs w:val="22"/>
          <w:lang w:val="nl-NL"/>
        </w:rPr>
        <w:br w:type="page"/>
      </w:r>
    </w:p>
    <w:p w:rsidR="00B32FA4" w:rsidRPr="00FC159D" w:rsidRDefault="00BD7A6E" w:rsidP="000E3D99">
      <w:pPr>
        <w:pStyle w:val="Stijl1"/>
      </w:pPr>
      <w:bookmarkStart w:id="3" w:name="_Toc506398904"/>
      <w:r>
        <w:t>Voor w</w:t>
      </w:r>
      <w:r w:rsidR="0053665C">
        <w:t>ie</w:t>
      </w:r>
      <w:r w:rsidR="00734B79">
        <w:t>?</w:t>
      </w:r>
      <w:bookmarkEnd w:id="3"/>
    </w:p>
    <w:p w:rsidR="00A76F34" w:rsidRPr="00160E8D" w:rsidRDefault="00A76F34" w:rsidP="00A76F34">
      <w:pPr>
        <w:jc w:val="both"/>
        <w:rPr>
          <w:rFonts w:ascii="Calibri" w:eastAsia="Calibri" w:hAnsi="Calibri" w:cs="Times New Roman"/>
          <w:sz w:val="22"/>
          <w:szCs w:val="22"/>
          <w:lang w:val="nl-NL"/>
        </w:rPr>
      </w:pPr>
    </w:p>
    <w:p w:rsidR="00A76F34" w:rsidRPr="00160E8D" w:rsidRDefault="00A76F34" w:rsidP="00A76F34">
      <w:pPr>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De toelage richt zich tot de gebruiker van het OCMW in de ruime zin, met name de persoon die gebruik maakt van gelijk welke vorm van openbare dienstverlening die behoort tot de opdrachten van het OCMW. </w:t>
      </w:r>
      <w:r w:rsidR="00441039" w:rsidRPr="00160E8D">
        <w:rPr>
          <w:rFonts w:ascii="Calibri" w:eastAsia="Calibri" w:hAnsi="Calibri" w:cs="Times New Roman"/>
          <w:sz w:val="22"/>
          <w:szCs w:val="22"/>
          <w:lang w:val="nl-NL"/>
        </w:rPr>
        <w:t xml:space="preserve">Die dienstverlening moet in de ruimst mogelijke betekenis begrepen worden en mag niet beperkt worden tot personen die recht hebben op </w:t>
      </w:r>
      <w:r w:rsidR="00EF1512" w:rsidRPr="00160E8D">
        <w:rPr>
          <w:rFonts w:ascii="Calibri" w:eastAsia="Calibri" w:hAnsi="Calibri" w:cs="Times New Roman"/>
          <w:sz w:val="22"/>
          <w:szCs w:val="22"/>
          <w:lang w:val="nl-NL"/>
        </w:rPr>
        <w:t xml:space="preserve">een </w:t>
      </w:r>
      <w:r w:rsidR="00441039" w:rsidRPr="00160E8D">
        <w:rPr>
          <w:rFonts w:ascii="Calibri" w:eastAsia="Calibri" w:hAnsi="Calibri" w:cs="Times New Roman"/>
          <w:sz w:val="22"/>
          <w:szCs w:val="22"/>
          <w:lang w:val="nl-NL"/>
        </w:rPr>
        <w:t xml:space="preserve">leefloon (of </w:t>
      </w:r>
      <w:r w:rsidR="00EF1512" w:rsidRPr="00160E8D">
        <w:rPr>
          <w:rFonts w:ascii="Calibri" w:eastAsia="Calibri" w:hAnsi="Calibri" w:cs="Times New Roman"/>
          <w:sz w:val="22"/>
          <w:szCs w:val="22"/>
          <w:lang w:val="nl-NL"/>
        </w:rPr>
        <w:t xml:space="preserve">een </w:t>
      </w:r>
      <w:r w:rsidR="00441039" w:rsidRPr="00160E8D">
        <w:rPr>
          <w:rFonts w:ascii="Calibri" w:eastAsia="Calibri" w:hAnsi="Calibri" w:cs="Times New Roman"/>
          <w:sz w:val="22"/>
          <w:szCs w:val="22"/>
          <w:lang w:val="nl-NL"/>
        </w:rPr>
        <w:t>andere sociale uitkering).</w:t>
      </w:r>
    </w:p>
    <w:p w:rsidR="003577E6" w:rsidRPr="00160E8D" w:rsidRDefault="00441039" w:rsidP="00441039">
      <w:pPr>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Personen die geen recht hebben op leefloon maar toch </w:t>
      </w:r>
      <w:r w:rsidR="00B94302" w:rsidRPr="00160E8D">
        <w:rPr>
          <w:rFonts w:ascii="Calibri" w:eastAsia="Calibri" w:hAnsi="Calibri" w:cs="Times New Roman"/>
          <w:sz w:val="22"/>
          <w:szCs w:val="22"/>
          <w:lang w:val="nl-NL"/>
        </w:rPr>
        <w:t xml:space="preserve">een </w:t>
      </w:r>
      <w:r w:rsidRPr="00160E8D">
        <w:rPr>
          <w:rFonts w:ascii="Calibri" w:eastAsia="Calibri" w:hAnsi="Calibri" w:cs="Times New Roman"/>
          <w:sz w:val="22"/>
          <w:szCs w:val="22"/>
          <w:lang w:val="nl-NL"/>
        </w:rPr>
        <w:t xml:space="preserve">beroep doen op een dienstverlening van het OCMW (zoals kinderdagverblijf, poetshulp, thuismaaltijden, rustoord, serviceflats, advies en administratieve hulp met uitkeringen en formaliteiten, budgetbegeleiding, </w:t>
      </w:r>
      <w:r w:rsidR="002B03DC" w:rsidRPr="00160E8D">
        <w:rPr>
          <w:rFonts w:ascii="Calibri" w:eastAsia="Calibri" w:hAnsi="Calibri" w:cs="Times New Roman"/>
          <w:sz w:val="22"/>
          <w:szCs w:val="22"/>
          <w:lang w:val="nl-NL"/>
        </w:rPr>
        <w:t xml:space="preserve">gas- en </w:t>
      </w:r>
      <w:proofErr w:type="spellStart"/>
      <w:r w:rsidR="002B03DC" w:rsidRPr="00160E8D">
        <w:rPr>
          <w:rFonts w:ascii="Calibri" w:eastAsia="Calibri" w:hAnsi="Calibri" w:cs="Times New Roman"/>
          <w:sz w:val="22"/>
          <w:szCs w:val="22"/>
          <w:lang w:val="nl-NL"/>
        </w:rPr>
        <w:t>electriciteitsfonds</w:t>
      </w:r>
      <w:proofErr w:type="spellEnd"/>
      <w:r w:rsidR="002B03DC" w:rsidRPr="00160E8D">
        <w:rPr>
          <w:rFonts w:ascii="Calibri" w:eastAsia="Calibri" w:hAnsi="Calibri" w:cs="Times New Roman"/>
          <w:sz w:val="22"/>
          <w:szCs w:val="22"/>
          <w:lang w:val="nl-NL"/>
        </w:rPr>
        <w:t xml:space="preserve">, </w:t>
      </w:r>
      <w:r w:rsidR="00CB61C2" w:rsidRPr="00160E8D">
        <w:rPr>
          <w:rFonts w:ascii="Calibri" w:eastAsia="Calibri" w:hAnsi="Calibri" w:cs="Times New Roman"/>
          <w:sz w:val="22"/>
          <w:szCs w:val="22"/>
          <w:lang w:val="nl-NL"/>
        </w:rPr>
        <w:t xml:space="preserve"> art.60,</w:t>
      </w:r>
      <w:r w:rsidRPr="00160E8D">
        <w:rPr>
          <w:rFonts w:ascii="Calibri" w:eastAsia="Calibri" w:hAnsi="Calibri" w:cs="Times New Roman"/>
          <w:sz w:val="22"/>
          <w:szCs w:val="22"/>
          <w:lang w:val="nl-NL"/>
        </w:rPr>
        <w:t xml:space="preserve">…) kunnen dus ook een voordeel genieten in het kader van deze maatregel. </w:t>
      </w:r>
    </w:p>
    <w:p w:rsidR="00441039" w:rsidRPr="00160E8D" w:rsidRDefault="00441039" w:rsidP="00441039">
      <w:pPr>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Het komt aan het OCMW toe om de billijkheid af te wegen bij het toekennen van een welbepaald voordeel.</w:t>
      </w:r>
    </w:p>
    <w:p w:rsidR="00283343" w:rsidRPr="00160E8D" w:rsidRDefault="00283343">
      <w:pPr>
        <w:rPr>
          <w:rFonts w:ascii="Calibri" w:eastAsia="Calibri" w:hAnsi="Calibri" w:cs="Times New Roman"/>
          <w:b/>
          <w:sz w:val="22"/>
          <w:szCs w:val="22"/>
          <w:lang w:val="nl-NL"/>
        </w:rPr>
      </w:pPr>
    </w:p>
    <w:p w:rsidR="00EC5D8D" w:rsidRPr="00160E8D" w:rsidRDefault="00EC5D8D" w:rsidP="00441039">
      <w:pPr>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t>Bijzonderheden:</w:t>
      </w:r>
    </w:p>
    <w:p w:rsidR="003F6CF5" w:rsidRPr="00160E8D" w:rsidRDefault="00282EEF" w:rsidP="00EC5D8D">
      <w:pPr>
        <w:pStyle w:val="Lijstalinea"/>
        <w:numPr>
          <w:ilvl w:val="0"/>
          <w:numId w:val="8"/>
        </w:numPr>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t xml:space="preserve">Personen </w:t>
      </w:r>
      <w:r w:rsidR="000C38D4" w:rsidRPr="00160E8D">
        <w:rPr>
          <w:rFonts w:ascii="Calibri" w:eastAsia="Calibri" w:hAnsi="Calibri" w:cs="Times New Roman"/>
          <w:b/>
          <w:sz w:val="22"/>
          <w:szCs w:val="22"/>
          <w:lang w:val="nl-NL"/>
        </w:rPr>
        <w:t xml:space="preserve">die onwettig op het grondgebied </w:t>
      </w:r>
      <w:r w:rsidR="00691615" w:rsidRPr="00160E8D">
        <w:rPr>
          <w:rFonts w:ascii="Calibri" w:eastAsia="Calibri" w:hAnsi="Calibri" w:cs="Times New Roman"/>
          <w:b/>
          <w:sz w:val="22"/>
          <w:szCs w:val="22"/>
          <w:lang w:val="nl-NL"/>
        </w:rPr>
        <w:t>verblijven,</w:t>
      </w:r>
      <w:r w:rsidR="000C38D4" w:rsidRPr="00160E8D">
        <w:rPr>
          <w:rFonts w:ascii="Calibri" w:eastAsia="Calibri" w:hAnsi="Calibri" w:cs="Times New Roman"/>
          <w:b/>
          <w:sz w:val="22"/>
          <w:szCs w:val="22"/>
          <w:lang w:val="nl-NL"/>
        </w:rPr>
        <w:t xml:space="preserve"> behoren niet tot de doelgroep</w:t>
      </w:r>
    </w:p>
    <w:p w:rsidR="000C38D4" w:rsidRPr="00160E8D" w:rsidRDefault="000C38D4" w:rsidP="000C38D4">
      <w:pPr>
        <w:pStyle w:val="Lijstalinea"/>
        <w:ind w:left="1068"/>
        <w:jc w:val="both"/>
        <w:rPr>
          <w:rFonts w:ascii="Calibri" w:eastAsia="Calibri" w:hAnsi="Calibri" w:cs="Times New Roman"/>
          <w:b/>
          <w:sz w:val="22"/>
          <w:szCs w:val="22"/>
          <w:lang w:val="nl-NL"/>
        </w:rPr>
      </w:pPr>
    </w:p>
    <w:p w:rsidR="00282EEF" w:rsidRPr="00160E8D" w:rsidRDefault="00282EEF" w:rsidP="00EC5D8D">
      <w:pPr>
        <w:pStyle w:val="Lijstalinea"/>
        <w:numPr>
          <w:ilvl w:val="0"/>
          <w:numId w:val="8"/>
        </w:numPr>
        <w:jc w:val="both"/>
        <w:rPr>
          <w:rFonts w:ascii="Calibri" w:eastAsia="Calibri" w:hAnsi="Calibri" w:cs="Times New Roman"/>
          <w:b/>
          <w:sz w:val="22"/>
          <w:szCs w:val="22"/>
          <w:lang w:val="nl-NL"/>
        </w:rPr>
      </w:pPr>
      <w:r w:rsidRPr="00160E8D">
        <w:rPr>
          <w:rFonts w:ascii="Calibri" w:eastAsia="Calibri" w:hAnsi="Calibri" w:cs="Times New Roman"/>
          <w:b/>
          <w:sz w:val="22"/>
          <w:szCs w:val="22"/>
          <w:lang w:val="nl-NL"/>
        </w:rPr>
        <w:t>Bewoners LOI</w:t>
      </w:r>
    </w:p>
    <w:p w:rsidR="00B94302" w:rsidRPr="00160E8D" w:rsidRDefault="001A4E65" w:rsidP="003F6CF5">
      <w:pPr>
        <w:pStyle w:val="Lijstalinea"/>
        <w:ind w:left="1068"/>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Asielzoekers en niet begeleide minderjarige vreemdelingen die in een lokaal opvanginitiatief verblijven overeenkomstig de wet van 12 januari 2007 </w:t>
      </w:r>
      <w:r w:rsidR="0014466B" w:rsidRPr="00160E8D">
        <w:rPr>
          <w:rFonts w:ascii="Calibri" w:eastAsia="Calibri" w:hAnsi="Calibri" w:cs="Times New Roman"/>
          <w:sz w:val="22"/>
          <w:szCs w:val="22"/>
          <w:lang w:val="nl-NL"/>
        </w:rPr>
        <w:t xml:space="preserve">betreffende de opvang van asielzoekers en van bepaalde andere categorieën van vreemdelingen </w:t>
      </w:r>
      <w:r w:rsidRPr="00160E8D">
        <w:rPr>
          <w:rFonts w:ascii="Calibri" w:eastAsia="Calibri" w:hAnsi="Calibri" w:cs="Times New Roman"/>
          <w:sz w:val="22"/>
          <w:szCs w:val="22"/>
          <w:lang w:val="nl-NL"/>
        </w:rPr>
        <w:t xml:space="preserve">behoren niet tot de doelgroep aangezien deze personen aanspraak kunnen maken op de materiële hulp die in dat kader wordt aangeboden (zoals huisvesting, medische, </w:t>
      </w:r>
      <w:r w:rsidR="00691615" w:rsidRPr="00160E8D">
        <w:rPr>
          <w:rFonts w:ascii="Calibri" w:eastAsia="Calibri" w:hAnsi="Calibri" w:cs="Times New Roman"/>
          <w:sz w:val="22"/>
          <w:szCs w:val="22"/>
          <w:lang w:val="nl-NL"/>
        </w:rPr>
        <w:t xml:space="preserve">maatschappelijke </w:t>
      </w:r>
      <w:r w:rsidRPr="00160E8D">
        <w:rPr>
          <w:rFonts w:ascii="Calibri" w:eastAsia="Calibri" w:hAnsi="Calibri" w:cs="Times New Roman"/>
          <w:sz w:val="22"/>
          <w:szCs w:val="22"/>
          <w:lang w:val="nl-NL"/>
        </w:rPr>
        <w:t xml:space="preserve">en psychologische begeleiding en de toekenning van een dagvergoeding). </w:t>
      </w:r>
    </w:p>
    <w:p w:rsidR="00F23FD2" w:rsidRPr="00160E8D" w:rsidRDefault="00F23FD2" w:rsidP="00B74463">
      <w:pPr>
        <w:pStyle w:val="Lijstalinea"/>
        <w:ind w:left="1068"/>
        <w:jc w:val="both"/>
        <w:rPr>
          <w:rFonts w:ascii="Calibri" w:eastAsia="Calibri" w:hAnsi="Calibri" w:cs="Times New Roman"/>
          <w:sz w:val="22"/>
          <w:szCs w:val="22"/>
          <w:lang w:val="nl-NL"/>
        </w:rPr>
      </w:pPr>
    </w:p>
    <w:p w:rsidR="00F23FD2" w:rsidRPr="00160E8D" w:rsidRDefault="00F23FD2" w:rsidP="00F23FD2">
      <w:pPr>
        <w:pStyle w:val="Lijstalinea"/>
        <w:ind w:left="1068"/>
        <w:jc w:val="both"/>
        <w:rPr>
          <w:rFonts w:ascii="Calibri" w:eastAsia="Calibri" w:hAnsi="Calibri" w:cs="Times New Roman"/>
          <w:i/>
          <w:sz w:val="22"/>
          <w:szCs w:val="22"/>
          <w:lang w:val="nl-NL"/>
        </w:rPr>
      </w:pPr>
    </w:p>
    <w:p w:rsidR="003F6CF5" w:rsidRPr="00160E8D" w:rsidRDefault="003F6CF5" w:rsidP="00691615">
      <w:pPr>
        <w:pStyle w:val="Lijstalinea"/>
        <w:numPr>
          <w:ilvl w:val="0"/>
          <w:numId w:val="8"/>
        </w:numPr>
        <w:jc w:val="both"/>
        <w:rPr>
          <w:rFonts w:ascii="Calibri" w:eastAsia="Calibri" w:hAnsi="Calibri" w:cs="Times New Roman"/>
          <w:b/>
          <w:i/>
          <w:sz w:val="22"/>
          <w:szCs w:val="22"/>
          <w:lang w:val="nl-NL"/>
        </w:rPr>
      </w:pPr>
      <w:r w:rsidRPr="00160E8D">
        <w:rPr>
          <w:rFonts w:ascii="Calibri" w:eastAsia="Calibri" w:hAnsi="Calibri" w:cs="Times New Roman"/>
          <w:b/>
          <w:sz w:val="22"/>
          <w:szCs w:val="22"/>
          <w:lang w:val="nl-NL"/>
        </w:rPr>
        <w:t>Activiteiten gericht op een gemengd publiek</w:t>
      </w:r>
    </w:p>
    <w:p w:rsidR="00160E8D" w:rsidRDefault="002034C4" w:rsidP="00160E8D">
      <w:pPr>
        <w:pStyle w:val="Lijstalinea"/>
        <w:ind w:left="1068"/>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Indien het OCMW een activiteit organiseert of ondersteunt gericht op een gemengd publiek, d.i. samengesteld uit gebruikers en niet-gebruikers, dan kan enkel de financiering ten behoeve van de gebruikers ten laste worden genomen. </w:t>
      </w:r>
      <w:r w:rsidR="007F03FD" w:rsidRPr="00160E8D">
        <w:rPr>
          <w:rFonts w:ascii="Calibri" w:eastAsia="Calibri" w:hAnsi="Calibri" w:cs="Times New Roman"/>
          <w:sz w:val="22"/>
          <w:szCs w:val="22"/>
          <w:lang w:val="nl-NL"/>
        </w:rPr>
        <w:t>In</w:t>
      </w:r>
      <w:r w:rsidR="00CD7099" w:rsidRPr="00160E8D">
        <w:rPr>
          <w:rFonts w:ascii="Calibri" w:eastAsia="Calibri" w:hAnsi="Calibri" w:cs="Times New Roman"/>
          <w:sz w:val="22"/>
          <w:szCs w:val="22"/>
          <w:lang w:val="nl-NL"/>
        </w:rPr>
        <w:t>dien de deelnemers duidelijk kunnen gedefinieerd worden, dan moet er een verdeelsleutel toegepast worden op de gemaakte kosten volgens het aantal gebruikers. Bijvoorbeeld: bij een groep van 20 personen waarvan er 6 tot de doelgroep behoren</w:t>
      </w:r>
      <w:r w:rsidR="002C2522" w:rsidRPr="00160E8D">
        <w:rPr>
          <w:rFonts w:ascii="Calibri" w:eastAsia="Calibri" w:hAnsi="Calibri" w:cs="Times New Roman"/>
          <w:sz w:val="22"/>
          <w:szCs w:val="22"/>
          <w:lang w:val="nl-NL"/>
        </w:rPr>
        <w:t xml:space="preserve">, kan </w:t>
      </w:r>
      <w:r w:rsidR="00CD7099" w:rsidRPr="00160E8D">
        <w:rPr>
          <w:rFonts w:ascii="Calibri" w:eastAsia="Calibri" w:hAnsi="Calibri" w:cs="Times New Roman"/>
          <w:sz w:val="22"/>
          <w:szCs w:val="22"/>
          <w:lang w:val="nl-NL"/>
        </w:rPr>
        <w:t>6/20 van de uitgave ten laste worden genomen.</w:t>
      </w:r>
      <w:r w:rsidR="002C2522" w:rsidRPr="00160E8D">
        <w:rPr>
          <w:rFonts w:ascii="Calibri" w:eastAsia="Calibri" w:hAnsi="Calibri" w:cs="Times New Roman"/>
          <w:sz w:val="22"/>
          <w:szCs w:val="22"/>
          <w:lang w:val="nl-NL"/>
        </w:rPr>
        <w:t xml:space="preserve"> Indien de deelnemers niet duidelijk kunnen gedefinieerd worden, dan moet men een verdeelsleutel toepassen aan de hand van een raming.</w:t>
      </w:r>
      <w:r w:rsidR="005D6718" w:rsidRPr="00160E8D">
        <w:rPr>
          <w:rFonts w:ascii="Calibri" w:eastAsia="Calibri" w:hAnsi="Calibri" w:cs="Times New Roman"/>
          <w:sz w:val="22"/>
          <w:szCs w:val="22"/>
          <w:lang w:val="nl-NL"/>
        </w:rPr>
        <w:t xml:space="preserve"> </w:t>
      </w:r>
      <w:r w:rsidR="00EC5D8D" w:rsidRPr="00160E8D">
        <w:rPr>
          <w:rFonts w:ascii="Calibri" w:eastAsia="Calibri" w:hAnsi="Calibri" w:cs="Times New Roman"/>
          <w:sz w:val="22"/>
          <w:szCs w:val="22"/>
          <w:lang w:val="nl-NL"/>
        </w:rPr>
        <w:t xml:space="preserve">De motivering </w:t>
      </w:r>
      <w:r w:rsidR="00F64C84" w:rsidRPr="00160E8D">
        <w:rPr>
          <w:rFonts w:ascii="Calibri" w:eastAsia="Calibri" w:hAnsi="Calibri" w:cs="Times New Roman"/>
          <w:sz w:val="22"/>
          <w:szCs w:val="22"/>
          <w:lang w:val="nl-NL"/>
        </w:rPr>
        <w:t xml:space="preserve">voor de raming </w:t>
      </w:r>
      <w:r w:rsidR="00EC5D8D" w:rsidRPr="00160E8D">
        <w:rPr>
          <w:rFonts w:ascii="Calibri" w:eastAsia="Calibri" w:hAnsi="Calibri" w:cs="Times New Roman"/>
          <w:sz w:val="22"/>
          <w:szCs w:val="22"/>
          <w:lang w:val="nl-NL"/>
        </w:rPr>
        <w:t xml:space="preserve">moet </w:t>
      </w:r>
      <w:r w:rsidR="005D6718" w:rsidRPr="00160E8D">
        <w:rPr>
          <w:rFonts w:ascii="Calibri" w:eastAsia="Calibri" w:hAnsi="Calibri" w:cs="Times New Roman"/>
          <w:sz w:val="22"/>
          <w:szCs w:val="22"/>
          <w:lang w:val="nl-NL"/>
        </w:rPr>
        <w:t xml:space="preserve">de realiteit zoveel mogelijk benaderen </w:t>
      </w:r>
      <w:r w:rsidR="00EC5D8D" w:rsidRPr="00160E8D">
        <w:rPr>
          <w:rFonts w:ascii="Calibri" w:eastAsia="Calibri" w:hAnsi="Calibri" w:cs="Times New Roman"/>
          <w:sz w:val="22"/>
          <w:szCs w:val="22"/>
          <w:lang w:val="nl-NL"/>
        </w:rPr>
        <w:t xml:space="preserve">en </w:t>
      </w:r>
      <w:r w:rsidR="007F03FD" w:rsidRPr="00160E8D">
        <w:rPr>
          <w:rFonts w:ascii="Calibri" w:eastAsia="Calibri" w:hAnsi="Calibri" w:cs="Times New Roman"/>
          <w:sz w:val="22"/>
          <w:szCs w:val="22"/>
          <w:lang w:val="nl-NL"/>
        </w:rPr>
        <w:t xml:space="preserve">ter beschikking </w:t>
      </w:r>
      <w:r w:rsidR="00F23FD2" w:rsidRPr="00160E8D">
        <w:rPr>
          <w:rFonts w:ascii="Calibri" w:eastAsia="Calibri" w:hAnsi="Calibri" w:cs="Times New Roman"/>
          <w:sz w:val="22"/>
          <w:szCs w:val="22"/>
          <w:lang w:val="nl-NL"/>
        </w:rPr>
        <w:t xml:space="preserve">kunnen gesteld worden </w:t>
      </w:r>
      <w:r w:rsidR="003577E6" w:rsidRPr="00160E8D">
        <w:rPr>
          <w:rFonts w:ascii="Calibri" w:eastAsia="Calibri" w:hAnsi="Calibri" w:cs="Times New Roman"/>
          <w:sz w:val="22"/>
          <w:szCs w:val="22"/>
          <w:lang w:val="nl-NL"/>
        </w:rPr>
        <w:t xml:space="preserve">bij een controle vanuit de administratie. </w:t>
      </w:r>
      <w:r w:rsidR="00160E8D">
        <w:rPr>
          <w:rFonts w:ascii="Calibri" w:eastAsia="Calibri" w:hAnsi="Calibri" w:cs="Times New Roman"/>
          <w:sz w:val="22"/>
          <w:szCs w:val="22"/>
          <w:lang w:val="nl-NL"/>
        </w:rPr>
        <w:br w:type="page"/>
      </w:r>
    </w:p>
    <w:p w:rsidR="00F12E2D" w:rsidRPr="00160E8D" w:rsidRDefault="00F12E2D" w:rsidP="00EA781A">
      <w:pPr>
        <w:pStyle w:val="Lijstalinea"/>
        <w:numPr>
          <w:ilvl w:val="0"/>
          <w:numId w:val="8"/>
        </w:numPr>
        <w:rPr>
          <w:b/>
          <w:sz w:val="22"/>
          <w:szCs w:val="22"/>
          <w:lang w:val="nl-NL"/>
        </w:rPr>
      </w:pPr>
      <w:r w:rsidRPr="00160E8D">
        <w:rPr>
          <w:b/>
          <w:sz w:val="22"/>
          <w:szCs w:val="22"/>
          <w:lang w:val="nl-NL"/>
        </w:rPr>
        <w:t>Resultaatindicatoren</w:t>
      </w:r>
    </w:p>
    <w:p w:rsidR="00F12E2D" w:rsidRPr="00160E8D" w:rsidRDefault="00F12E2D" w:rsidP="0058602A">
      <w:pPr>
        <w:pStyle w:val="Lijstalinea"/>
        <w:ind w:left="1068"/>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Om een beeld te krijgen van het aantal gebruikers dat gebruik heeft gemaakt van een bepaalde maatregel, moeten er bij de verantwoording in het uniek jaarverslag een aantal gegevens ingevuld worden die betrekking hebben op de doelgroep. </w:t>
      </w:r>
    </w:p>
    <w:p w:rsidR="00F12E2D" w:rsidRPr="00160E8D" w:rsidRDefault="00CA69AB" w:rsidP="0058602A">
      <w:pPr>
        <w:pStyle w:val="Lijstalinea"/>
        <w:ind w:left="1068"/>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Zo moet er </w:t>
      </w:r>
      <w:r w:rsidRPr="00160E8D">
        <w:rPr>
          <w:rFonts w:ascii="Calibri" w:eastAsia="Calibri" w:hAnsi="Calibri" w:cs="Times New Roman"/>
          <w:sz w:val="22"/>
          <w:szCs w:val="22"/>
          <w:u w:val="single"/>
          <w:lang w:val="nl-NL"/>
        </w:rPr>
        <w:t>per</w:t>
      </w:r>
      <w:r w:rsidR="00F12E2D" w:rsidRPr="00160E8D">
        <w:rPr>
          <w:rFonts w:ascii="Calibri" w:eastAsia="Calibri" w:hAnsi="Calibri" w:cs="Times New Roman"/>
          <w:sz w:val="22"/>
          <w:szCs w:val="22"/>
          <w:u w:val="single"/>
          <w:lang w:val="nl-NL"/>
        </w:rPr>
        <w:t xml:space="preserve"> activiteit</w:t>
      </w:r>
      <w:r w:rsidR="00F12E2D" w:rsidRPr="00160E8D">
        <w:rPr>
          <w:rFonts w:ascii="Calibri" w:eastAsia="Calibri" w:hAnsi="Calibri" w:cs="Times New Roman"/>
          <w:sz w:val="22"/>
          <w:szCs w:val="22"/>
          <w:lang w:val="nl-NL"/>
        </w:rPr>
        <w:t xml:space="preserve"> het aantal deelnemers inge</w:t>
      </w:r>
      <w:r w:rsidR="00D5520B" w:rsidRPr="00160E8D">
        <w:rPr>
          <w:rFonts w:ascii="Calibri" w:eastAsia="Calibri" w:hAnsi="Calibri" w:cs="Times New Roman"/>
          <w:sz w:val="22"/>
          <w:szCs w:val="22"/>
          <w:lang w:val="nl-NL"/>
        </w:rPr>
        <w:t>ge</w:t>
      </w:r>
      <w:r w:rsidR="00F12E2D" w:rsidRPr="00160E8D">
        <w:rPr>
          <w:rFonts w:ascii="Calibri" w:eastAsia="Calibri" w:hAnsi="Calibri" w:cs="Times New Roman"/>
          <w:sz w:val="22"/>
          <w:szCs w:val="22"/>
          <w:lang w:val="nl-NL"/>
        </w:rPr>
        <w:t>ven worden. Het moet gaan om één getal, tekst wordt niet aanvaard.</w:t>
      </w:r>
    </w:p>
    <w:p w:rsidR="00D5520B" w:rsidRPr="00160E8D" w:rsidRDefault="00D5520B" w:rsidP="0058602A">
      <w:pPr>
        <w:pStyle w:val="Lijstalinea"/>
        <w:ind w:left="1068"/>
        <w:jc w:val="both"/>
        <w:rPr>
          <w:rFonts w:ascii="Calibri" w:eastAsia="Calibri" w:hAnsi="Calibri" w:cs="Times New Roman"/>
          <w:sz w:val="22"/>
          <w:szCs w:val="22"/>
          <w:lang w:val="nl-NL"/>
        </w:rPr>
      </w:pPr>
    </w:p>
    <w:p w:rsidR="00C43F2F" w:rsidRPr="00160E8D" w:rsidRDefault="00F12E2D" w:rsidP="0058602A">
      <w:pPr>
        <w:pStyle w:val="Lijstalinea"/>
        <w:ind w:left="1068"/>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Verder dient er ook </w:t>
      </w:r>
      <w:r w:rsidR="00D5520B" w:rsidRPr="00160E8D">
        <w:rPr>
          <w:rFonts w:ascii="Calibri" w:eastAsia="Calibri" w:hAnsi="Calibri" w:cs="Times New Roman"/>
          <w:sz w:val="22"/>
          <w:szCs w:val="22"/>
          <w:u w:val="single"/>
          <w:lang w:val="nl-NL"/>
        </w:rPr>
        <w:t>per luik</w:t>
      </w:r>
      <w:r w:rsidR="00D5520B" w:rsidRPr="00160E8D">
        <w:rPr>
          <w:rFonts w:ascii="Calibri" w:eastAsia="Calibri" w:hAnsi="Calibri" w:cs="Times New Roman"/>
          <w:sz w:val="22"/>
          <w:szCs w:val="22"/>
          <w:lang w:val="nl-NL"/>
        </w:rPr>
        <w:t xml:space="preserve"> </w:t>
      </w:r>
      <w:r w:rsidRPr="00160E8D">
        <w:rPr>
          <w:rFonts w:ascii="Calibri" w:eastAsia="Calibri" w:hAnsi="Calibri" w:cs="Times New Roman"/>
          <w:sz w:val="22"/>
          <w:szCs w:val="22"/>
          <w:lang w:val="nl-NL"/>
        </w:rPr>
        <w:t xml:space="preserve">ingevuld te worden hoeveel van de deelnemers recht hebben op leefloon en hoeveel er worden opgevolgd in het kader van een individueel traject, al dan niet via een GPMI. </w:t>
      </w:r>
      <w:r w:rsidR="00CA69AB" w:rsidRPr="00160E8D">
        <w:rPr>
          <w:rFonts w:ascii="Calibri" w:eastAsia="Calibri" w:hAnsi="Calibri" w:cs="Times New Roman"/>
          <w:sz w:val="22"/>
          <w:szCs w:val="22"/>
          <w:lang w:val="nl-NL"/>
        </w:rPr>
        <w:t xml:space="preserve">Een </w:t>
      </w:r>
      <w:r w:rsidR="00C43F2F" w:rsidRPr="00160E8D">
        <w:rPr>
          <w:rFonts w:ascii="Calibri" w:eastAsia="Calibri" w:hAnsi="Calibri" w:cs="Times New Roman"/>
          <w:sz w:val="22"/>
          <w:szCs w:val="22"/>
          <w:lang w:val="nl-NL"/>
        </w:rPr>
        <w:t xml:space="preserve">individueel traject </w:t>
      </w:r>
      <w:r w:rsidR="00CA69AB" w:rsidRPr="00160E8D">
        <w:rPr>
          <w:rFonts w:ascii="Calibri" w:eastAsia="Calibri" w:hAnsi="Calibri" w:cs="Times New Roman"/>
          <w:sz w:val="22"/>
          <w:szCs w:val="22"/>
          <w:lang w:val="nl-NL"/>
        </w:rPr>
        <w:t>wordt hierbij als volgt omschreven</w:t>
      </w:r>
      <w:r w:rsidR="00C43F2F" w:rsidRPr="00160E8D">
        <w:rPr>
          <w:rFonts w:ascii="Calibri" w:eastAsia="Calibri" w:hAnsi="Calibri" w:cs="Times New Roman"/>
          <w:sz w:val="22"/>
          <w:szCs w:val="22"/>
          <w:lang w:val="nl-NL"/>
        </w:rPr>
        <w:t xml:space="preserve">: een individuele en gerichte begeleiding waarbij er wordt gewerkt naar bepaalde doelstellingen die dan ook geëvalueerd worden, al dan niet schriftelijk vastgelegd in een contract met betrekking tot een geïndividualiseerd project voor maatschappelijke integratie (GPMI). De inhoud van dergelijk traject hangt uiteraard af van de doelstellingen die samen met de </w:t>
      </w:r>
      <w:r w:rsidR="00D5520B" w:rsidRPr="00160E8D">
        <w:rPr>
          <w:rFonts w:ascii="Calibri" w:eastAsia="Calibri" w:hAnsi="Calibri" w:cs="Times New Roman"/>
          <w:sz w:val="22"/>
          <w:szCs w:val="22"/>
          <w:lang w:val="nl-NL"/>
        </w:rPr>
        <w:t>gerechtigde</w:t>
      </w:r>
      <w:r w:rsidR="00C43F2F" w:rsidRPr="00160E8D">
        <w:rPr>
          <w:rFonts w:ascii="Calibri" w:eastAsia="Calibri" w:hAnsi="Calibri" w:cs="Times New Roman"/>
          <w:sz w:val="22"/>
          <w:szCs w:val="22"/>
          <w:lang w:val="nl-NL"/>
        </w:rPr>
        <w:t xml:space="preserve"> worden geformuleerd.</w:t>
      </w:r>
    </w:p>
    <w:p w:rsidR="00D5520B" w:rsidRPr="00160E8D" w:rsidRDefault="00D5520B" w:rsidP="0058602A">
      <w:pPr>
        <w:pStyle w:val="Lijstalinea"/>
        <w:ind w:left="1068"/>
        <w:jc w:val="both"/>
        <w:rPr>
          <w:rFonts w:ascii="Calibri" w:eastAsia="Calibri" w:hAnsi="Calibri" w:cs="Times New Roman"/>
          <w:sz w:val="22"/>
          <w:szCs w:val="22"/>
          <w:lang w:val="nl-NL"/>
        </w:rPr>
      </w:pPr>
    </w:p>
    <w:p w:rsidR="007E3A87" w:rsidRPr="00160E8D" w:rsidRDefault="007E3A87" w:rsidP="0058602A">
      <w:pPr>
        <w:pStyle w:val="Lijstalinea"/>
        <w:ind w:left="1068"/>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 xml:space="preserve">De bedoeling van deze opdeling is een zicht te krijgen op hoeveel van de OCMW-gebruikers die met de toelage bereikt worden (1) gerechtigd zijn op een leefloon en (2) begeleid worden op basis van een trajectmatige aanpak. Een persoon die gerechtigd is op een leefloon en daarbij begeleid wordt op basis van een trajectmatige aanpak, moet </w:t>
      </w:r>
      <w:r w:rsidR="00D5520B" w:rsidRPr="00160E8D">
        <w:rPr>
          <w:rFonts w:ascii="Calibri" w:eastAsia="Calibri" w:hAnsi="Calibri" w:cs="Times New Roman"/>
          <w:sz w:val="22"/>
          <w:szCs w:val="22"/>
          <w:lang w:val="nl-NL"/>
        </w:rPr>
        <w:t xml:space="preserve">tweemaal </w:t>
      </w:r>
      <w:r w:rsidRPr="00160E8D">
        <w:rPr>
          <w:rFonts w:ascii="Calibri" w:eastAsia="Calibri" w:hAnsi="Calibri" w:cs="Times New Roman"/>
          <w:sz w:val="22"/>
          <w:szCs w:val="22"/>
          <w:lang w:val="nl-NL"/>
        </w:rPr>
        <w:t>opgegeven worden. Die cijfers zullen veeleer een verhouding aangeven dan wel exact zijn want dubbeltellingen zullen voorkomen wanneer men vertrekt van het aantal gebruikers per activiteit om het aantal gebruikers per luik vast te stellen.</w:t>
      </w:r>
    </w:p>
    <w:p w:rsidR="007E3A87" w:rsidRPr="00160E8D" w:rsidRDefault="007E3A87" w:rsidP="0058602A">
      <w:pPr>
        <w:pStyle w:val="Lijstalinea"/>
        <w:ind w:left="1068"/>
        <w:jc w:val="both"/>
        <w:rPr>
          <w:rFonts w:ascii="Calibri" w:eastAsia="Calibri" w:hAnsi="Calibri" w:cs="Times New Roman"/>
          <w:sz w:val="22"/>
          <w:szCs w:val="22"/>
          <w:lang w:val="nl-NL"/>
        </w:rPr>
      </w:pPr>
    </w:p>
    <w:p w:rsidR="00F12E2D" w:rsidRPr="00160E8D" w:rsidRDefault="00F12E2D" w:rsidP="0058602A">
      <w:pPr>
        <w:pStyle w:val="Lijstalinea"/>
        <w:ind w:left="1068"/>
        <w:jc w:val="both"/>
        <w:rPr>
          <w:rFonts w:ascii="Calibri" w:eastAsia="Calibri" w:hAnsi="Calibri" w:cs="Times New Roman"/>
          <w:sz w:val="22"/>
          <w:szCs w:val="22"/>
          <w:lang w:val="nl-NL"/>
        </w:rPr>
      </w:pPr>
      <w:r w:rsidRPr="00160E8D">
        <w:rPr>
          <w:rFonts w:ascii="Calibri" w:eastAsia="Calibri" w:hAnsi="Calibri" w:cs="Times New Roman"/>
          <w:sz w:val="22"/>
          <w:szCs w:val="22"/>
          <w:lang w:val="nl-NL"/>
        </w:rPr>
        <w:t>In geval van twijfel kan het OCMW ook een schatting geven aan de hand van een percentage.</w:t>
      </w:r>
    </w:p>
    <w:p w:rsidR="00F12E2D" w:rsidRPr="00160E8D" w:rsidRDefault="00F12E2D" w:rsidP="00FE4A3B">
      <w:pPr>
        <w:rPr>
          <w:b/>
          <w:sz w:val="22"/>
          <w:szCs w:val="22"/>
          <w:lang w:val="nl-NL"/>
        </w:rPr>
      </w:pPr>
    </w:p>
    <w:p w:rsidR="00283343" w:rsidRPr="00160E8D" w:rsidRDefault="00283343" w:rsidP="00FE4A3B">
      <w:pPr>
        <w:rPr>
          <w:b/>
          <w:sz w:val="22"/>
          <w:szCs w:val="22"/>
          <w:lang w:val="nl-NL"/>
        </w:rPr>
      </w:pPr>
    </w:p>
    <w:p w:rsidR="00160E8D" w:rsidRDefault="00160E8D">
      <w:pPr>
        <w:rPr>
          <w:rFonts w:ascii="Calibri" w:eastAsiaTheme="majorEastAsia" w:hAnsi="Calibri" w:cstheme="majorBidi"/>
          <w:b/>
          <w:caps/>
          <w:color w:val="000000" w:themeColor="text1"/>
          <w:sz w:val="24"/>
          <w:szCs w:val="40"/>
          <w:lang w:val="nl-NL"/>
        </w:rPr>
      </w:pPr>
      <w:r>
        <w:br w:type="page"/>
      </w:r>
    </w:p>
    <w:p w:rsidR="00FE4A3B" w:rsidRDefault="001A3245" w:rsidP="000E3D99">
      <w:pPr>
        <w:pStyle w:val="Stijl1"/>
      </w:pPr>
      <w:bookmarkStart w:id="4" w:name="_Toc506398905"/>
      <w:r w:rsidRPr="001A3245">
        <w:t>Aanwending van de toelage</w:t>
      </w:r>
      <w:bookmarkEnd w:id="4"/>
    </w:p>
    <w:p w:rsidR="00693628" w:rsidRDefault="00693628" w:rsidP="00E93FD4">
      <w:pPr>
        <w:jc w:val="both"/>
        <w:rPr>
          <w:sz w:val="22"/>
          <w:szCs w:val="22"/>
          <w:lang w:val="nl-NL"/>
        </w:rPr>
      </w:pPr>
    </w:p>
    <w:p w:rsidR="00E93FD4" w:rsidRPr="00160E8D" w:rsidRDefault="00E93FD4" w:rsidP="00E93FD4">
      <w:pPr>
        <w:jc w:val="both"/>
        <w:rPr>
          <w:sz w:val="22"/>
          <w:szCs w:val="22"/>
          <w:lang w:val="nl-NL"/>
        </w:rPr>
      </w:pPr>
      <w:r w:rsidRPr="00160E8D">
        <w:rPr>
          <w:sz w:val="22"/>
          <w:szCs w:val="22"/>
          <w:lang w:val="nl-NL"/>
        </w:rPr>
        <w:t xml:space="preserve">Het staat het OCMW vrij om de prioritaire doelgroepen die zich in een achtergestelde situatie bevinden en waarvoor een </w:t>
      </w:r>
      <w:r w:rsidR="00D5520B" w:rsidRPr="00160E8D">
        <w:rPr>
          <w:sz w:val="22"/>
          <w:szCs w:val="22"/>
          <w:lang w:val="nl-NL"/>
        </w:rPr>
        <w:t>tussenkomst</w:t>
      </w:r>
      <w:r w:rsidRPr="00160E8D">
        <w:rPr>
          <w:sz w:val="22"/>
          <w:szCs w:val="22"/>
          <w:lang w:val="nl-NL"/>
        </w:rPr>
        <w:t xml:space="preserve"> noodzakelijk is, af te bakenen. </w:t>
      </w:r>
      <w:r w:rsidR="007C2CCE" w:rsidRPr="00160E8D">
        <w:rPr>
          <w:sz w:val="22"/>
          <w:szCs w:val="22"/>
          <w:lang w:val="nl-NL"/>
        </w:rPr>
        <w:t>H</w:t>
      </w:r>
      <w:r w:rsidR="00CA69AB" w:rsidRPr="00160E8D">
        <w:rPr>
          <w:sz w:val="22"/>
          <w:szCs w:val="22"/>
          <w:lang w:val="nl-NL"/>
        </w:rPr>
        <w:t xml:space="preserve">et </w:t>
      </w:r>
      <w:r w:rsidRPr="00160E8D">
        <w:rPr>
          <w:sz w:val="22"/>
          <w:szCs w:val="22"/>
          <w:lang w:val="nl-NL"/>
        </w:rPr>
        <w:t xml:space="preserve">OCMW </w:t>
      </w:r>
      <w:r w:rsidR="00CA69AB" w:rsidRPr="00160E8D">
        <w:rPr>
          <w:sz w:val="22"/>
          <w:szCs w:val="22"/>
          <w:lang w:val="nl-NL"/>
        </w:rPr>
        <w:t xml:space="preserve">kan </w:t>
      </w:r>
      <w:r w:rsidR="007C2CCE" w:rsidRPr="00160E8D">
        <w:rPr>
          <w:sz w:val="22"/>
          <w:szCs w:val="22"/>
          <w:lang w:val="nl-NL"/>
        </w:rPr>
        <w:t xml:space="preserve">dus </w:t>
      </w:r>
      <w:r w:rsidRPr="00160E8D">
        <w:rPr>
          <w:sz w:val="22"/>
          <w:szCs w:val="22"/>
          <w:lang w:val="nl-NL"/>
        </w:rPr>
        <w:t>zelf de accenten van het plaatselijk</w:t>
      </w:r>
      <w:r w:rsidR="007C2CCE" w:rsidRPr="00160E8D">
        <w:rPr>
          <w:sz w:val="22"/>
          <w:szCs w:val="22"/>
          <w:lang w:val="nl-NL"/>
        </w:rPr>
        <w:t>e</w:t>
      </w:r>
      <w:r w:rsidRPr="00160E8D">
        <w:rPr>
          <w:sz w:val="22"/>
          <w:szCs w:val="22"/>
          <w:lang w:val="nl-NL"/>
        </w:rPr>
        <w:t xml:space="preserve"> beleid bepalen. </w:t>
      </w:r>
    </w:p>
    <w:p w:rsidR="00E93FD4" w:rsidRDefault="007C2CCE" w:rsidP="006B2F85">
      <w:pPr>
        <w:jc w:val="both"/>
        <w:rPr>
          <w:sz w:val="22"/>
          <w:szCs w:val="22"/>
          <w:lang w:val="nl-NL"/>
        </w:rPr>
      </w:pPr>
      <w:r w:rsidRPr="00160E8D">
        <w:rPr>
          <w:sz w:val="22"/>
          <w:szCs w:val="22"/>
          <w:lang w:val="nl-NL"/>
        </w:rPr>
        <w:t>Desaln</w:t>
      </w:r>
      <w:r w:rsidR="00E93FD4" w:rsidRPr="00160E8D">
        <w:rPr>
          <w:sz w:val="22"/>
          <w:szCs w:val="22"/>
          <w:lang w:val="nl-NL"/>
        </w:rPr>
        <w:t>iettemin,  is de toegekende toelage verplicht te besteden aan specifieke beleidsprioriteiten, namelijk:</w:t>
      </w:r>
    </w:p>
    <w:p w:rsidR="00693628" w:rsidRPr="00160E8D" w:rsidRDefault="00693628" w:rsidP="006B2F85">
      <w:pPr>
        <w:jc w:val="both"/>
        <w:rPr>
          <w:sz w:val="22"/>
          <w:szCs w:val="22"/>
          <w:lang w:val="nl-NL"/>
        </w:rPr>
      </w:pPr>
    </w:p>
    <w:p w:rsidR="00323D2F" w:rsidRPr="00160E8D" w:rsidRDefault="00F12E2D" w:rsidP="0064186B">
      <w:pPr>
        <w:numPr>
          <w:ilvl w:val="0"/>
          <w:numId w:val="9"/>
        </w:numPr>
        <w:rPr>
          <w:sz w:val="22"/>
          <w:szCs w:val="22"/>
          <w:lang w:val="nl-NL"/>
        </w:rPr>
      </w:pPr>
      <w:r w:rsidRPr="00160E8D">
        <w:rPr>
          <w:b/>
          <w:sz w:val="22"/>
          <w:szCs w:val="22"/>
          <w:lang w:val="nl-NL"/>
        </w:rPr>
        <w:t xml:space="preserve">Collectieve modules </w:t>
      </w:r>
      <w:r w:rsidR="00323D2F" w:rsidRPr="00160E8D">
        <w:rPr>
          <w:b/>
          <w:sz w:val="22"/>
          <w:szCs w:val="22"/>
          <w:lang w:val="nl-NL"/>
        </w:rPr>
        <w:tab/>
      </w:r>
      <w:r w:rsidRPr="00160E8D">
        <w:rPr>
          <w:b/>
          <w:sz w:val="22"/>
          <w:szCs w:val="22"/>
          <w:lang w:val="nl-NL"/>
        </w:rPr>
        <w:t>=&gt; min. 25%</w:t>
      </w:r>
      <w:r w:rsidR="00323D2F" w:rsidRPr="00160E8D">
        <w:rPr>
          <w:b/>
          <w:sz w:val="22"/>
          <w:szCs w:val="22"/>
          <w:lang w:val="nl-NL"/>
        </w:rPr>
        <w:t xml:space="preserve"> - max. 50%</w:t>
      </w:r>
      <w:r w:rsidRPr="00160E8D">
        <w:rPr>
          <w:b/>
          <w:sz w:val="22"/>
          <w:szCs w:val="22"/>
          <w:lang w:val="nl-NL"/>
        </w:rPr>
        <w:t xml:space="preserve"> </w:t>
      </w:r>
    </w:p>
    <w:p w:rsidR="00F12E2D" w:rsidRPr="00160E8D" w:rsidRDefault="00323D2F" w:rsidP="00323D2F">
      <w:pPr>
        <w:ind w:left="2136" w:firstLine="696"/>
        <w:rPr>
          <w:b/>
          <w:sz w:val="22"/>
          <w:szCs w:val="22"/>
          <w:lang w:val="nl-NL"/>
        </w:rPr>
      </w:pPr>
      <w:r w:rsidRPr="00160E8D">
        <w:rPr>
          <w:b/>
          <w:sz w:val="22"/>
          <w:szCs w:val="22"/>
          <w:lang w:val="nl-NL"/>
        </w:rPr>
        <w:t>=&gt; Personeelskosten: m</w:t>
      </w:r>
      <w:r w:rsidR="00F12E2D" w:rsidRPr="00160E8D">
        <w:rPr>
          <w:b/>
          <w:sz w:val="22"/>
          <w:szCs w:val="22"/>
          <w:lang w:val="nl-NL"/>
        </w:rPr>
        <w:t xml:space="preserve">ax. 100% </w:t>
      </w:r>
    </w:p>
    <w:p w:rsidR="005D4E0F" w:rsidRPr="00160E8D" w:rsidRDefault="005D4E0F" w:rsidP="00323D2F">
      <w:pPr>
        <w:ind w:left="2136" w:firstLine="696"/>
        <w:rPr>
          <w:sz w:val="22"/>
          <w:szCs w:val="22"/>
          <w:lang w:val="nl-NL"/>
        </w:rPr>
      </w:pPr>
    </w:p>
    <w:p w:rsidR="00E93FD4" w:rsidRPr="00160E8D" w:rsidRDefault="005D4E0F" w:rsidP="005D4E0F">
      <w:pPr>
        <w:jc w:val="both"/>
        <w:rPr>
          <w:sz w:val="22"/>
          <w:szCs w:val="22"/>
          <w:lang w:val="nl-NL"/>
        </w:rPr>
      </w:pPr>
      <w:r w:rsidRPr="00160E8D">
        <w:rPr>
          <w:sz w:val="22"/>
          <w:szCs w:val="22"/>
          <w:lang w:val="nl-NL"/>
        </w:rPr>
        <w:t>M</w:t>
      </w:r>
      <w:r w:rsidR="00E93FD4" w:rsidRPr="00160E8D">
        <w:rPr>
          <w:sz w:val="22"/>
          <w:szCs w:val="22"/>
          <w:lang w:val="nl-NL"/>
        </w:rPr>
        <w:t>inimum 25% en maximaal 50 % van de toelage is verplicht te besteden aan het orga</w:t>
      </w:r>
      <w:r w:rsidR="006B2F85" w:rsidRPr="00160E8D">
        <w:rPr>
          <w:sz w:val="22"/>
          <w:szCs w:val="22"/>
          <w:lang w:val="nl-NL"/>
        </w:rPr>
        <w:t>niseren van collectieve modules.</w:t>
      </w:r>
    </w:p>
    <w:p w:rsidR="00E93FD4" w:rsidRPr="00160E8D" w:rsidRDefault="00E93FD4" w:rsidP="005D4E0F">
      <w:pPr>
        <w:jc w:val="both"/>
        <w:rPr>
          <w:i/>
          <w:sz w:val="22"/>
          <w:szCs w:val="22"/>
          <w:lang w:val="nl-NL"/>
        </w:rPr>
      </w:pPr>
      <w:r w:rsidRPr="00160E8D">
        <w:rPr>
          <w:i/>
          <w:sz w:val="22"/>
          <w:szCs w:val="22"/>
          <w:lang w:val="nl-NL"/>
        </w:rPr>
        <w:t>Het toelagebedrag binnen dit luik van minimum 25 % tot maximaal 50 % kan integraal (voor 100 %) best</w:t>
      </w:r>
      <w:r w:rsidR="00703648" w:rsidRPr="00160E8D">
        <w:rPr>
          <w:i/>
          <w:sz w:val="22"/>
          <w:szCs w:val="22"/>
          <w:lang w:val="nl-NL"/>
        </w:rPr>
        <w:t>eed worden aan personeelskosten.</w:t>
      </w:r>
    </w:p>
    <w:p w:rsidR="00703648" w:rsidRPr="00160E8D" w:rsidRDefault="00703648" w:rsidP="005D4E0F">
      <w:pPr>
        <w:jc w:val="both"/>
        <w:rPr>
          <w:sz w:val="22"/>
          <w:szCs w:val="22"/>
          <w:lang w:val="nl-NL"/>
        </w:rPr>
      </w:pPr>
    </w:p>
    <w:p w:rsidR="00177CAC" w:rsidRPr="00160E8D" w:rsidRDefault="00323D2F" w:rsidP="0064186B">
      <w:pPr>
        <w:numPr>
          <w:ilvl w:val="0"/>
          <w:numId w:val="9"/>
        </w:numPr>
        <w:rPr>
          <w:sz w:val="22"/>
          <w:szCs w:val="22"/>
          <w:lang w:val="nl-NL"/>
        </w:rPr>
      </w:pPr>
      <w:r w:rsidRPr="00160E8D">
        <w:rPr>
          <w:b/>
          <w:sz w:val="22"/>
          <w:szCs w:val="22"/>
          <w:lang w:val="nl-NL"/>
        </w:rPr>
        <w:t>K</w:t>
      </w:r>
      <w:r w:rsidR="00F12E2D" w:rsidRPr="00160E8D">
        <w:rPr>
          <w:b/>
          <w:sz w:val="22"/>
          <w:szCs w:val="22"/>
          <w:lang w:val="nl-NL"/>
        </w:rPr>
        <w:t xml:space="preserve">inderarmoede </w:t>
      </w:r>
      <w:r w:rsidR="00177CAC" w:rsidRPr="00160E8D">
        <w:rPr>
          <w:b/>
          <w:sz w:val="22"/>
          <w:szCs w:val="22"/>
          <w:lang w:val="nl-NL"/>
        </w:rPr>
        <w:tab/>
      </w:r>
      <w:r w:rsidR="005D4E0F" w:rsidRPr="00160E8D">
        <w:rPr>
          <w:b/>
          <w:sz w:val="22"/>
          <w:szCs w:val="22"/>
          <w:lang w:val="nl-NL"/>
        </w:rPr>
        <w:tab/>
      </w:r>
      <w:r w:rsidR="00F12E2D" w:rsidRPr="00160E8D">
        <w:rPr>
          <w:b/>
          <w:sz w:val="22"/>
          <w:szCs w:val="22"/>
          <w:lang w:val="nl-NL"/>
        </w:rPr>
        <w:t>=&gt; min. 25%</w:t>
      </w:r>
    </w:p>
    <w:p w:rsidR="00F12E2D" w:rsidRPr="00160E8D" w:rsidRDefault="00177CAC" w:rsidP="00177CAC">
      <w:pPr>
        <w:pStyle w:val="Lijstalinea"/>
        <w:ind w:left="2868"/>
        <w:rPr>
          <w:b/>
          <w:sz w:val="22"/>
          <w:szCs w:val="22"/>
          <w:lang w:val="nl-NL"/>
        </w:rPr>
      </w:pPr>
      <w:r w:rsidRPr="00160E8D">
        <w:rPr>
          <w:b/>
          <w:sz w:val="22"/>
          <w:szCs w:val="22"/>
          <w:lang w:val="nl-NL"/>
        </w:rPr>
        <w:t xml:space="preserve">=&gt; </w:t>
      </w:r>
      <w:r w:rsidR="00323D2F" w:rsidRPr="00160E8D">
        <w:rPr>
          <w:b/>
          <w:sz w:val="22"/>
          <w:szCs w:val="22"/>
          <w:lang w:val="nl-NL"/>
        </w:rPr>
        <w:t>Personeelskosten</w:t>
      </w:r>
      <w:r w:rsidRPr="00160E8D">
        <w:rPr>
          <w:b/>
          <w:sz w:val="22"/>
          <w:szCs w:val="22"/>
          <w:lang w:val="nl-NL"/>
        </w:rPr>
        <w:t>:</w:t>
      </w:r>
      <w:r w:rsidR="00323D2F" w:rsidRPr="00160E8D">
        <w:rPr>
          <w:b/>
          <w:sz w:val="22"/>
          <w:szCs w:val="22"/>
          <w:lang w:val="nl-NL"/>
        </w:rPr>
        <w:t xml:space="preserve"> </w:t>
      </w:r>
      <w:r w:rsidRPr="00160E8D">
        <w:rPr>
          <w:b/>
          <w:sz w:val="22"/>
          <w:szCs w:val="22"/>
          <w:lang w:val="nl-NL"/>
        </w:rPr>
        <w:t>m</w:t>
      </w:r>
      <w:r w:rsidR="00F12E2D" w:rsidRPr="00160E8D">
        <w:rPr>
          <w:b/>
          <w:sz w:val="22"/>
          <w:szCs w:val="22"/>
          <w:lang w:val="nl-NL"/>
        </w:rPr>
        <w:t xml:space="preserve">ax. 10% </w:t>
      </w:r>
    </w:p>
    <w:p w:rsidR="00703648" w:rsidRPr="00160E8D" w:rsidRDefault="00703648" w:rsidP="00177CAC">
      <w:pPr>
        <w:pStyle w:val="Lijstalinea"/>
        <w:ind w:left="2868"/>
        <w:rPr>
          <w:b/>
          <w:sz w:val="22"/>
          <w:szCs w:val="22"/>
          <w:lang w:val="nl-NL"/>
        </w:rPr>
      </w:pPr>
    </w:p>
    <w:p w:rsidR="006B2F85" w:rsidRPr="00160E8D" w:rsidRDefault="00F12E2D" w:rsidP="005D4E0F">
      <w:pPr>
        <w:jc w:val="both"/>
        <w:rPr>
          <w:sz w:val="22"/>
          <w:szCs w:val="22"/>
          <w:lang w:val="nl-NL"/>
        </w:rPr>
      </w:pPr>
      <w:r w:rsidRPr="00160E8D">
        <w:rPr>
          <w:sz w:val="22"/>
          <w:szCs w:val="22"/>
          <w:lang w:val="nl-NL"/>
        </w:rPr>
        <w:t>M</w:t>
      </w:r>
      <w:r w:rsidR="00E93FD4" w:rsidRPr="00160E8D">
        <w:rPr>
          <w:sz w:val="22"/>
          <w:szCs w:val="22"/>
          <w:lang w:val="nl-NL"/>
        </w:rPr>
        <w:t xml:space="preserve">inimum 25% van de toelage is verplicht te besteden aan de bestrijding van kinderarmoede. </w:t>
      </w:r>
    </w:p>
    <w:p w:rsidR="00E93FD4" w:rsidRPr="00160E8D" w:rsidRDefault="00E93FD4" w:rsidP="005D4E0F">
      <w:pPr>
        <w:jc w:val="both"/>
        <w:rPr>
          <w:sz w:val="22"/>
          <w:szCs w:val="22"/>
          <w:lang w:val="nl-NL"/>
        </w:rPr>
      </w:pPr>
      <w:r w:rsidRPr="00160E8D">
        <w:rPr>
          <w:i/>
          <w:sz w:val="22"/>
          <w:szCs w:val="22"/>
          <w:lang w:val="nl-NL"/>
        </w:rPr>
        <w:t>Van deze minimum 25 %, te besteden aan kinderarmoede, kan hoogstens 10 % besteed worden aan personeelskosten</w:t>
      </w:r>
      <w:r w:rsidR="005D4E0F" w:rsidRPr="00160E8D">
        <w:rPr>
          <w:i/>
          <w:sz w:val="22"/>
          <w:szCs w:val="22"/>
          <w:lang w:val="nl-NL"/>
        </w:rPr>
        <w:t>.</w:t>
      </w:r>
    </w:p>
    <w:p w:rsidR="00283343" w:rsidRPr="00160E8D" w:rsidRDefault="00283343">
      <w:pPr>
        <w:rPr>
          <w:b/>
          <w:sz w:val="22"/>
          <w:szCs w:val="22"/>
          <w:lang w:val="nl-NL"/>
        </w:rPr>
      </w:pPr>
    </w:p>
    <w:p w:rsidR="00177CAC" w:rsidRPr="00160E8D" w:rsidRDefault="00323D2F" w:rsidP="0064186B">
      <w:pPr>
        <w:numPr>
          <w:ilvl w:val="0"/>
          <w:numId w:val="9"/>
        </w:numPr>
        <w:rPr>
          <w:b/>
          <w:sz w:val="22"/>
          <w:szCs w:val="22"/>
          <w:lang w:val="nl-NL"/>
        </w:rPr>
      </w:pPr>
      <w:r w:rsidRPr="00160E8D">
        <w:rPr>
          <w:b/>
          <w:sz w:val="22"/>
          <w:szCs w:val="22"/>
          <w:lang w:val="nl-NL"/>
        </w:rPr>
        <w:t xml:space="preserve">Maatschappelijke participatie </w:t>
      </w:r>
      <w:r w:rsidR="00177CAC" w:rsidRPr="00160E8D">
        <w:rPr>
          <w:b/>
          <w:sz w:val="22"/>
          <w:szCs w:val="22"/>
          <w:lang w:val="nl-NL"/>
        </w:rPr>
        <w:tab/>
      </w:r>
      <w:r w:rsidRPr="00160E8D">
        <w:rPr>
          <w:b/>
          <w:sz w:val="22"/>
          <w:szCs w:val="22"/>
          <w:lang w:val="nl-NL"/>
        </w:rPr>
        <w:t>=&gt; max. 50%</w:t>
      </w:r>
    </w:p>
    <w:p w:rsidR="00323D2F" w:rsidRPr="00160E8D" w:rsidRDefault="00177CAC" w:rsidP="00177CAC">
      <w:pPr>
        <w:pStyle w:val="Lijstalinea"/>
        <w:ind w:left="3588"/>
        <w:rPr>
          <w:b/>
          <w:sz w:val="22"/>
          <w:szCs w:val="22"/>
          <w:lang w:val="nl-NL"/>
        </w:rPr>
      </w:pPr>
      <w:r w:rsidRPr="00160E8D">
        <w:rPr>
          <w:b/>
          <w:sz w:val="22"/>
          <w:szCs w:val="22"/>
          <w:lang w:val="nl-NL"/>
        </w:rPr>
        <w:t xml:space="preserve">=&gt; </w:t>
      </w:r>
      <w:r w:rsidR="00323D2F" w:rsidRPr="00160E8D">
        <w:rPr>
          <w:b/>
          <w:sz w:val="22"/>
          <w:szCs w:val="22"/>
          <w:lang w:val="nl-NL"/>
        </w:rPr>
        <w:t>Personeelskosten: max. 10%</w:t>
      </w:r>
    </w:p>
    <w:p w:rsidR="00703648" w:rsidRPr="00160E8D" w:rsidRDefault="00703648" w:rsidP="00177CAC">
      <w:pPr>
        <w:pStyle w:val="Lijstalinea"/>
        <w:ind w:left="3588"/>
        <w:rPr>
          <w:b/>
          <w:sz w:val="22"/>
          <w:szCs w:val="22"/>
          <w:lang w:val="nl-NL"/>
        </w:rPr>
      </w:pPr>
    </w:p>
    <w:p w:rsidR="00E93FD4" w:rsidRPr="00160E8D" w:rsidRDefault="00323D2F" w:rsidP="005D4E0F">
      <w:pPr>
        <w:jc w:val="both"/>
        <w:rPr>
          <w:sz w:val="22"/>
          <w:szCs w:val="22"/>
          <w:lang w:val="nl-NL"/>
        </w:rPr>
      </w:pPr>
      <w:r w:rsidRPr="00160E8D">
        <w:rPr>
          <w:sz w:val="22"/>
          <w:szCs w:val="22"/>
          <w:lang w:val="nl-NL"/>
        </w:rPr>
        <w:t>H</w:t>
      </w:r>
      <w:r w:rsidR="00E93FD4" w:rsidRPr="00160E8D">
        <w:rPr>
          <w:sz w:val="22"/>
          <w:szCs w:val="22"/>
          <w:lang w:val="nl-NL"/>
        </w:rPr>
        <w:t>et restbedrag dat maximum 50% van de toelage kan behelzen, is vrijelijk te besteden binnen het luik bevorderen van maatschappelijke participatie en bestrijding van kinderarmoede</w:t>
      </w:r>
      <w:r w:rsidRPr="00160E8D">
        <w:rPr>
          <w:sz w:val="22"/>
          <w:szCs w:val="22"/>
          <w:lang w:val="nl-NL"/>
        </w:rPr>
        <w:t>.</w:t>
      </w:r>
    </w:p>
    <w:p w:rsidR="00E93FD4" w:rsidRPr="00160E8D" w:rsidRDefault="00E93FD4" w:rsidP="005D4E0F">
      <w:pPr>
        <w:rPr>
          <w:sz w:val="22"/>
          <w:szCs w:val="22"/>
          <w:lang w:val="nl-NL"/>
        </w:rPr>
      </w:pPr>
      <w:r w:rsidRPr="00160E8D">
        <w:rPr>
          <w:i/>
          <w:sz w:val="22"/>
          <w:szCs w:val="22"/>
          <w:lang w:val="nl-NL"/>
        </w:rPr>
        <w:t>Van dit stuk toelagebedrag dat hoogstens 50 % van het totale toelagebedrag mag bedragen, kan hoogstens 10 % besteed worden aan personeelskosten</w:t>
      </w:r>
      <w:r w:rsidR="005D4E0F" w:rsidRPr="00160E8D">
        <w:rPr>
          <w:i/>
          <w:sz w:val="22"/>
          <w:szCs w:val="22"/>
          <w:lang w:val="nl-NL"/>
        </w:rPr>
        <w:t>.</w:t>
      </w:r>
    </w:p>
    <w:p w:rsidR="00693628" w:rsidRDefault="00693628">
      <w:pPr>
        <w:rPr>
          <w:sz w:val="22"/>
          <w:szCs w:val="22"/>
          <w:lang w:val="nl-NL"/>
        </w:rPr>
      </w:pPr>
      <w:r>
        <w:rPr>
          <w:sz w:val="22"/>
          <w:szCs w:val="22"/>
          <w:lang w:val="nl-NL"/>
        </w:rPr>
        <w:br w:type="page"/>
      </w:r>
    </w:p>
    <w:p w:rsidR="00E93FD4" w:rsidRPr="00160E8D" w:rsidRDefault="00FC4C96" w:rsidP="00E93FD4">
      <w:pPr>
        <w:rPr>
          <w:sz w:val="22"/>
          <w:szCs w:val="22"/>
          <w:lang w:val="nl-NL"/>
        </w:rPr>
      </w:pPr>
      <w:r w:rsidRPr="00160E8D">
        <w:rPr>
          <w:sz w:val="22"/>
          <w:szCs w:val="22"/>
          <w:lang w:val="nl-NL"/>
        </w:rPr>
        <w:t xml:space="preserve">Afhankelijk van de prioriteiten op niveau van het OCMW, zijn er verschillende mogelijkheden om de toelage aan te wenden. </w:t>
      </w:r>
      <w:r w:rsidR="006B2F85" w:rsidRPr="00160E8D">
        <w:rPr>
          <w:sz w:val="22"/>
          <w:szCs w:val="22"/>
          <w:lang w:val="nl-NL"/>
        </w:rPr>
        <w:t xml:space="preserve">Zo </w:t>
      </w:r>
      <w:r w:rsidRPr="00160E8D">
        <w:rPr>
          <w:sz w:val="22"/>
          <w:szCs w:val="22"/>
          <w:lang w:val="nl-NL"/>
        </w:rPr>
        <w:t xml:space="preserve">is het bijvoorbeeld mogelijk dat een </w:t>
      </w:r>
      <w:r w:rsidR="00947CB7" w:rsidRPr="00160E8D">
        <w:rPr>
          <w:sz w:val="22"/>
          <w:szCs w:val="22"/>
          <w:lang w:val="nl-NL"/>
        </w:rPr>
        <w:t>OCMW er</w:t>
      </w:r>
      <w:r w:rsidR="006B2F85" w:rsidRPr="00160E8D">
        <w:rPr>
          <w:sz w:val="22"/>
          <w:szCs w:val="22"/>
          <w:lang w:val="nl-NL"/>
        </w:rPr>
        <w:t>voor opte</w:t>
      </w:r>
      <w:r w:rsidRPr="00160E8D">
        <w:rPr>
          <w:sz w:val="22"/>
          <w:szCs w:val="22"/>
          <w:lang w:val="nl-NL"/>
        </w:rPr>
        <w:t>e</w:t>
      </w:r>
      <w:r w:rsidR="006B2F85" w:rsidRPr="00160E8D">
        <w:rPr>
          <w:sz w:val="22"/>
          <w:szCs w:val="22"/>
          <w:lang w:val="nl-NL"/>
        </w:rPr>
        <w:t>r</w:t>
      </w:r>
      <w:r w:rsidRPr="00160E8D">
        <w:rPr>
          <w:sz w:val="22"/>
          <w:szCs w:val="22"/>
          <w:lang w:val="nl-NL"/>
        </w:rPr>
        <w:t>t</w:t>
      </w:r>
      <w:r w:rsidR="006B2F85" w:rsidRPr="00160E8D">
        <w:rPr>
          <w:sz w:val="22"/>
          <w:szCs w:val="22"/>
          <w:lang w:val="nl-NL"/>
        </w:rPr>
        <w:t xml:space="preserve"> om 50% van de toelage te besteden aan de organisatie van collectieve modules en 50% aan de bestrijding van kinderarmoede. Of 25% te besteden aan collectieve modules en 75% aan initiatieven ter </w:t>
      </w:r>
      <w:r w:rsidRPr="00160E8D">
        <w:rPr>
          <w:sz w:val="22"/>
          <w:szCs w:val="22"/>
          <w:lang w:val="nl-NL"/>
        </w:rPr>
        <w:t>bestrijding van kinderarmoede.</w:t>
      </w:r>
    </w:p>
    <w:p w:rsidR="00E93FD4" w:rsidRPr="00160E8D" w:rsidRDefault="00FC4C96" w:rsidP="00947CB7">
      <w:pPr>
        <w:rPr>
          <w:sz w:val="22"/>
          <w:szCs w:val="22"/>
          <w:lang w:val="nl-NL"/>
        </w:rPr>
      </w:pPr>
      <w:r w:rsidRPr="00160E8D">
        <w:rPr>
          <w:b/>
          <w:sz w:val="22"/>
          <w:szCs w:val="22"/>
          <w:lang w:val="nl-NL"/>
        </w:rPr>
        <w:t>Maar het OCMW dient zich wel te houden aan de opgelegde minimumpercentages</w:t>
      </w:r>
      <w:r w:rsidR="00947CB7" w:rsidRPr="00160E8D">
        <w:rPr>
          <w:b/>
          <w:sz w:val="22"/>
          <w:szCs w:val="22"/>
          <w:lang w:val="nl-NL"/>
        </w:rPr>
        <w:t xml:space="preserve"> - nl. min. 25% te besteden aan collectieve modules en minimum 25% aan kinderarmoede - </w:t>
      </w:r>
      <w:r w:rsidRPr="00160E8D">
        <w:rPr>
          <w:b/>
          <w:sz w:val="22"/>
          <w:szCs w:val="22"/>
          <w:lang w:val="nl-NL"/>
        </w:rPr>
        <w:t>want bij niet gebruik van deze opgelegde minima, gaan deze bedragen verloren.</w:t>
      </w:r>
      <w:r w:rsidR="00947CB7" w:rsidRPr="00160E8D">
        <w:rPr>
          <w:b/>
          <w:sz w:val="22"/>
          <w:szCs w:val="22"/>
          <w:lang w:val="nl-NL"/>
        </w:rPr>
        <w:t xml:space="preserve"> </w:t>
      </w:r>
      <w:r w:rsidR="00947CB7" w:rsidRPr="00160E8D">
        <w:rPr>
          <w:sz w:val="22"/>
          <w:szCs w:val="22"/>
          <w:lang w:val="nl-NL"/>
        </w:rPr>
        <w:t>Of anders gezegd,</w:t>
      </w:r>
      <w:r w:rsidR="00947CB7" w:rsidRPr="00160E8D">
        <w:rPr>
          <w:b/>
          <w:sz w:val="22"/>
          <w:szCs w:val="22"/>
          <w:lang w:val="nl-NL"/>
        </w:rPr>
        <w:t xml:space="preserve"> i</w:t>
      </w:r>
      <w:r w:rsidR="00E93FD4" w:rsidRPr="00160E8D">
        <w:rPr>
          <w:sz w:val="22"/>
          <w:szCs w:val="22"/>
          <w:lang w:val="nl-NL"/>
        </w:rPr>
        <w:t xml:space="preserve">ndien het OCMW minder besteedt aan de omschreven activiteiten dan de voorziene minima per luik, dan wordt het verschil tussen het vereiste minimum en het werkelijk bestede percentage in mindering gebracht van het bedrag van de toegekende </w:t>
      </w:r>
      <w:r w:rsidR="00693628">
        <w:rPr>
          <w:sz w:val="22"/>
          <w:szCs w:val="22"/>
          <w:lang w:val="nl-NL"/>
        </w:rPr>
        <w:t>toelage</w:t>
      </w:r>
      <w:r w:rsidR="00E93FD4" w:rsidRPr="00160E8D">
        <w:rPr>
          <w:sz w:val="22"/>
          <w:szCs w:val="22"/>
          <w:lang w:val="nl-NL"/>
        </w:rPr>
        <w:t xml:space="preserve">. </w:t>
      </w:r>
    </w:p>
    <w:p w:rsidR="001A3245" w:rsidRPr="00160E8D" w:rsidRDefault="001A3245" w:rsidP="001A3245">
      <w:pPr>
        <w:rPr>
          <w:sz w:val="22"/>
          <w:szCs w:val="22"/>
          <w:lang w:val="nl-NL"/>
        </w:rPr>
      </w:pPr>
      <w:r w:rsidRPr="00160E8D">
        <w:rPr>
          <w:sz w:val="22"/>
          <w:szCs w:val="22"/>
          <w:lang w:val="nl-NL"/>
        </w:rPr>
        <w:tab/>
      </w:r>
    </w:p>
    <w:p w:rsidR="001A3245" w:rsidRPr="00160E8D" w:rsidRDefault="001A3245" w:rsidP="001267E8">
      <w:pPr>
        <w:rPr>
          <w:b/>
          <w:sz w:val="22"/>
          <w:szCs w:val="22"/>
          <w:lang w:val="nl-NL"/>
        </w:rPr>
      </w:pPr>
      <w:r w:rsidRPr="00160E8D">
        <w:rPr>
          <w:b/>
          <w:sz w:val="22"/>
          <w:szCs w:val="22"/>
          <w:lang w:val="nl-NL"/>
        </w:rPr>
        <w:t xml:space="preserve">Bijzonderheden: </w:t>
      </w:r>
    </w:p>
    <w:p w:rsidR="00177CAC" w:rsidRPr="00160E8D" w:rsidRDefault="00783413" w:rsidP="0064186B">
      <w:pPr>
        <w:pStyle w:val="Lijstalinea"/>
        <w:numPr>
          <w:ilvl w:val="0"/>
          <w:numId w:val="10"/>
        </w:numPr>
        <w:jc w:val="both"/>
        <w:rPr>
          <w:b/>
          <w:sz w:val="22"/>
          <w:szCs w:val="22"/>
          <w:lang w:val="nl-NL"/>
        </w:rPr>
      </w:pPr>
      <w:r w:rsidRPr="00160E8D">
        <w:rPr>
          <w:b/>
          <w:sz w:val="22"/>
          <w:szCs w:val="22"/>
          <w:lang w:val="nl-NL"/>
        </w:rPr>
        <w:t>‘</w:t>
      </w:r>
      <w:r w:rsidR="00177CAC" w:rsidRPr="00160E8D">
        <w:rPr>
          <w:b/>
          <w:sz w:val="22"/>
          <w:szCs w:val="22"/>
          <w:lang w:val="nl-NL"/>
        </w:rPr>
        <w:t>Kleine</w:t>
      </w:r>
      <w:r w:rsidRPr="00160E8D">
        <w:rPr>
          <w:b/>
          <w:sz w:val="22"/>
          <w:szCs w:val="22"/>
          <w:lang w:val="nl-NL"/>
        </w:rPr>
        <w:t>’</w:t>
      </w:r>
      <w:r w:rsidR="00177CAC" w:rsidRPr="00160E8D">
        <w:rPr>
          <w:b/>
          <w:sz w:val="22"/>
          <w:szCs w:val="22"/>
          <w:lang w:val="nl-NL"/>
        </w:rPr>
        <w:t xml:space="preserve"> </w:t>
      </w:r>
      <w:proofErr w:type="spellStart"/>
      <w:r w:rsidR="00177CAC" w:rsidRPr="00160E8D">
        <w:rPr>
          <w:b/>
          <w:sz w:val="22"/>
          <w:szCs w:val="22"/>
          <w:lang w:val="nl-NL"/>
        </w:rPr>
        <w:t>OCMW’s</w:t>
      </w:r>
      <w:proofErr w:type="spellEnd"/>
      <w:r w:rsidR="00177CAC" w:rsidRPr="00160E8D">
        <w:rPr>
          <w:b/>
          <w:sz w:val="22"/>
          <w:szCs w:val="22"/>
          <w:lang w:val="nl-NL"/>
        </w:rPr>
        <w:t xml:space="preserve"> zijn niet gebonden aan deze bestedingscriteria:</w:t>
      </w:r>
    </w:p>
    <w:p w:rsidR="00C56F01" w:rsidRPr="00160E8D" w:rsidRDefault="00C56F01" w:rsidP="00177CAC">
      <w:pPr>
        <w:pStyle w:val="Lijstalinea"/>
        <w:jc w:val="both"/>
        <w:rPr>
          <w:sz w:val="22"/>
          <w:szCs w:val="22"/>
          <w:lang w:val="nl-NL"/>
        </w:rPr>
      </w:pPr>
      <w:r w:rsidRPr="00160E8D">
        <w:rPr>
          <w:sz w:val="22"/>
          <w:szCs w:val="22"/>
          <w:lang w:val="nl-NL"/>
        </w:rPr>
        <w:t xml:space="preserve">Uitzondering hierop zijn de </w:t>
      </w:r>
      <w:proofErr w:type="spellStart"/>
      <w:r w:rsidRPr="00160E8D">
        <w:rPr>
          <w:sz w:val="22"/>
          <w:szCs w:val="22"/>
          <w:lang w:val="nl-NL"/>
        </w:rPr>
        <w:t>OCMW’s</w:t>
      </w:r>
      <w:proofErr w:type="spellEnd"/>
      <w:r w:rsidRPr="00160E8D">
        <w:rPr>
          <w:sz w:val="22"/>
          <w:szCs w:val="22"/>
          <w:lang w:val="nl-NL"/>
        </w:rPr>
        <w:t xml:space="preserve"> die een budget toegewezen krijgen gelijk aan of minder dan 5000 €. Deze </w:t>
      </w:r>
      <w:proofErr w:type="spellStart"/>
      <w:r w:rsidRPr="00160E8D">
        <w:rPr>
          <w:sz w:val="22"/>
          <w:szCs w:val="22"/>
          <w:lang w:val="nl-NL"/>
        </w:rPr>
        <w:t>OCMW’s</w:t>
      </w:r>
      <w:proofErr w:type="spellEnd"/>
      <w:r w:rsidRPr="00160E8D">
        <w:rPr>
          <w:sz w:val="22"/>
          <w:szCs w:val="22"/>
          <w:lang w:val="nl-NL"/>
        </w:rPr>
        <w:t xml:space="preserve"> zijn niet gebonden aan de hierboven vermelde </w:t>
      </w:r>
      <w:r w:rsidR="00E438E4" w:rsidRPr="00160E8D">
        <w:rPr>
          <w:sz w:val="22"/>
          <w:szCs w:val="22"/>
          <w:lang w:val="nl-NL"/>
        </w:rPr>
        <w:t>opdeling</w:t>
      </w:r>
      <w:r w:rsidRPr="00160E8D">
        <w:rPr>
          <w:sz w:val="22"/>
          <w:szCs w:val="22"/>
          <w:lang w:val="nl-NL"/>
        </w:rPr>
        <w:t xml:space="preserve">. Bijgevolg kunnen zij het volledig toegekende bedrag vrijelijk besteden binnen de krijtlijnen van het uitvoeringsbesluit. Bedoeling hiervan is de kleine </w:t>
      </w:r>
      <w:proofErr w:type="spellStart"/>
      <w:r w:rsidRPr="00160E8D">
        <w:rPr>
          <w:sz w:val="22"/>
          <w:szCs w:val="22"/>
          <w:lang w:val="nl-NL"/>
        </w:rPr>
        <w:t>OCMW’s</w:t>
      </w:r>
      <w:proofErr w:type="spellEnd"/>
      <w:r w:rsidRPr="00160E8D">
        <w:rPr>
          <w:sz w:val="22"/>
          <w:szCs w:val="22"/>
          <w:lang w:val="nl-NL"/>
        </w:rPr>
        <w:t xml:space="preserve"> soepelheid te bieden bij de besteding van de toelage. De bestedingscriteria die gelden voor personeelskosten blijven wel van toepassing. </w:t>
      </w:r>
    </w:p>
    <w:p w:rsidR="00E438E4" w:rsidRPr="00160E8D" w:rsidRDefault="00E438E4" w:rsidP="00E438E4">
      <w:pPr>
        <w:pStyle w:val="Lijstalinea"/>
        <w:jc w:val="both"/>
        <w:rPr>
          <w:sz w:val="22"/>
          <w:szCs w:val="22"/>
          <w:lang w:val="nl-NL"/>
        </w:rPr>
      </w:pPr>
    </w:p>
    <w:p w:rsidR="001A3245" w:rsidRPr="00160E8D" w:rsidRDefault="00E438E4" w:rsidP="00C56F01">
      <w:pPr>
        <w:pStyle w:val="Lijstalinea"/>
        <w:jc w:val="both"/>
        <w:rPr>
          <w:sz w:val="22"/>
          <w:szCs w:val="22"/>
          <w:lang w:val="nl-NL"/>
        </w:rPr>
      </w:pPr>
      <w:r w:rsidRPr="00160E8D">
        <w:rPr>
          <w:b/>
          <w:sz w:val="22"/>
          <w:szCs w:val="22"/>
          <w:u w:val="single"/>
          <w:lang w:val="nl-NL"/>
        </w:rPr>
        <w:t>Bijvoorbeeld</w:t>
      </w:r>
      <w:r w:rsidR="00C56F01" w:rsidRPr="00160E8D">
        <w:rPr>
          <w:sz w:val="22"/>
          <w:szCs w:val="22"/>
          <w:lang w:val="nl-NL"/>
        </w:rPr>
        <w:t>: indien een OCMW met een bedrag kleiner of gelijk aan 5000€ beslist om in 2017 100% van de toegekende middelen te besteden aan de organisatie van collectieve modules en in 2018 100% aan de bestrijding van kinderarmoede, dan is het OCMW vrij om dit te doen. Het moet zich dan wel houden aan de bestedingscriteria die gelden voor de personeelskosten, overeenkomstig de keuzen die het maakt inzake activiteiten en doelstellingen. Zo kan in het gegeven voorbeeld het kleinere OCMW in 2017, indien het dat wil, 100 % van de toelage verantwoorden aan de hand van personeelskosten (want de gekozen activiteit is het organiseren van collectieve modules) en kan het in 2018 hoogstens 10 % van het toelagebedrag verantwoorden aan de hand van personeelskosten vermits de beleidskeuze in 2018 het bestrijden van kinderarmoede behelst.</w:t>
      </w:r>
      <w:r w:rsidRPr="00160E8D">
        <w:rPr>
          <w:sz w:val="22"/>
          <w:szCs w:val="22"/>
          <w:lang w:val="nl-NL"/>
        </w:rPr>
        <w:t xml:space="preserve"> </w:t>
      </w:r>
    </w:p>
    <w:p w:rsidR="00E438E4" w:rsidRDefault="00E438E4" w:rsidP="00C56F01">
      <w:pPr>
        <w:pStyle w:val="Lijstalinea"/>
        <w:jc w:val="both"/>
        <w:rPr>
          <w:sz w:val="22"/>
          <w:szCs w:val="22"/>
          <w:lang w:val="nl-NL"/>
        </w:rPr>
      </w:pPr>
    </w:p>
    <w:p w:rsidR="00693628" w:rsidRPr="00160E8D" w:rsidRDefault="00693628" w:rsidP="00C56F01">
      <w:pPr>
        <w:pStyle w:val="Lijstalinea"/>
        <w:jc w:val="both"/>
        <w:rPr>
          <w:sz w:val="22"/>
          <w:szCs w:val="22"/>
          <w:lang w:val="nl-NL"/>
        </w:rPr>
      </w:pPr>
    </w:p>
    <w:p w:rsidR="00C56F01" w:rsidRPr="00160E8D" w:rsidRDefault="00C56F01" w:rsidP="0064186B">
      <w:pPr>
        <w:pStyle w:val="Lijstalinea"/>
        <w:numPr>
          <w:ilvl w:val="0"/>
          <w:numId w:val="10"/>
        </w:numPr>
        <w:jc w:val="both"/>
        <w:rPr>
          <w:sz w:val="22"/>
          <w:szCs w:val="22"/>
          <w:lang w:val="nl-NL"/>
        </w:rPr>
      </w:pPr>
      <w:r w:rsidRPr="00160E8D">
        <w:rPr>
          <w:b/>
          <w:sz w:val="22"/>
          <w:szCs w:val="22"/>
          <w:lang w:val="nl-NL"/>
        </w:rPr>
        <w:t xml:space="preserve">Deze uitzondering blijft behouden wanneer meerdere </w:t>
      </w:r>
      <w:r w:rsidR="00783413" w:rsidRPr="00160E8D">
        <w:rPr>
          <w:b/>
          <w:sz w:val="22"/>
          <w:szCs w:val="22"/>
          <w:lang w:val="nl-NL"/>
        </w:rPr>
        <w:t>‘</w:t>
      </w:r>
      <w:r w:rsidRPr="00160E8D">
        <w:rPr>
          <w:b/>
          <w:sz w:val="22"/>
          <w:szCs w:val="22"/>
          <w:lang w:val="nl-NL"/>
        </w:rPr>
        <w:t>kleine</w:t>
      </w:r>
      <w:r w:rsidR="00783413" w:rsidRPr="00160E8D">
        <w:rPr>
          <w:b/>
          <w:sz w:val="22"/>
          <w:szCs w:val="22"/>
          <w:lang w:val="nl-NL"/>
        </w:rPr>
        <w:t>’</w:t>
      </w:r>
      <w:r w:rsidRPr="00160E8D">
        <w:rPr>
          <w:b/>
          <w:sz w:val="22"/>
          <w:szCs w:val="22"/>
          <w:lang w:val="nl-NL"/>
        </w:rPr>
        <w:t xml:space="preserve"> </w:t>
      </w:r>
      <w:proofErr w:type="spellStart"/>
      <w:r w:rsidRPr="00160E8D">
        <w:rPr>
          <w:b/>
          <w:sz w:val="22"/>
          <w:szCs w:val="22"/>
          <w:lang w:val="nl-NL"/>
        </w:rPr>
        <w:t>OCMW’s</w:t>
      </w:r>
      <w:proofErr w:type="spellEnd"/>
      <w:r w:rsidRPr="00160E8D">
        <w:rPr>
          <w:b/>
          <w:sz w:val="22"/>
          <w:szCs w:val="22"/>
          <w:lang w:val="nl-NL"/>
        </w:rPr>
        <w:t xml:space="preserve"> hun financiële middelen groeperen.</w:t>
      </w:r>
      <w:r w:rsidRPr="00160E8D">
        <w:rPr>
          <w:sz w:val="22"/>
          <w:szCs w:val="22"/>
          <w:lang w:val="nl-NL"/>
        </w:rPr>
        <w:t xml:space="preserve"> Kleinere </w:t>
      </w:r>
      <w:proofErr w:type="spellStart"/>
      <w:r w:rsidRPr="00160E8D">
        <w:rPr>
          <w:sz w:val="22"/>
          <w:szCs w:val="22"/>
          <w:lang w:val="nl-NL"/>
        </w:rPr>
        <w:t>OCMW’s</w:t>
      </w:r>
      <w:proofErr w:type="spellEnd"/>
      <w:r w:rsidRPr="00160E8D">
        <w:rPr>
          <w:sz w:val="22"/>
          <w:szCs w:val="22"/>
          <w:lang w:val="nl-NL"/>
        </w:rPr>
        <w:t xml:space="preserve"> die een samenwerkingsovereenkomst sluiten om de toegekende financiële middelen te bundelen </w:t>
      </w:r>
      <w:r w:rsidR="00947CB7" w:rsidRPr="00160E8D">
        <w:rPr>
          <w:sz w:val="22"/>
          <w:szCs w:val="22"/>
          <w:lang w:val="nl-NL"/>
        </w:rPr>
        <w:t>om</w:t>
      </w:r>
      <w:r w:rsidRPr="00160E8D">
        <w:rPr>
          <w:sz w:val="22"/>
          <w:szCs w:val="22"/>
          <w:lang w:val="nl-NL"/>
        </w:rPr>
        <w:t xml:space="preserve"> gemeenschappelijke initiatieven te ontwikkelen, zullen het gebundeld toelagebedrag vrijelijk kunnen besteden binnen de krijtlijnen van het toelagebesluit, overeenkomstig de uitzondering, beschreven in het punt hierboven. Kleinere </w:t>
      </w:r>
      <w:proofErr w:type="spellStart"/>
      <w:r w:rsidRPr="00160E8D">
        <w:rPr>
          <w:sz w:val="22"/>
          <w:szCs w:val="22"/>
          <w:lang w:val="nl-NL"/>
        </w:rPr>
        <w:t>OCMW’s</w:t>
      </w:r>
      <w:proofErr w:type="spellEnd"/>
      <w:r w:rsidRPr="00160E8D">
        <w:rPr>
          <w:sz w:val="22"/>
          <w:szCs w:val="22"/>
          <w:lang w:val="nl-NL"/>
        </w:rPr>
        <w:t xml:space="preserve"> beschikken namelijk over een grotere autonomie inzake de aanwending van de toelage (zie </w:t>
      </w:r>
      <w:r w:rsidR="007C2CCE" w:rsidRPr="00160E8D">
        <w:rPr>
          <w:sz w:val="22"/>
          <w:szCs w:val="22"/>
          <w:lang w:val="nl-NL"/>
        </w:rPr>
        <w:t>voorgaand punt</w:t>
      </w:r>
      <w:r w:rsidRPr="00160E8D">
        <w:rPr>
          <w:sz w:val="22"/>
          <w:szCs w:val="22"/>
          <w:lang w:val="nl-NL"/>
        </w:rPr>
        <w:t xml:space="preserve">), een voordeel dat behouden blijft bij schaalvergroting. Zo kunnen kleinere </w:t>
      </w:r>
      <w:proofErr w:type="spellStart"/>
      <w:r w:rsidRPr="00160E8D">
        <w:rPr>
          <w:sz w:val="22"/>
          <w:szCs w:val="22"/>
          <w:lang w:val="nl-NL"/>
        </w:rPr>
        <w:t>OCMW’s</w:t>
      </w:r>
      <w:proofErr w:type="spellEnd"/>
      <w:r w:rsidRPr="00160E8D">
        <w:rPr>
          <w:sz w:val="22"/>
          <w:szCs w:val="22"/>
          <w:lang w:val="nl-NL"/>
        </w:rPr>
        <w:t xml:space="preserve"> ervoor kiezen om de financiële middelen te bundelen voor de aanwerving van een personeelslid dat kan ingezet worden voor alle deelnemende </w:t>
      </w:r>
      <w:proofErr w:type="spellStart"/>
      <w:r w:rsidRPr="00160E8D">
        <w:rPr>
          <w:sz w:val="22"/>
          <w:szCs w:val="22"/>
          <w:lang w:val="nl-NL"/>
        </w:rPr>
        <w:t>OCMW’s</w:t>
      </w:r>
      <w:proofErr w:type="spellEnd"/>
      <w:r w:rsidRPr="00160E8D">
        <w:rPr>
          <w:sz w:val="22"/>
          <w:szCs w:val="22"/>
          <w:lang w:val="nl-NL"/>
        </w:rPr>
        <w:t>.</w:t>
      </w:r>
    </w:p>
    <w:p w:rsidR="00E438E4" w:rsidRDefault="00E438E4" w:rsidP="00E438E4">
      <w:pPr>
        <w:pStyle w:val="Lijstalinea"/>
        <w:rPr>
          <w:sz w:val="22"/>
          <w:szCs w:val="22"/>
          <w:lang w:val="nl-NL"/>
        </w:rPr>
      </w:pPr>
    </w:p>
    <w:p w:rsidR="00693628" w:rsidRPr="00160E8D" w:rsidRDefault="00693628" w:rsidP="00E438E4">
      <w:pPr>
        <w:pStyle w:val="Lijstalinea"/>
        <w:rPr>
          <w:sz w:val="22"/>
          <w:szCs w:val="22"/>
          <w:lang w:val="nl-NL"/>
        </w:rPr>
      </w:pPr>
    </w:p>
    <w:p w:rsidR="00E438E4" w:rsidRPr="00160E8D" w:rsidRDefault="00E438E4" w:rsidP="0064186B">
      <w:pPr>
        <w:pStyle w:val="Lijstalinea"/>
        <w:numPr>
          <w:ilvl w:val="0"/>
          <w:numId w:val="10"/>
        </w:numPr>
        <w:jc w:val="both"/>
        <w:rPr>
          <w:b/>
          <w:sz w:val="22"/>
          <w:szCs w:val="22"/>
          <w:lang w:val="nl-NL"/>
        </w:rPr>
      </w:pPr>
      <w:r w:rsidRPr="00160E8D">
        <w:rPr>
          <w:b/>
          <w:sz w:val="22"/>
          <w:szCs w:val="22"/>
          <w:lang w:val="nl-NL"/>
        </w:rPr>
        <w:t xml:space="preserve">Overgangsmaatregel 2017 </w:t>
      </w:r>
      <w:r w:rsidR="0088394C" w:rsidRPr="00160E8D">
        <w:rPr>
          <w:b/>
          <w:sz w:val="22"/>
          <w:szCs w:val="22"/>
          <w:lang w:val="nl-NL"/>
        </w:rPr>
        <w:t xml:space="preserve">voor </w:t>
      </w:r>
      <w:r w:rsidR="00783413" w:rsidRPr="00160E8D">
        <w:rPr>
          <w:b/>
          <w:sz w:val="22"/>
          <w:szCs w:val="22"/>
          <w:lang w:val="nl-NL"/>
        </w:rPr>
        <w:t>‘</w:t>
      </w:r>
      <w:r w:rsidR="0088394C" w:rsidRPr="00160E8D">
        <w:rPr>
          <w:b/>
          <w:sz w:val="22"/>
          <w:szCs w:val="22"/>
          <w:lang w:val="nl-NL"/>
        </w:rPr>
        <w:t>kleine</w:t>
      </w:r>
      <w:r w:rsidR="00783413" w:rsidRPr="00160E8D">
        <w:rPr>
          <w:b/>
          <w:sz w:val="22"/>
          <w:szCs w:val="22"/>
          <w:lang w:val="nl-NL"/>
        </w:rPr>
        <w:t>’</w:t>
      </w:r>
      <w:r w:rsidR="0088394C" w:rsidRPr="00160E8D">
        <w:rPr>
          <w:b/>
          <w:sz w:val="22"/>
          <w:szCs w:val="22"/>
          <w:lang w:val="nl-NL"/>
        </w:rPr>
        <w:t xml:space="preserve"> </w:t>
      </w:r>
      <w:proofErr w:type="spellStart"/>
      <w:r w:rsidR="0088394C" w:rsidRPr="00160E8D">
        <w:rPr>
          <w:b/>
          <w:sz w:val="22"/>
          <w:szCs w:val="22"/>
          <w:lang w:val="nl-NL"/>
        </w:rPr>
        <w:t>OCMW</w:t>
      </w:r>
      <w:r w:rsidR="00783413" w:rsidRPr="00160E8D">
        <w:rPr>
          <w:b/>
          <w:sz w:val="22"/>
          <w:szCs w:val="22"/>
          <w:lang w:val="nl-NL"/>
        </w:rPr>
        <w:t>’</w:t>
      </w:r>
      <w:r w:rsidR="0088394C" w:rsidRPr="00160E8D">
        <w:rPr>
          <w:b/>
          <w:sz w:val="22"/>
          <w:szCs w:val="22"/>
          <w:lang w:val="nl-NL"/>
        </w:rPr>
        <w:t>s</w:t>
      </w:r>
      <w:proofErr w:type="spellEnd"/>
      <w:r w:rsidRPr="00160E8D">
        <w:rPr>
          <w:b/>
          <w:sz w:val="22"/>
          <w:szCs w:val="22"/>
          <w:lang w:val="nl-NL"/>
        </w:rPr>
        <w:t xml:space="preserve"> </w:t>
      </w:r>
      <w:r w:rsidR="00783413" w:rsidRPr="00160E8D">
        <w:rPr>
          <w:b/>
          <w:sz w:val="22"/>
          <w:szCs w:val="22"/>
          <w:lang w:val="nl-NL"/>
        </w:rPr>
        <w:t>die door de compensatie 5000€ overschrijden</w:t>
      </w:r>
      <w:r w:rsidRPr="00160E8D">
        <w:rPr>
          <w:b/>
          <w:sz w:val="22"/>
          <w:szCs w:val="22"/>
          <w:lang w:val="nl-NL"/>
        </w:rPr>
        <w:t>:</w:t>
      </w:r>
    </w:p>
    <w:p w:rsidR="00C56F01" w:rsidRPr="00160E8D" w:rsidRDefault="00E438E4" w:rsidP="00455D2C">
      <w:pPr>
        <w:pStyle w:val="Lijstalinea"/>
        <w:jc w:val="both"/>
        <w:rPr>
          <w:sz w:val="22"/>
          <w:szCs w:val="22"/>
          <w:lang w:val="nl-NL"/>
        </w:rPr>
      </w:pPr>
      <w:r w:rsidRPr="00160E8D">
        <w:rPr>
          <w:sz w:val="22"/>
          <w:szCs w:val="22"/>
          <w:lang w:val="nl-NL"/>
        </w:rPr>
        <w:t xml:space="preserve">Voor 2017 zal soepelheid aan de dag gelegd worden bij de verantwoording van de toelage voor de </w:t>
      </w:r>
      <w:proofErr w:type="spellStart"/>
      <w:r w:rsidRPr="00160E8D">
        <w:rPr>
          <w:sz w:val="22"/>
          <w:szCs w:val="22"/>
          <w:lang w:val="nl-NL"/>
        </w:rPr>
        <w:t>OCMW’s</w:t>
      </w:r>
      <w:proofErr w:type="spellEnd"/>
      <w:r w:rsidRPr="00160E8D">
        <w:rPr>
          <w:sz w:val="22"/>
          <w:szCs w:val="22"/>
          <w:lang w:val="nl-NL"/>
        </w:rPr>
        <w:t xml:space="preserve"> waarvan het totale toelagebedrag 5000€ overstijgt dóór de toekenning van een </w:t>
      </w:r>
      <w:r w:rsidR="00947CB7" w:rsidRPr="00160E8D">
        <w:rPr>
          <w:sz w:val="22"/>
          <w:szCs w:val="22"/>
          <w:lang w:val="nl-NL"/>
        </w:rPr>
        <w:t xml:space="preserve">compenserend </w:t>
      </w:r>
      <w:r w:rsidRPr="00160E8D">
        <w:rPr>
          <w:sz w:val="22"/>
          <w:szCs w:val="22"/>
          <w:lang w:val="nl-NL"/>
        </w:rPr>
        <w:t xml:space="preserve">toelagebedrag </w:t>
      </w:r>
      <w:r w:rsidR="00947CB7" w:rsidRPr="00160E8D">
        <w:rPr>
          <w:sz w:val="22"/>
          <w:szCs w:val="22"/>
          <w:lang w:val="nl-NL"/>
        </w:rPr>
        <w:t xml:space="preserve">via het </w:t>
      </w:r>
      <w:r w:rsidRPr="00160E8D">
        <w:rPr>
          <w:sz w:val="22"/>
          <w:szCs w:val="22"/>
          <w:lang w:val="nl-NL"/>
        </w:rPr>
        <w:t xml:space="preserve">koninklijk besluit van 24 september 2017. Dit betekent </w:t>
      </w:r>
      <w:r w:rsidR="00947CB7" w:rsidRPr="00160E8D">
        <w:rPr>
          <w:sz w:val="22"/>
          <w:szCs w:val="22"/>
          <w:lang w:val="nl-NL"/>
        </w:rPr>
        <w:t xml:space="preserve">dat </w:t>
      </w:r>
      <w:r w:rsidR="00703648" w:rsidRPr="00160E8D">
        <w:rPr>
          <w:sz w:val="22"/>
          <w:szCs w:val="22"/>
          <w:lang w:val="nl-NL"/>
        </w:rPr>
        <w:t xml:space="preserve">de </w:t>
      </w:r>
      <w:proofErr w:type="spellStart"/>
      <w:r w:rsidR="00703648" w:rsidRPr="00160E8D">
        <w:rPr>
          <w:sz w:val="22"/>
          <w:szCs w:val="22"/>
          <w:lang w:val="nl-NL"/>
        </w:rPr>
        <w:t>OCMW’s</w:t>
      </w:r>
      <w:proofErr w:type="spellEnd"/>
      <w:r w:rsidR="00703648" w:rsidRPr="00160E8D">
        <w:rPr>
          <w:sz w:val="22"/>
          <w:szCs w:val="22"/>
          <w:lang w:val="nl-NL"/>
        </w:rPr>
        <w:t xml:space="preserve"> die zich in deze situatie bevinden </w:t>
      </w:r>
      <w:r w:rsidRPr="00160E8D">
        <w:rPr>
          <w:sz w:val="22"/>
          <w:szCs w:val="22"/>
          <w:lang w:val="nl-NL"/>
        </w:rPr>
        <w:t xml:space="preserve">voor 2017 niet gehouden </w:t>
      </w:r>
      <w:r w:rsidR="00703648" w:rsidRPr="00160E8D">
        <w:rPr>
          <w:sz w:val="22"/>
          <w:szCs w:val="22"/>
          <w:lang w:val="nl-NL"/>
        </w:rPr>
        <w:t>zijn</w:t>
      </w:r>
      <w:r w:rsidRPr="00160E8D">
        <w:rPr>
          <w:sz w:val="22"/>
          <w:szCs w:val="22"/>
          <w:lang w:val="nl-NL"/>
        </w:rPr>
        <w:t xml:space="preserve"> aan de bestedingscriteria, bepaald bij artikel 3, § 3, van het koninklijk besluit van 10 januari 2017 houdende maatregelen ter bevordering van de participatie en sociale activering van de gebruikers van de dienstverlening van de openbare centra voor maatschappelijk welzijn voor het jaar 2017. </w:t>
      </w:r>
      <w:r w:rsidR="00703648" w:rsidRPr="00160E8D">
        <w:rPr>
          <w:sz w:val="22"/>
          <w:szCs w:val="22"/>
          <w:lang w:val="nl-NL"/>
        </w:rPr>
        <w:t xml:space="preserve">Deze </w:t>
      </w:r>
      <w:proofErr w:type="spellStart"/>
      <w:r w:rsidRPr="00160E8D">
        <w:rPr>
          <w:sz w:val="22"/>
          <w:szCs w:val="22"/>
          <w:lang w:val="nl-NL"/>
        </w:rPr>
        <w:t>OCMW</w:t>
      </w:r>
      <w:r w:rsidR="00703648" w:rsidRPr="00160E8D">
        <w:rPr>
          <w:sz w:val="22"/>
          <w:szCs w:val="22"/>
          <w:lang w:val="nl-NL"/>
        </w:rPr>
        <w:t>’s</w:t>
      </w:r>
      <w:proofErr w:type="spellEnd"/>
      <w:r w:rsidRPr="00160E8D">
        <w:rPr>
          <w:sz w:val="22"/>
          <w:szCs w:val="22"/>
          <w:lang w:val="nl-NL"/>
        </w:rPr>
        <w:t xml:space="preserve"> word</w:t>
      </w:r>
      <w:r w:rsidR="00703648" w:rsidRPr="00160E8D">
        <w:rPr>
          <w:sz w:val="22"/>
          <w:szCs w:val="22"/>
          <w:lang w:val="nl-NL"/>
        </w:rPr>
        <w:t>en</w:t>
      </w:r>
      <w:r w:rsidRPr="00160E8D">
        <w:rPr>
          <w:sz w:val="22"/>
          <w:szCs w:val="22"/>
          <w:lang w:val="nl-NL"/>
        </w:rPr>
        <w:t xml:space="preserve"> dus voor de verantwoording van de toelage voor het jaar 2017 gelijkgesteld met een OCMW waarvan het totale toegekende toelagebedrag gelijk is aan of minder bedraagt dan 5.000 €.</w:t>
      </w:r>
    </w:p>
    <w:p w:rsidR="00BA524B" w:rsidRDefault="00BA524B" w:rsidP="00455D2C">
      <w:pPr>
        <w:pStyle w:val="Lijstalinea"/>
        <w:jc w:val="both"/>
        <w:rPr>
          <w:sz w:val="22"/>
          <w:szCs w:val="22"/>
          <w:lang w:val="nl-NL"/>
        </w:rPr>
      </w:pPr>
    </w:p>
    <w:p w:rsidR="00693628" w:rsidRPr="00160E8D" w:rsidRDefault="00693628" w:rsidP="00455D2C">
      <w:pPr>
        <w:pStyle w:val="Lijstalinea"/>
        <w:jc w:val="both"/>
        <w:rPr>
          <w:sz w:val="22"/>
          <w:szCs w:val="22"/>
          <w:lang w:val="nl-NL"/>
        </w:rPr>
      </w:pPr>
    </w:p>
    <w:p w:rsidR="00BA524B" w:rsidRPr="00160E8D" w:rsidRDefault="00BA524B" w:rsidP="0064186B">
      <w:pPr>
        <w:pStyle w:val="Lijstalinea"/>
        <w:numPr>
          <w:ilvl w:val="0"/>
          <w:numId w:val="10"/>
        </w:numPr>
        <w:rPr>
          <w:sz w:val="22"/>
          <w:szCs w:val="22"/>
          <w:lang w:val="nl-NL"/>
        </w:rPr>
      </w:pPr>
      <w:proofErr w:type="spellStart"/>
      <w:r w:rsidRPr="00693628">
        <w:rPr>
          <w:b/>
          <w:sz w:val="22"/>
          <w:szCs w:val="22"/>
          <w:lang w:val="nl-NL"/>
        </w:rPr>
        <w:t>OCMW's</w:t>
      </w:r>
      <w:proofErr w:type="spellEnd"/>
      <w:r w:rsidRPr="00693628">
        <w:rPr>
          <w:b/>
          <w:sz w:val="22"/>
          <w:szCs w:val="22"/>
          <w:lang w:val="nl-NL"/>
        </w:rPr>
        <w:t xml:space="preserve"> met een bedrag kleiner dan 7500€</w:t>
      </w:r>
      <w:r w:rsidRPr="00160E8D">
        <w:rPr>
          <w:sz w:val="22"/>
          <w:szCs w:val="22"/>
          <w:lang w:val="nl-NL"/>
        </w:rPr>
        <w:t xml:space="preserve"> zijn niet verplicht om de resultaatindicatoren in te vullen in het uniek jaarverslag en dienen enkel het toegekende bedrag per luik (en niet op detailniveau van activiteit) te verantwoorden.</w:t>
      </w:r>
    </w:p>
    <w:p w:rsidR="00455D2C" w:rsidRPr="00160E8D" w:rsidRDefault="00455D2C" w:rsidP="001A3245">
      <w:pPr>
        <w:ind w:left="708" w:firstLine="708"/>
        <w:rPr>
          <w:sz w:val="22"/>
          <w:szCs w:val="22"/>
          <w:lang w:val="nl-NL"/>
        </w:rPr>
      </w:pPr>
    </w:p>
    <w:p w:rsidR="001A3245" w:rsidRPr="00160E8D" w:rsidRDefault="001A3245" w:rsidP="0064186B">
      <w:pPr>
        <w:pStyle w:val="Lijstalinea"/>
        <w:numPr>
          <w:ilvl w:val="0"/>
          <w:numId w:val="10"/>
        </w:numPr>
        <w:rPr>
          <w:b/>
          <w:sz w:val="22"/>
          <w:szCs w:val="22"/>
          <w:lang w:val="nl-NL"/>
        </w:rPr>
      </w:pPr>
      <w:r w:rsidRPr="00160E8D">
        <w:rPr>
          <w:b/>
          <w:sz w:val="22"/>
          <w:szCs w:val="22"/>
          <w:lang w:val="nl-NL"/>
        </w:rPr>
        <w:t xml:space="preserve">Cumul </w:t>
      </w:r>
      <w:r w:rsidR="003F6CF5" w:rsidRPr="00160E8D">
        <w:rPr>
          <w:b/>
          <w:sz w:val="22"/>
          <w:szCs w:val="22"/>
          <w:lang w:val="nl-NL"/>
        </w:rPr>
        <w:t xml:space="preserve">met andere toelagen is mogelijk </w:t>
      </w:r>
      <w:r w:rsidRPr="00160E8D">
        <w:rPr>
          <w:b/>
          <w:sz w:val="22"/>
          <w:szCs w:val="22"/>
          <w:lang w:val="nl-NL"/>
        </w:rPr>
        <w:t>, maar geen dubbele financiering</w:t>
      </w:r>
    </w:p>
    <w:p w:rsidR="003860BA" w:rsidRPr="00160E8D" w:rsidRDefault="003860BA" w:rsidP="0088394C">
      <w:pPr>
        <w:pStyle w:val="Lijstalinea"/>
        <w:rPr>
          <w:sz w:val="22"/>
          <w:szCs w:val="22"/>
          <w:lang w:val="nl-NL"/>
        </w:rPr>
      </w:pPr>
    </w:p>
    <w:p w:rsidR="0088394C" w:rsidRPr="00160E8D" w:rsidRDefault="003860BA" w:rsidP="0088394C">
      <w:pPr>
        <w:pStyle w:val="Lijstalinea"/>
        <w:rPr>
          <w:sz w:val="22"/>
          <w:szCs w:val="22"/>
          <w:lang w:val="nl-NL"/>
        </w:rPr>
      </w:pPr>
      <w:r w:rsidRPr="00160E8D">
        <w:rPr>
          <w:sz w:val="22"/>
          <w:szCs w:val="22"/>
          <w:lang w:val="nl-NL"/>
        </w:rPr>
        <w:t>K</w:t>
      </w:r>
      <w:r w:rsidR="0088394C" w:rsidRPr="00160E8D">
        <w:rPr>
          <w:sz w:val="22"/>
          <w:szCs w:val="22"/>
          <w:lang w:val="nl-NL"/>
        </w:rPr>
        <w:t xml:space="preserve">osten die reeds zijn aangerekend op </w:t>
      </w:r>
      <w:r w:rsidRPr="00160E8D">
        <w:rPr>
          <w:sz w:val="22"/>
          <w:szCs w:val="22"/>
          <w:lang w:val="nl-NL"/>
        </w:rPr>
        <w:t xml:space="preserve">een ander subsidiekanaal </w:t>
      </w:r>
      <w:r w:rsidR="00664C15" w:rsidRPr="00160E8D">
        <w:rPr>
          <w:sz w:val="22"/>
          <w:szCs w:val="22"/>
          <w:lang w:val="nl-NL"/>
        </w:rPr>
        <w:t xml:space="preserve">(vb. 10% GPMI, ESF, Maribel,..) </w:t>
      </w:r>
      <w:r w:rsidRPr="00160E8D">
        <w:rPr>
          <w:sz w:val="22"/>
          <w:szCs w:val="22"/>
          <w:lang w:val="nl-NL"/>
        </w:rPr>
        <w:t xml:space="preserve">kunnen niet opnieuw </w:t>
      </w:r>
      <w:r w:rsidR="0088394C" w:rsidRPr="00160E8D">
        <w:rPr>
          <w:sz w:val="22"/>
          <w:szCs w:val="22"/>
          <w:lang w:val="nl-NL"/>
        </w:rPr>
        <w:t>(voor een tweede maal dus) aangerekend worden op de toelage</w:t>
      </w:r>
      <w:r w:rsidRPr="00160E8D">
        <w:rPr>
          <w:sz w:val="22"/>
          <w:szCs w:val="22"/>
          <w:lang w:val="nl-NL"/>
        </w:rPr>
        <w:t xml:space="preserve"> voor participatie en maatschappelijke participatie</w:t>
      </w:r>
      <w:r w:rsidR="0088394C" w:rsidRPr="00160E8D">
        <w:rPr>
          <w:sz w:val="22"/>
          <w:szCs w:val="22"/>
          <w:lang w:val="nl-NL"/>
        </w:rPr>
        <w:t>. Wat letterlijk zou neerkomen op het dubbel (</w:t>
      </w:r>
      <w:r w:rsidR="007C2CCE" w:rsidRPr="00160E8D">
        <w:rPr>
          <w:sz w:val="22"/>
          <w:szCs w:val="22"/>
          <w:lang w:val="nl-NL"/>
        </w:rPr>
        <w:t>tweemaal</w:t>
      </w:r>
      <w:r w:rsidR="0088394C" w:rsidRPr="00160E8D">
        <w:rPr>
          <w:sz w:val="22"/>
          <w:szCs w:val="22"/>
          <w:lang w:val="nl-NL"/>
        </w:rPr>
        <w:t>) subsidiëren van eenzelfde kost.</w:t>
      </w:r>
    </w:p>
    <w:p w:rsidR="001A3245" w:rsidRPr="00160E8D" w:rsidRDefault="001A3245" w:rsidP="00FE4A3B">
      <w:pPr>
        <w:rPr>
          <w:b/>
          <w:sz w:val="22"/>
          <w:szCs w:val="22"/>
          <w:lang w:val="nl-NL"/>
        </w:rPr>
      </w:pPr>
    </w:p>
    <w:p w:rsidR="00283343" w:rsidRDefault="00283343">
      <w:pPr>
        <w:rPr>
          <w:rFonts w:ascii="Calibri" w:eastAsiaTheme="majorEastAsia" w:hAnsi="Calibri" w:cstheme="majorBidi"/>
          <w:b/>
          <w:caps/>
          <w:color w:val="000000" w:themeColor="text1"/>
          <w:sz w:val="24"/>
          <w:szCs w:val="40"/>
          <w:lang w:val="nl-NL"/>
        </w:rPr>
      </w:pPr>
      <w:r>
        <w:br w:type="page"/>
      </w:r>
    </w:p>
    <w:p w:rsidR="00FE4A3B" w:rsidRPr="00FE4A3B" w:rsidRDefault="00FE4A3B" w:rsidP="000E3D99">
      <w:pPr>
        <w:pStyle w:val="Stijl1"/>
      </w:pPr>
      <w:bookmarkStart w:id="5" w:name="_Toc506398906"/>
      <w:r w:rsidRPr="00FE4A3B">
        <w:t>Collectieve modules</w:t>
      </w:r>
      <w:bookmarkEnd w:id="5"/>
    </w:p>
    <w:p w:rsidR="00283343" w:rsidRPr="00283343" w:rsidRDefault="00283343" w:rsidP="00283343">
      <w:pPr>
        <w:ind w:left="360"/>
        <w:jc w:val="both"/>
        <w:rPr>
          <w:b/>
          <w:lang w:val="nl-NL"/>
        </w:rPr>
      </w:pPr>
    </w:p>
    <w:p w:rsidR="00B84881" w:rsidRPr="00693628" w:rsidRDefault="003B525C" w:rsidP="0064186B">
      <w:pPr>
        <w:pStyle w:val="Lijstalinea"/>
        <w:numPr>
          <w:ilvl w:val="0"/>
          <w:numId w:val="40"/>
        </w:numPr>
        <w:jc w:val="both"/>
        <w:rPr>
          <w:b/>
          <w:sz w:val="22"/>
          <w:szCs w:val="22"/>
          <w:lang w:val="nl-NL"/>
        </w:rPr>
      </w:pPr>
      <w:r w:rsidRPr="00693628">
        <w:rPr>
          <w:b/>
          <w:sz w:val="22"/>
          <w:szCs w:val="22"/>
          <w:lang w:val="nl-NL"/>
        </w:rPr>
        <w:t>Collectieve module versus collectieve actie</w:t>
      </w:r>
    </w:p>
    <w:p w:rsidR="00CE6330" w:rsidRPr="00693628" w:rsidRDefault="00CE6330" w:rsidP="00CE6330">
      <w:pPr>
        <w:jc w:val="both"/>
        <w:rPr>
          <w:sz w:val="22"/>
          <w:szCs w:val="22"/>
          <w:lang w:val="nl-NL"/>
        </w:rPr>
      </w:pPr>
      <w:r w:rsidRPr="00693628">
        <w:rPr>
          <w:sz w:val="22"/>
          <w:szCs w:val="22"/>
          <w:lang w:val="nl-NL"/>
        </w:rPr>
        <w:t>Collectieve modules worden in de</w:t>
      </w:r>
      <w:r w:rsidR="003860BA" w:rsidRPr="00693628">
        <w:rPr>
          <w:sz w:val="22"/>
          <w:szCs w:val="22"/>
          <w:lang w:val="nl-NL"/>
        </w:rPr>
        <w:t xml:space="preserve"> context van de toelage </w:t>
      </w:r>
      <w:r w:rsidR="007C2CCE" w:rsidRPr="00693628">
        <w:rPr>
          <w:sz w:val="22"/>
          <w:szCs w:val="22"/>
          <w:lang w:val="nl-NL"/>
        </w:rPr>
        <w:t>“participatie en sociale activering”</w:t>
      </w:r>
      <w:r w:rsidR="003860BA" w:rsidRPr="00693628">
        <w:rPr>
          <w:sz w:val="22"/>
          <w:szCs w:val="22"/>
          <w:lang w:val="nl-NL"/>
        </w:rPr>
        <w:t xml:space="preserve"> </w:t>
      </w:r>
      <w:r w:rsidRPr="00693628">
        <w:rPr>
          <w:sz w:val="22"/>
          <w:szCs w:val="22"/>
          <w:lang w:val="nl-NL"/>
        </w:rPr>
        <w:t xml:space="preserve">gedefinieerd als een samenhangend geheel van activiteiten die in groepsverband worden uitgevoerd met het oog op het bereiken van een welbepaald doel. </w:t>
      </w:r>
    </w:p>
    <w:p w:rsidR="00CE6330" w:rsidRPr="00693628" w:rsidRDefault="00CE6330" w:rsidP="00CE6330">
      <w:pPr>
        <w:jc w:val="both"/>
        <w:rPr>
          <w:sz w:val="22"/>
          <w:szCs w:val="22"/>
          <w:lang w:val="nl-NL"/>
        </w:rPr>
      </w:pPr>
      <w:r w:rsidRPr="00693628">
        <w:rPr>
          <w:sz w:val="22"/>
          <w:szCs w:val="22"/>
          <w:lang w:val="nl-NL"/>
        </w:rPr>
        <w:t xml:space="preserve">Bij het organiseren van collectieve modules wordt een trajectmatige aanpak beoogd waarmee er wordt gestreefd naar een welbepaald doel/resultaat binnen een welbepaalde periode en waarvoor men een welbepaald doelpubliek wil aanspreken. </w:t>
      </w:r>
    </w:p>
    <w:p w:rsidR="00ED098F" w:rsidRPr="00693628" w:rsidRDefault="00ED098F" w:rsidP="00CE6330">
      <w:pPr>
        <w:jc w:val="both"/>
        <w:rPr>
          <w:sz w:val="22"/>
          <w:szCs w:val="22"/>
          <w:lang w:val="nl-NL"/>
        </w:rPr>
      </w:pPr>
      <w:r w:rsidRPr="00693628">
        <w:rPr>
          <w:sz w:val="22"/>
          <w:szCs w:val="22"/>
          <w:lang w:val="nl-NL"/>
        </w:rPr>
        <w:t xml:space="preserve">Eénmalige </w:t>
      </w:r>
      <w:r w:rsidR="00B84881" w:rsidRPr="00693628">
        <w:rPr>
          <w:sz w:val="22"/>
          <w:szCs w:val="22"/>
          <w:lang w:val="nl-NL"/>
        </w:rPr>
        <w:t xml:space="preserve">activiteiten, zoals </w:t>
      </w:r>
      <w:r w:rsidRPr="00693628">
        <w:rPr>
          <w:sz w:val="22"/>
          <w:szCs w:val="22"/>
          <w:lang w:val="nl-NL"/>
        </w:rPr>
        <w:t>uitstappen</w:t>
      </w:r>
      <w:r w:rsidR="00B84881" w:rsidRPr="00693628">
        <w:rPr>
          <w:sz w:val="22"/>
          <w:szCs w:val="22"/>
          <w:lang w:val="nl-NL"/>
        </w:rPr>
        <w:t xml:space="preserve">, </w:t>
      </w:r>
      <w:r w:rsidRPr="00693628">
        <w:rPr>
          <w:sz w:val="22"/>
          <w:szCs w:val="22"/>
          <w:lang w:val="nl-NL"/>
        </w:rPr>
        <w:t>bijeenkomsten</w:t>
      </w:r>
      <w:r w:rsidR="00B84881" w:rsidRPr="00693628">
        <w:rPr>
          <w:sz w:val="22"/>
          <w:szCs w:val="22"/>
          <w:lang w:val="nl-NL"/>
        </w:rPr>
        <w:t xml:space="preserve"> of cursussen, </w:t>
      </w:r>
      <w:r w:rsidRPr="00693628">
        <w:rPr>
          <w:sz w:val="22"/>
          <w:szCs w:val="22"/>
          <w:lang w:val="nl-NL"/>
        </w:rPr>
        <w:t>behoren niet tot het luik 'collectieve modules' volgens deze definitie, aangezien hier geen sprake is van een trajectmatige aanpak. Ze kunnen wel geplaatst worden binnen het luik 'bevorderen van maatschappelijke participatie' (bijvoorbeeld eenmalig kookatelier, Sinterklaasfeest, uitstap naar de dierentuin of een pretpark).</w:t>
      </w:r>
    </w:p>
    <w:p w:rsidR="00CE6330" w:rsidRPr="00693628" w:rsidRDefault="00B84881" w:rsidP="00CE6330">
      <w:pPr>
        <w:jc w:val="both"/>
        <w:rPr>
          <w:sz w:val="22"/>
          <w:szCs w:val="22"/>
          <w:lang w:val="nl-NL"/>
        </w:rPr>
      </w:pPr>
      <w:r w:rsidRPr="00693628">
        <w:rPr>
          <w:sz w:val="22"/>
          <w:szCs w:val="22"/>
          <w:lang w:val="nl-NL"/>
        </w:rPr>
        <w:t>Dus, i</w:t>
      </w:r>
      <w:r w:rsidR="00CE6330" w:rsidRPr="00693628">
        <w:rPr>
          <w:sz w:val="22"/>
          <w:szCs w:val="22"/>
          <w:lang w:val="nl-NL"/>
        </w:rPr>
        <w:t xml:space="preserve">ndien het gaat om </w:t>
      </w:r>
      <w:r w:rsidR="00ED098F" w:rsidRPr="00693628">
        <w:rPr>
          <w:sz w:val="22"/>
          <w:szCs w:val="22"/>
          <w:lang w:val="nl-NL"/>
        </w:rPr>
        <w:t xml:space="preserve">een </w:t>
      </w:r>
      <w:r w:rsidRPr="00693628">
        <w:rPr>
          <w:sz w:val="22"/>
          <w:szCs w:val="22"/>
          <w:lang w:val="nl-NL"/>
        </w:rPr>
        <w:t xml:space="preserve">éénmalige </w:t>
      </w:r>
      <w:r w:rsidR="00ED098F" w:rsidRPr="00693628">
        <w:rPr>
          <w:sz w:val="22"/>
          <w:szCs w:val="22"/>
          <w:lang w:val="nl-NL"/>
        </w:rPr>
        <w:t xml:space="preserve">collectieve activiteit </w:t>
      </w:r>
      <w:r w:rsidR="00CE6330" w:rsidRPr="00693628">
        <w:rPr>
          <w:sz w:val="22"/>
          <w:szCs w:val="22"/>
          <w:lang w:val="nl-NL"/>
        </w:rPr>
        <w:t xml:space="preserve">zonder dat er sprake is van een </w:t>
      </w:r>
      <w:r w:rsidR="00CE6330" w:rsidRPr="00693628">
        <w:rPr>
          <w:b/>
          <w:sz w:val="22"/>
          <w:szCs w:val="22"/>
          <w:lang w:val="nl-NL"/>
        </w:rPr>
        <w:t>trajectmatige aanpak,</w:t>
      </w:r>
      <w:r w:rsidR="00CE6330" w:rsidRPr="00693628">
        <w:rPr>
          <w:sz w:val="22"/>
          <w:szCs w:val="22"/>
          <w:lang w:val="nl-NL"/>
        </w:rPr>
        <w:t xml:space="preserve"> komen ze niet in aanmerking voor de collectieve modules.</w:t>
      </w:r>
    </w:p>
    <w:p w:rsidR="00283343" w:rsidRPr="00693628" w:rsidRDefault="00283343" w:rsidP="00CE6330">
      <w:pPr>
        <w:jc w:val="both"/>
        <w:rPr>
          <w:sz w:val="22"/>
          <w:szCs w:val="22"/>
          <w:lang w:val="nl-NL"/>
        </w:rPr>
      </w:pPr>
    </w:p>
    <w:p w:rsidR="00B84881" w:rsidRPr="00693628" w:rsidRDefault="00B84881" w:rsidP="0064186B">
      <w:pPr>
        <w:pStyle w:val="Lijstalinea"/>
        <w:numPr>
          <w:ilvl w:val="0"/>
          <w:numId w:val="40"/>
        </w:numPr>
        <w:jc w:val="both"/>
        <w:rPr>
          <w:b/>
          <w:sz w:val="22"/>
          <w:szCs w:val="22"/>
          <w:lang w:val="nl-NL"/>
        </w:rPr>
      </w:pPr>
      <w:r w:rsidRPr="00693628">
        <w:rPr>
          <w:b/>
          <w:sz w:val="22"/>
          <w:szCs w:val="22"/>
          <w:lang w:val="nl-NL"/>
        </w:rPr>
        <w:t xml:space="preserve">Niet enkel voor deelnemers met GPMI </w:t>
      </w:r>
    </w:p>
    <w:p w:rsidR="00B84881" w:rsidRPr="00693628" w:rsidRDefault="00B84881" w:rsidP="00B84881">
      <w:pPr>
        <w:jc w:val="both"/>
        <w:rPr>
          <w:sz w:val="22"/>
          <w:szCs w:val="22"/>
          <w:lang w:val="nl-NL"/>
        </w:rPr>
      </w:pPr>
      <w:r w:rsidRPr="00693628">
        <w:rPr>
          <w:sz w:val="22"/>
          <w:szCs w:val="22"/>
          <w:lang w:val="nl-NL"/>
        </w:rPr>
        <w:t xml:space="preserve">Het is </w:t>
      </w:r>
      <w:r w:rsidRPr="00693628">
        <w:rPr>
          <w:sz w:val="22"/>
          <w:szCs w:val="22"/>
          <w:u w:val="single"/>
          <w:lang w:val="nl-NL"/>
        </w:rPr>
        <w:t>géén verplichting</w:t>
      </w:r>
      <w:r w:rsidRPr="00693628">
        <w:rPr>
          <w:sz w:val="22"/>
          <w:szCs w:val="22"/>
          <w:lang w:val="nl-NL"/>
        </w:rPr>
        <w:t xml:space="preserve"> dat de deelnemers aan collectieve modules een GPMI hebben. Mensen gewoon in begeleiding bij het OCMW zonder GPMI kunnen dus </w:t>
      </w:r>
      <w:r w:rsidR="003B525C" w:rsidRPr="00693628">
        <w:rPr>
          <w:sz w:val="22"/>
          <w:szCs w:val="22"/>
          <w:lang w:val="nl-NL"/>
        </w:rPr>
        <w:t>ook</w:t>
      </w:r>
      <w:r w:rsidRPr="00693628">
        <w:rPr>
          <w:sz w:val="22"/>
          <w:szCs w:val="22"/>
          <w:lang w:val="nl-NL"/>
        </w:rPr>
        <w:t xml:space="preserve"> deelnemen. De maatregel "participatie en </w:t>
      </w:r>
      <w:r w:rsidR="007C2CCE" w:rsidRPr="00693628">
        <w:rPr>
          <w:sz w:val="22"/>
          <w:szCs w:val="22"/>
          <w:lang w:val="nl-NL"/>
        </w:rPr>
        <w:t xml:space="preserve">sociale </w:t>
      </w:r>
      <w:r w:rsidRPr="00693628">
        <w:rPr>
          <w:sz w:val="22"/>
          <w:szCs w:val="22"/>
          <w:lang w:val="nl-NL"/>
        </w:rPr>
        <w:t>activering" richt zich tot de gebruikers van het OCMW in ruime zin en dat geldt ook voor het luik 'collectieve modules'. Vandaar het woord "kunnen" in de zin "een deel van de middelen moet worden besteed aan collectieve modules, dewelke de individuele begeleiding in het kader van de geïndividualiseerde projecten voor maatschappelijke integratie (</w:t>
      </w:r>
      <w:proofErr w:type="spellStart"/>
      <w:r w:rsidRPr="00693628">
        <w:rPr>
          <w:sz w:val="22"/>
          <w:szCs w:val="22"/>
          <w:lang w:val="nl-NL"/>
        </w:rPr>
        <w:t>GPMI's</w:t>
      </w:r>
      <w:proofErr w:type="spellEnd"/>
      <w:r w:rsidRPr="00693628">
        <w:rPr>
          <w:sz w:val="22"/>
          <w:szCs w:val="22"/>
          <w:lang w:val="nl-NL"/>
        </w:rPr>
        <w:t xml:space="preserve">) </w:t>
      </w:r>
      <w:r w:rsidRPr="00693628">
        <w:rPr>
          <w:b/>
          <w:bCs/>
          <w:sz w:val="22"/>
          <w:szCs w:val="22"/>
          <w:lang w:val="nl-NL"/>
        </w:rPr>
        <w:t>kunnen</w:t>
      </w:r>
      <w:r w:rsidRPr="00693628">
        <w:rPr>
          <w:sz w:val="22"/>
          <w:szCs w:val="22"/>
          <w:lang w:val="nl-NL"/>
        </w:rPr>
        <w:t xml:space="preserve"> aanvullen".</w:t>
      </w:r>
    </w:p>
    <w:p w:rsidR="00FD7F71" w:rsidRPr="00693628" w:rsidRDefault="00FD7F71" w:rsidP="00B84881">
      <w:pPr>
        <w:jc w:val="both"/>
        <w:rPr>
          <w:sz w:val="22"/>
          <w:szCs w:val="22"/>
          <w:lang w:val="nl-NL"/>
        </w:rPr>
      </w:pPr>
    </w:p>
    <w:p w:rsidR="00FE4A3B" w:rsidRPr="00693628" w:rsidRDefault="00FE4A3B" w:rsidP="0064186B">
      <w:pPr>
        <w:pStyle w:val="Lijstalinea"/>
        <w:numPr>
          <w:ilvl w:val="0"/>
          <w:numId w:val="40"/>
        </w:numPr>
        <w:rPr>
          <w:b/>
          <w:sz w:val="22"/>
          <w:szCs w:val="22"/>
          <w:lang w:val="nl-NL"/>
        </w:rPr>
      </w:pPr>
      <w:r w:rsidRPr="00693628">
        <w:rPr>
          <w:b/>
          <w:sz w:val="22"/>
          <w:szCs w:val="22"/>
          <w:lang w:val="nl-NL"/>
        </w:rPr>
        <w:t xml:space="preserve">Resultaatindicatoren </w:t>
      </w:r>
    </w:p>
    <w:p w:rsidR="00C31D0B" w:rsidRPr="00693628" w:rsidRDefault="006D73EE" w:rsidP="00DF146D">
      <w:pPr>
        <w:jc w:val="both"/>
        <w:rPr>
          <w:rFonts w:ascii="Calibri" w:eastAsia="Calibri" w:hAnsi="Calibri" w:cs="Times New Roman"/>
          <w:sz w:val="22"/>
          <w:szCs w:val="22"/>
          <w:lang w:val="nl-NL"/>
        </w:rPr>
      </w:pPr>
      <w:r w:rsidRPr="00693628">
        <w:rPr>
          <w:rFonts w:ascii="Calibri" w:eastAsia="Calibri" w:hAnsi="Calibri" w:cs="Times New Roman"/>
          <w:sz w:val="22"/>
          <w:szCs w:val="22"/>
          <w:lang w:val="nl-NL"/>
        </w:rPr>
        <w:t xml:space="preserve">Om de resultaten van de opgezette collectieve modules te kunnen evalueren, worden er bij de verantwoording in het uniek jaarverslag </w:t>
      </w:r>
      <w:r w:rsidR="007C2CCE" w:rsidRPr="00693628">
        <w:rPr>
          <w:rFonts w:ascii="Calibri" w:eastAsia="Calibri" w:hAnsi="Calibri" w:cs="Times New Roman"/>
          <w:sz w:val="22"/>
          <w:szCs w:val="22"/>
          <w:lang w:val="nl-NL"/>
        </w:rPr>
        <w:t xml:space="preserve">kwantitatieve </w:t>
      </w:r>
      <w:r w:rsidRPr="00693628">
        <w:rPr>
          <w:rFonts w:ascii="Calibri" w:eastAsia="Calibri" w:hAnsi="Calibri" w:cs="Times New Roman"/>
          <w:sz w:val="22"/>
          <w:szCs w:val="22"/>
          <w:lang w:val="nl-NL"/>
        </w:rPr>
        <w:t>gegevens opgevraagd</w:t>
      </w:r>
      <w:r w:rsidR="00FD7F71" w:rsidRPr="00693628">
        <w:rPr>
          <w:rFonts w:ascii="Calibri" w:eastAsia="Calibri" w:hAnsi="Calibri" w:cs="Times New Roman"/>
          <w:sz w:val="22"/>
          <w:szCs w:val="22"/>
          <w:lang w:val="nl-NL"/>
        </w:rPr>
        <w:t xml:space="preserve"> (resultaatindicatoren).</w:t>
      </w:r>
    </w:p>
    <w:p w:rsidR="006D73EE" w:rsidRPr="00693628" w:rsidRDefault="007C2CCE" w:rsidP="00DF146D">
      <w:pPr>
        <w:jc w:val="both"/>
        <w:rPr>
          <w:rFonts w:ascii="Calibri" w:eastAsia="Calibri" w:hAnsi="Calibri" w:cs="Times New Roman"/>
          <w:sz w:val="22"/>
          <w:szCs w:val="22"/>
          <w:lang w:val="nl-NL"/>
        </w:rPr>
      </w:pPr>
      <w:r w:rsidRPr="00693628">
        <w:rPr>
          <w:rFonts w:ascii="Calibri" w:eastAsia="Calibri" w:hAnsi="Calibri" w:cs="Times New Roman"/>
          <w:sz w:val="22"/>
          <w:szCs w:val="22"/>
          <w:lang w:val="nl-NL"/>
        </w:rPr>
        <w:t xml:space="preserve">Per collectieve module </w:t>
      </w:r>
      <w:r w:rsidR="00301320" w:rsidRPr="00693628">
        <w:rPr>
          <w:rFonts w:ascii="Calibri" w:eastAsia="Calibri" w:hAnsi="Calibri" w:cs="Times New Roman"/>
          <w:sz w:val="22"/>
          <w:szCs w:val="22"/>
          <w:lang w:val="nl-NL"/>
        </w:rPr>
        <w:t xml:space="preserve">moet opgegeven worden </w:t>
      </w:r>
      <w:r w:rsidR="00D011F5" w:rsidRPr="00693628">
        <w:rPr>
          <w:rFonts w:ascii="Calibri" w:eastAsia="Calibri" w:hAnsi="Calibri" w:cs="Times New Roman"/>
          <w:sz w:val="22"/>
          <w:szCs w:val="22"/>
          <w:lang w:val="nl-NL"/>
        </w:rPr>
        <w:t>h</w:t>
      </w:r>
      <w:r w:rsidR="00301320" w:rsidRPr="00693628">
        <w:rPr>
          <w:rFonts w:ascii="Calibri" w:eastAsia="Calibri" w:hAnsi="Calibri" w:cs="Times New Roman"/>
          <w:sz w:val="22"/>
          <w:szCs w:val="22"/>
          <w:lang w:val="nl-NL"/>
        </w:rPr>
        <w:t xml:space="preserve">oelang de collectieve module duurt (uitgedrukt in dagen), hoeveel personen hebben deelgenomen, hoeveel personen hebben afgehaakt en hoeveel deelnemers een meetbare vooruitgang hebben geboekt. </w:t>
      </w:r>
      <w:r w:rsidR="00FD7F71" w:rsidRPr="00693628">
        <w:rPr>
          <w:rFonts w:ascii="Calibri" w:eastAsia="Calibri" w:hAnsi="Calibri" w:cs="Times New Roman"/>
          <w:sz w:val="22"/>
          <w:szCs w:val="22"/>
          <w:lang w:val="nl-NL"/>
        </w:rPr>
        <w:t xml:space="preserve">Aan de hand van het ingevoerde verantwoord bedrag wordt de gemiddelde kost per deelnemer berekend. </w:t>
      </w:r>
      <w:r w:rsidR="003638C4" w:rsidRPr="00693628">
        <w:rPr>
          <w:rFonts w:ascii="Calibri" w:eastAsia="Calibri" w:hAnsi="Calibri" w:cs="Times New Roman"/>
          <w:sz w:val="22"/>
          <w:szCs w:val="22"/>
          <w:lang w:val="nl-NL"/>
        </w:rPr>
        <w:t>Deze gegevens zullen gebruikt worden om het gevoerde beleid te kunnen evalueren en eventueel bij te sturen indien nodig.</w:t>
      </w:r>
    </w:p>
    <w:p w:rsidR="00FD7F71" w:rsidRPr="00693628" w:rsidRDefault="00F311C7" w:rsidP="00DF146D">
      <w:pPr>
        <w:jc w:val="both"/>
        <w:rPr>
          <w:sz w:val="22"/>
          <w:szCs w:val="22"/>
          <w:lang w:val="nl-NL"/>
        </w:rPr>
      </w:pPr>
      <w:r w:rsidRPr="00693628">
        <w:rPr>
          <w:sz w:val="22"/>
          <w:szCs w:val="22"/>
          <w:lang w:val="nl-NL"/>
        </w:rPr>
        <w:t xml:space="preserve">Om de evolutie </w:t>
      </w:r>
      <w:r w:rsidR="00620227">
        <w:rPr>
          <w:sz w:val="22"/>
          <w:szCs w:val="22"/>
          <w:lang w:val="nl-NL"/>
        </w:rPr>
        <w:t xml:space="preserve">van een deelnemer </w:t>
      </w:r>
      <w:r w:rsidRPr="00693628">
        <w:rPr>
          <w:sz w:val="22"/>
          <w:szCs w:val="22"/>
          <w:lang w:val="nl-NL"/>
        </w:rPr>
        <w:t xml:space="preserve">te meten, is </w:t>
      </w:r>
      <w:r w:rsidR="003B525C" w:rsidRPr="00693628">
        <w:rPr>
          <w:sz w:val="22"/>
          <w:szCs w:val="22"/>
          <w:lang w:val="nl-NL"/>
        </w:rPr>
        <w:t>h</w:t>
      </w:r>
      <w:r w:rsidR="00DF146D" w:rsidRPr="00693628">
        <w:rPr>
          <w:sz w:val="22"/>
          <w:szCs w:val="22"/>
          <w:lang w:val="nl-NL"/>
        </w:rPr>
        <w:t xml:space="preserve">et OCMW niet verplicht om één welbepaald instrument te gebruiken maar is </w:t>
      </w:r>
      <w:r w:rsidR="00301320" w:rsidRPr="00693628">
        <w:rPr>
          <w:sz w:val="22"/>
          <w:szCs w:val="22"/>
          <w:lang w:val="nl-NL"/>
        </w:rPr>
        <w:t xml:space="preserve">het </w:t>
      </w:r>
      <w:r w:rsidR="00DF146D" w:rsidRPr="00693628">
        <w:rPr>
          <w:sz w:val="22"/>
          <w:szCs w:val="22"/>
          <w:lang w:val="nl-NL"/>
        </w:rPr>
        <w:t xml:space="preserve">vrij in de keuze van het meetinstrument, voor zover dit instrument het mogelijk maakt om te evalueren of de </w:t>
      </w:r>
      <w:r w:rsidR="00301320" w:rsidRPr="00693628">
        <w:rPr>
          <w:sz w:val="22"/>
          <w:szCs w:val="22"/>
          <w:lang w:val="nl-NL"/>
        </w:rPr>
        <w:t>deelnemer</w:t>
      </w:r>
      <w:r w:rsidR="00DF146D" w:rsidRPr="00693628">
        <w:rPr>
          <w:sz w:val="22"/>
          <w:szCs w:val="22"/>
          <w:lang w:val="nl-NL"/>
        </w:rPr>
        <w:t xml:space="preserve"> al dan niet vooruitgang heeft geboekt op het vlak van maatschappelijke integratie en sociale activering.</w:t>
      </w:r>
      <w:r w:rsidR="00301320" w:rsidRPr="00693628">
        <w:rPr>
          <w:sz w:val="22"/>
          <w:szCs w:val="22"/>
          <w:lang w:val="nl-NL"/>
        </w:rPr>
        <w:t xml:space="preserve"> Het algemene principe is een meting bij aanvang</w:t>
      </w:r>
      <w:r w:rsidR="00FD7F71" w:rsidRPr="00693628">
        <w:rPr>
          <w:sz w:val="22"/>
          <w:szCs w:val="22"/>
          <w:lang w:val="nl-NL"/>
        </w:rPr>
        <w:t xml:space="preserve"> en na afloop van de collectieve module, waarbij de evolutie wordt afgezet tegenover de beginsituatie.</w:t>
      </w:r>
      <w:r w:rsidR="005512BB" w:rsidRPr="00693628">
        <w:rPr>
          <w:sz w:val="22"/>
          <w:szCs w:val="22"/>
          <w:lang w:val="nl-NL"/>
        </w:rPr>
        <w:t xml:space="preserve"> </w:t>
      </w:r>
    </w:p>
    <w:p w:rsidR="00F311C7" w:rsidRPr="00693628" w:rsidRDefault="00F311C7" w:rsidP="00DF146D">
      <w:pPr>
        <w:jc w:val="both"/>
        <w:rPr>
          <w:sz w:val="22"/>
          <w:szCs w:val="22"/>
          <w:lang w:val="nl-NL"/>
        </w:rPr>
      </w:pPr>
    </w:p>
    <w:p w:rsidR="00E54658" w:rsidRPr="00693628" w:rsidRDefault="00E54658" w:rsidP="00FE4A3B">
      <w:pPr>
        <w:rPr>
          <w:b/>
          <w:sz w:val="22"/>
          <w:szCs w:val="22"/>
          <w:lang w:val="nl-NL"/>
        </w:rPr>
      </w:pPr>
      <w:r w:rsidRPr="00693628">
        <w:rPr>
          <w:b/>
          <w:sz w:val="22"/>
          <w:szCs w:val="22"/>
          <w:lang w:val="nl-NL"/>
        </w:rPr>
        <w:t>Bijzonderheden:</w:t>
      </w:r>
    </w:p>
    <w:p w:rsidR="00F81628" w:rsidRPr="00693628" w:rsidRDefault="00F81628" w:rsidP="00BA205F">
      <w:pPr>
        <w:pStyle w:val="Lijstalinea"/>
        <w:numPr>
          <w:ilvl w:val="0"/>
          <w:numId w:val="11"/>
        </w:numPr>
        <w:jc w:val="both"/>
        <w:rPr>
          <w:sz w:val="22"/>
          <w:szCs w:val="22"/>
          <w:lang w:val="nl-NL"/>
        </w:rPr>
      </w:pPr>
      <w:r w:rsidRPr="00693628">
        <w:rPr>
          <w:sz w:val="22"/>
          <w:szCs w:val="22"/>
          <w:lang w:val="nl-NL"/>
        </w:rPr>
        <w:t xml:space="preserve">Wanneer een collectieve module </w:t>
      </w:r>
      <w:r w:rsidR="00EB31D2" w:rsidRPr="00693628">
        <w:rPr>
          <w:sz w:val="22"/>
          <w:szCs w:val="22"/>
          <w:lang w:val="nl-NL"/>
        </w:rPr>
        <w:t xml:space="preserve">zich </w:t>
      </w:r>
      <w:r w:rsidR="00620227">
        <w:rPr>
          <w:sz w:val="22"/>
          <w:szCs w:val="22"/>
          <w:lang w:val="nl-NL"/>
        </w:rPr>
        <w:t>over</w:t>
      </w:r>
      <w:r w:rsidR="00EB31D2" w:rsidRPr="00693628">
        <w:rPr>
          <w:sz w:val="22"/>
          <w:szCs w:val="22"/>
          <w:lang w:val="nl-NL"/>
        </w:rPr>
        <w:t xml:space="preserve"> twee kalenderjaren uitstrekt, </w:t>
      </w:r>
      <w:r w:rsidRPr="00693628">
        <w:rPr>
          <w:sz w:val="22"/>
          <w:szCs w:val="22"/>
          <w:lang w:val="nl-NL"/>
        </w:rPr>
        <w:t>vult men enkel de gegevens i</w:t>
      </w:r>
      <w:r w:rsidR="00E54658" w:rsidRPr="00693628">
        <w:rPr>
          <w:sz w:val="22"/>
          <w:szCs w:val="22"/>
          <w:lang w:val="nl-NL"/>
        </w:rPr>
        <w:t>n</w:t>
      </w:r>
      <w:r w:rsidRPr="00693628">
        <w:rPr>
          <w:sz w:val="22"/>
          <w:szCs w:val="22"/>
          <w:lang w:val="nl-NL"/>
        </w:rPr>
        <w:t xml:space="preserve"> die </w:t>
      </w:r>
      <w:r w:rsidR="00664C15" w:rsidRPr="00693628">
        <w:rPr>
          <w:sz w:val="22"/>
          <w:szCs w:val="22"/>
          <w:lang w:val="nl-NL"/>
        </w:rPr>
        <w:t>verband houden met de collectieve modules die werden afge</w:t>
      </w:r>
      <w:r w:rsidR="00EB31D2" w:rsidRPr="00693628">
        <w:rPr>
          <w:sz w:val="22"/>
          <w:szCs w:val="22"/>
          <w:lang w:val="nl-NL"/>
        </w:rPr>
        <w:t>rond</w:t>
      </w:r>
      <w:r w:rsidR="00664C15" w:rsidRPr="00693628">
        <w:rPr>
          <w:sz w:val="22"/>
          <w:szCs w:val="22"/>
          <w:lang w:val="nl-NL"/>
        </w:rPr>
        <w:t xml:space="preserve"> in het </w:t>
      </w:r>
      <w:r w:rsidR="00EB31D2" w:rsidRPr="00693628">
        <w:rPr>
          <w:sz w:val="22"/>
          <w:szCs w:val="22"/>
          <w:lang w:val="nl-NL"/>
        </w:rPr>
        <w:t>toelage</w:t>
      </w:r>
      <w:r w:rsidR="00664C15" w:rsidRPr="00693628">
        <w:rPr>
          <w:sz w:val="22"/>
          <w:szCs w:val="22"/>
          <w:lang w:val="nl-NL"/>
        </w:rPr>
        <w:t xml:space="preserve">jaar. </w:t>
      </w:r>
      <w:r w:rsidR="00E54658" w:rsidRPr="00693628">
        <w:rPr>
          <w:sz w:val="22"/>
          <w:szCs w:val="22"/>
          <w:lang w:val="nl-NL"/>
        </w:rPr>
        <w:t xml:space="preserve">Dit wil dus zeggen dat voor een collectieve module die niet werd afgerond binnen het </w:t>
      </w:r>
      <w:r w:rsidR="00BA205F" w:rsidRPr="00693628">
        <w:rPr>
          <w:sz w:val="22"/>
          <w:szCs w:val="22"/>
          <w:lang w:val="nl-NL"/>
        </w:rPr>
        <w:t xml:space="preserve">betreffende </w:t>
      </w:r>
      <w:r w:rsidR="00E54658" w:rsidRPr="00693628">
        <w:rPr>
          <w:sz w:val="22"/>
          <w:szCs w:val="22"/>
          <w:lang w:val="nl-NL"/>
        </w:rPr>
        <w:t xml:space="preserve">kalenderjaar, er nog geen gegevens zullen kunnen ingevuld worden met betrekking tot </w:t>
      </w:r>
      <w:r w:rsidR="00620227">
        <w:rPr>
          <w:sz w:val="22"/>
          <w:szCs w:val="22"/>
          <w:lang w:val="nl-NL"/>
        </w:rPr>
        <w:t>de</w:t>
      </w:r>
      <w:r w:rsidR="00E54658" w:rsidRPr="00693628">
        <w:rPr>
          <w:sz w:val="22"/>
          <w:szCs w:val="22"/>
          <w:lang w:val="nl-NL"/>
        </w:rPr>
        <w:t xml:space="preserve"> deelnemers</w:t>
      </w:r>
      <w:r w:rsidR="00BA205F" w:rsidRPr="00693628">
        <w:rPr>
          <w:sz w:val="22"/>
          <w:szCs w:val="22"/>
          <w:lang w:val="nl-NL"/>
        </w:rPr>
        <w:t xml:space="preserve">. </w:t>
      </w:r>
    </w:p>
    <w:p w:rsidR="00E54658" w:rsidRPr="00693628" w:rsidRDefault="00E54658" w:rsidP="00E54658">
      <w:pPr>
        <w:pStyle w:val="Lijstalinea"/>
        <w:ind w:left="1428"/>
        <w:rPr>
          <w:sz w:val="22"/>
          <w:szCs w:val="22"/>
          <w:lang w:val="nl-NL"/>
        </w:rPr>
      </w:pPr>
    </w:p>
    <w:p w:rsidR="00F81628" w:rsidRPr="00693628" w:rsidRDefault="00F81628" w:rsidP="00BA205F">
      <w:pPr>
        <w:pStyle w:val="Lijstalinea"/>
        <w:numPr>
          <w:ilvl w:val="0"/>
          <w:numId w:val="11"/>
        </w:numPr>
        <w:jc w:val="both"/>
        <w:rPr>
          <w:sz w:val="22"/>
          <w:szCs w:val="22"/>
          <w:lang w:val="nl-NL"/>
        </w:rPr>
      </w:pPr>
      <w:r w:rsidRPr="00693628">
        <w:rPr>
          <w:sz w:val="22"/>
          <w:szCs w:val="22"/>
          <w:lang w:val="nl-NL"/>
        </w:rPr>
        <w:t xml:space="preserve">Indien de </w:t>
      </w:r>
      <w:r w:rsidR="00B07132" w:rsidRPr="00693628">
        <w:rPr>
          <w:sz w:val="22"/>
          <w:szCs w:val="22"/>
          <w:lang w:val="nl-NL"/>
        </w:rPr>
        <w:t xml:space="preserve">collectieve </w:t>
      </w:r>
      <w:r w:rsidRPr="00693628">
        <w:rPr>
          <w:sz w:val="22"/>
          <w:szCs w:val="22"/>
          <w:lang w:val="nl-NL"/>
        </w:rPr>
        <w:t xml:space="preserve">module meerdere actiedomeinen </w:t>
      </w:r>
      <w:r w:rsidR="00620227">
        <w:rPr>
          <w:sz w:val="22"/>
          <w:szCs w:val="22"/>
          <w:lang w:val="nl-NL"/>
        </w:rPr>
        <w:t>be</w:t>
      </w:r>
      <w:r w:rsidRPr="00693628">
        <w:rPr>
          <w:sz w:val="22"/>
          <w:szCs w:val="22"/>
          <w:lang w:val="nl-NL"/>
        </w:rPr>
        <w:t xml:space="preserve">helst, dan moet het actiedomein </w:t>
      </w:r>
      <w:r w:rsidR="00B07132" w:rsidRPr="00693628">
        <w:rPr>
          <w:sz w:val="22"/>
          <w:szCs w:val="22"/>
          <w:lang w:val="nl-NL"/>
        </w:rPr>
        <w:t xml:space="preserve">waarop de collectieve module in hoofdzaak betrekking heeft, </w:t>
      </w:r>
      <w:r w:rsidRPr="00693628">
        <w:rPr>
          <w:sz w:val="22"/>
          <w:szCs w:val="22"/>
          <w:lang w:val="nl-NL"/>
        </w:rPr>
        <w:t>gekozen worden.</w:t>
      </w:r>
    </w:p>
    <w:p w:rsidR="00E54658" w:rsidRPr="00693628" w:rsidRDefault="00E54658" w:rsidP="00E54658">
      <w:pPr>
        <w:pStyle w:val="Lijstalinea"/>
        <w:ind w:left="1428"/>
        <w:rPr>
          <w:sz w:val="22"/>
          <w:szCs w:val="22"/>
          <w:lang w:val="nl-NL"/>
        </w:rPr>
      </w:pPr>
    </w:p>
    <w:p w:rsidR="00E54658" w:rsidRPr="00693628" w:rsidRDefault="00E54658" w:rsidP="00BA205F">
      <w:pPr>
        <w:pStyle w:val="Lijstalinea"/>
        <w:numPr>
          <w:ilvl w:val="0"/>
          <w:numId w:val="11"/>
        </w:numPr>
        <w:jc w:val="both"/>
        <w:rPr>
          <w:sz w:val="22"/>
          <w:szCs w:val="22"/>
          <w:lang w:val="nl-NL"/>
        </w:rPr>
      </w:pPr>
      <w:r w:rsidRPr="00693628">
        <w:rPr>
          <w:sz w:val="22"/>
          <w:szCs w:val="22"/>
          <w:lang w:val="nl-NL"/>
        </w:rPr>
        <w:t xml:space="preserve">Om te kunnen bepalen of de deelnemers </w:t>
      </w:r>
      <w:r w:rsidR="00BA205F" w:rsidRPr="00693628">
        <w:rPr>
          <w:sz w:val="22"/>
          <w:szCs w:val="22"/>
          <w:lang w:val="nl-NL"/>
        </w:rPr>
        <w:t xml:space="preserve">aan een collectieve module </w:t>
      </w:r>
      <w:r w:rsidRPr="00693628">
        <w:rPr>
          <w:sz w:val="22"/>
          <w:szCs w:val="22"/>
          <w:lang w:val="nl-NL"/>
        </w:rPr>
        <w:t xml:space="preserve">al dan niet een leefloon ontvangen, neemt men </w:t>
      </w:r>
      <w:r w:rsidR="00BA205F" w:rsidRPr="00693628">
        <w:rPr>
          <w:sz w:val="22"/>
          <w:szCs w:val="22"/>
          <w:lang w:val="nl-NL"/>
        </w:rPr>
        <w:t xml:space="preserve">als meetpunt </w:t>
      </w:r>
      <w:r w:rsidRPr="00693628">
        <w:rPr>
          <w:sz w:val="22"/>
          <w:szCs w:val="22"/>
          <w:lang w:val="nl-NL"/>
        </w:rPr>
        <w:t xml:space="preserve">de situatie op </w:t>
      </w:r>
      <w:r w:rsidR="00BA205F" w:rsidRPr="00693628">
        <w:rPr>
          <w:sz w:val="22"/>
          <w:szCs w:val="22"/>
          <w:lang w:val="nl-NL"/>
        </w:rPr>
        <w:t xml:space="preserve">het </w:t>
      </w:r>
      <w:r w:rsidRPr="00693628">
        <w:rPr>
          <w:sz w:val="22"/>
          <w:szCs w:val="22"/>
          <w:lang w:val="nl-NL"/>
        </w:rPr>
        <w:t>moment van aanvang van de collectieve module.</w:t>
      </w:r>
    </w:p>
    <w:p w:rsidR="00FE4A3B" w:rsidRDefault="00FE4A3B" w:rsidP="00FE4A3B">
      <w:pPr>
        <w:rPr>
          <w:lang w:val="nl-NL"/>
        </w:rPr>
      </w:pPr>
    </w:p>
    <w:p w:rsidR="00283343" w:rsidRDefault="00283343" w:rsidP="00FE4A3B">
      <w:pPr>
        <w:rPr>
          <w:lang w:val="nl-NL"/>
        </w:rPr>
      </w:pPr>
    </w:p>
    <w:p w:rsidR="00620227" w:rsidRDefault="00620227">
      <w:pPr>
        <w:rPr>
          <w:rFonts w:ascii="Calibri" w:eastAsiaTheme="majorEastAsia" w:hAnsi="Calibri" w:cstheme="majorBidi"/>
          <w:b/>
          <w:caps/>
          <w:color w:val="000000" w:themeColor="text1"/>
          <w:sz w:val="24"/>
          <w:szCs w:val="40"/>
          <w:lang w:val="nl-NL"/>
        </w:rPr>
      </w:pPr>
      <w:r>
        <w:br w:type="page"/>
      </w:r>
    </w:p>
    <w:p w:rsidR="00914BAE" w:rsidRPr="00FC159D" w:rsidRDefault="00914BAE" w:rsidP="000E3D99">
      <w:pPr>
        <w:pStyle w:val="Stijl1"/>
      </w:pPr>
      <w:bookmarkStart w:id="6" w:name="_Toc506398907"/>
      <w:r w:rsidRPr="00FC159D">
        <w:t>Personeelskosten</w:t>
      </w:r>
      <w:bookmarkEnd w:id="6"/>
    </w:p>
    <w:p w:rsidR="00A216BB" w:rsidRDefault="00A216BB" w:rsidP="00DF146D">
      <w:pPr>
        <w:rPr>
          <w:sz w:val="22"/>
          <w:szCs w:val="22"/>
          <w:lang w:val="nl-NL"/>
        </w:rPr>
      </w:pPr>
    </w:p>
    <w:p w:rsidR="00DF146D" w:rsidRPr="00620227" w:rsidRDefault="00DF146D" w:rsidP="00DF146D">
      <w:pPr>
        <w:rPr>
          <w:sz w:val="22"/>
          <w:szCs w:val="22"/>
          <w:lang w:val="nl-NL"/>
        </w:rPr>
      </w:pPr>
      <w:r w:rsidRPr="00620227">
        <w:rPr>
          <w:sz w:val="22"/>
          <w:szCs w:val="22"/>
          <w:lang w:val="nl-NL"/>
        </w:rPr>
        <w:t xml:space="preserve">Wat de verantwoording van de personeelskosten betreft in het kader van de toelage, zijn de uitgangspunten als volgt : </w:t>
      </w:r>
    </w:p>
    <w:p w:rsidR="00481691" w:rsidRPr="00620227" w:rsidRDefault="00DF146D" w:rsidP="00481691">
      <w:pPr>
        <w:jc w:val="both"/>
        <w:rPr>
          <w:sz w:val="22"/>
          <w:szCs w:val="22"/>
          <w:lang w:val="nl-NL"/>
        </w:rPr>
      </w:pPr>
      <w:r w:rsidRPr="00620227">
        <w:rPr>
          <w:sz w:val="22"/>
          <w:szCs w:val="22"/>
          <w:lang w:val="nl-NL"/>
        </w:rPr>
        <w:t xml:space="preserve">- een te verantwoorden bedrag van </w:t>
      </w:r>
      <w:r w:rsidR="000F74E6" w:rsidRPr="00620227">
        <w:rPr>
          <w:b/>
          <w:sz w:val="22"/>
          <w:szCs w:val="22"/>
          <w:lang w:val="nl-NL"/>
        </w:rPr>
        <w:t>maximum</w:t>
      </w:r>
      <w:r w:rsidR="000F74E6" w:rsidRPr="00620227">
        <w:rPr>
          <w:sz w:val="22"/>
          <w:szCs w:val="22"/>
          <w:lang w:val="nl-NL"/>
        </w:rPr>
        <w:t xml:space="preserve"> </w:t>
      </w:r>
      <w:r w:rsidRPr="00620227">
        <w:rPr>
          <w:b/>
          <w:sz w:val="22"/>
          <w:szCs w:val="22"/>
          <w:lang w:val="nl-NL"/>
        </w:rPr>
        <w:t>10 %</w:t>
      </w:r>
      <w:r w:rsidRPr="00620227">
        <w:rPr>
          <w:sz w:val="22"/>
          <w:szCs w:val="22"/>
          <w:lang w:val="nl-NL"/>
        </w:rPr>
        <w:t xml:space="preserve"> v</w:t>
      </w:r>
      <w:r w:rsidR="000F74E6" w:rsidRPr="00620227">
        <w:rPr>
          <w:sz w:val="22"/>
          <w:szCs w:val="22"/>
          <w:lang w:val="nl-NL"/>
        </w:rPr>
        <w:t xml:space="preserve">an het </w:t>
      </w:r>
      <w:r w:rsidR="00874544" w:rsidRPr="00620227">
        <w:rPr>
          <w:sz w:val="22"/>
          <w:szCs w:val="22"/>
          <w:lang w:val="nl-NL"/>
        </w:rPr>
        <w:t>maximaal toegestane bedrag v</w:t>
      </w:r>
      <w:r w:rsidRPr="00620227">
        <w:rPr>
          <w:sz w:val="22"/>
          <w:szCs w:val="22"/>
          <w:lang w:val="nl-NL"/>
        </w:rPr>
        <w:t xml:space="preserve">oor het werkdomein 'participatie en </w:t>
      </w:r>
      <w:r w:rsidR="00BA205F" w:rsidRPr="00620227">
        <w:rPr>
          <w:sz w:val="22"/>
          <w:szCs w:val="22"/>
          <w:lang w:val="nl-NL"/>
        </w:rPr>
        <w:t xml:space="preserve">sociale </w:t>
      </w:r>
      <w:r w:rsidRPr="00620227">
        <w:rPr>
          <w:sz w:val="22"/>
          <w:szCs w:val="22"/>
          <w:lang w:val="nl-NL"/>
        </w:rPr>
        <w:t>activering'</w:t>
      </w:r>
      <w:r w:rsidR="00B07132" w:rsidRPr="00620227">
        <w:rPr>
          <w:sz w:val="22"/>
          <w:szCs w:val="22"/>
          <w:lang w:val="nl-NL"/>
        </w:rPr>
        <w:t xml:space="preserve"> (</w:t>
      </w:r>
      <w:r w:rsidR="00874544" w:rsidRPr="00620227">
        <w:rPr>
          <w:sz w:val="22"/>
          <w:szCs w:val="22"/>
          <w:lang w:val="nl-NL"/>
        </w:rPr>
        <w:t>nl. 50% van de totale toegekende toelage</w:t>
      </w:r>
      <w:r w:rsidR="00B07132" w:rsidRPr="00620227">
        <w:rPr>
          <w:sz w:val="22"/>
          <w:szCs w:val="22"/>
          <w:lang w:val="nl-NL"/>
        </w:rPr>
        <w:t>)</w:t>
      </w:r>
    </w:p>
    <w:p w:rsidR="00B07132" w:rsidRPr="00620227" w:rsidRDefault="00DF146D" w:rsidP="00481691">
      <w:pPr>
        <w:jc w:val="both"/>
        <w:rPr>
          <w:sz w:val="22"/>
          <w:szCs w:val="22"/>
          <w:lang w:val="nl-NL"/>
        </w:rPr>
      </w:pPr>
      <w:r w:rsidRPr="00620227">
        <w:rPr>
          <w:sz w:val="22"/>
          <w:szCs w:val="22"/>
          <w:lang w:val="nl-NL"/>
        </w:rPr>
        <w:br/>
        <w:t xml:space="preserve">- een te verantwoorden bedrag van </w:t>
      </w:r>
      <w:r w:rsidR="00874544" w:rsidRPr="00620227">
        <w:rPr>
          <w:b/>
          <w:sz w:val="22"/>
          <w:szCs w:val="22"/>
          <w:lang w:val="nl-NL"/>
        </w:rPr>
        <w:t xml:space="preserve">maximum </w:t>
      </w:r>
      <w:r w:rsidRPr="00620227">
        <w:rPr>
          <w:b/>
          <w:sz w:val="22"/>
          <w:szCs w:val="22"/>
          <w:lang w:val="nl-NL"/>
        </w:rPr>
        <w:t>10 %</w:t>
      </w:r>
      <w:r w:rsidRPr="00620227">
        <w:rPr>
          <w:sz w:val="22"/>
          <w:szCs w:val="22"/>
          <w:lang w:val="nl-NL"/>
        </w:rPr>
        <w:t xml:space="preserve"> </w:t>
      </w:r>
      <w:r w:rsidR="00874544" w:rsidRPr="00620227">
        <w:rPr>
          <w:sz w:val="22"/>
          <w:szCs w:val="22"/>
          <w:lang w:val="nl-NL"/>
        </w:rPr>
        <w:t xml:space="preserve">van het maximaal toegestane bedrag </w:t>
      </w:r>
      <w:r w:rsidRPr="00620227">
        <w:rPr>
          <w:sz w:val="22"/>
          <w:szCs w:val="22"/>
          <w:lang w:val="nl-NL"/>
        </w:rPr>
        <w:t>voor het werkdomein 'kinderarmoede'</w:t>
      </w:r>
      <w:r w:rsidR="00B07132" w:rsidRPr="00620227">
        <w:rPr>
          <w:sz w:val="22"/>
          <w:szCs w:val="22"/>
          <w:lang w:val="nl-NL"/>
        </w:rPr>
        <w:t xml:space="preserve"> (</w:t>
      </w:r>
      <w:r w:rsidR="00874544" w:rsidRPr="00620227">
        <w:rPr>
          <w:sz w:val="22"/>
          <w:szCs w:val="22"/>
          <w:lang w:val="nl-NL"/>
        </w:rPr>
        <w:t>nl. 75% van de totale toegekende toelage</w:t>
      </w:r>
      <w:r w:rsidR="00B07132" w:rsidRPr="00620227">
        <w:rPr>
          <w:sz w:val="22"/>
          <w:szCs w:val="22"/>
          <w:lang w:val="nl-NL"/>
        </w:rPr>
        <w:t>)</w:t>
      </w:r>
    </w:p>
    <w:p w:rsidR="00DF146D" w:rsidRPr="00620227" w:rsidRDefault="00DF146D" w:rsidP="00481691">
      <w:pPr>
        <w:jc w:val="both"/>
        <w:rPr>
          <w:sz w:val="22"/>
          <w:szCs w:val="22"/>
          <w:lang w:val="nl-NL"/>
        </w:rPr>
      </w:pPr>
      <w:r w:rsidRPr="00620227">
        <w:rPr>
          <w:sz w:val="22"/>
          <w:szCs w:val="22"/>
          <w:lang w:val="nl-NL"/>
        </w:rPr>
        <w:br/>
        <w:t xml:space="preserve">- een te verantwoorden bedrag dat kan oplopen </w:t>
      </w:r>
      <w:r w:rsidRPr="00620227">
        <w:rPr>
          <w:b/>
          <w:sz w:val="22"/>
          <w:szCs w:val="22"/>
          <w:lang w:val="nl-NL"/>
        </w:rPr>
        <w:t>tot</w:t>
      </w:r>
      <w:r w:rsidRPr="00620227">
        <w:rPr>
          <w:sz w:val="22"/>
          <w:szCs w:val="22"/>
          <w:lang w:val="nl-NL"/>
        </w:rPr>
        <w:t xml:space="preserve"> </w:t>
      </w:r>
      <w:r w:rsidRPr="00620227">
        <w:rPr>
          <w:b/>
          <w:sz w:val="22"/>
          <w:szCs w:val="22"/>
          <w:lang w:val="nl-NL"/>
        </w:rPr>
        <w:t>100 %</w:t>
      </w:r>
      <w:r w:rsidRPr="00620227">
        <w:rPr>
          <w:sz w:val="22"/>
          <w:szCs w:val="22"/>
          <w:lang w:val="nl-NL"/>
        </w:rPr>
        <w:t xml:space="preserve"> </w:t>
      </w:r>
      <w:r w:rsidR="00874544" w:rsidRPr="00620227">
        <w:rPr>
          <w:sz w:val="22"/>
          <w:szCs w:val="22"/>
          <w:lang w:val="nl-NL"/>
        </w:rPr>
        <w:t xml:space="preserve">van het maximaal toegestane bedrag </w:t>
      </w:r>
      <w:r w:rsidRPr="00620227">
        <w:rPr>
          <w:sz w:val="22"/>
          <w:szCs w:val="22"/>
          <w:lang w:val="nl-NL"/>
        </w:rPr>
        <w:t>voor het werkdomein 'collectieve modules'</w:t>
      </w:r>
      <w:r w:rsidR="00B07132" w:rsidRPr="00620227">
        <w:rPr>
          <w:sz w:val="22"/>
          <w:szCs w:val="22"/>
          <w:lang w:val="nl-NL"/>
        </w:rPr>
        <w:t xml:space="preserve"> (</w:t>
      </w:r>
      <w:r w:rsidR="00874544" w:rsidRPr="00620227">
        <w:rPr>
          <w:sz w:val="22"/>
          <w:szCs w:val="22"/>
          <w:lang w:val="nl-NL"/>
        </w:rPr>
        <w:t>nl. 50% van de totale toegekende toelage</w:t>
      </w:r>
      <w:r w:rsidR="00B07132" w:rsidRPr="00620227">
        <w:rPr>
          <w:sz w:val="22"/>
          <w:szCs w:val="22"/>
          <w:lang w:val="nl-NL"/>
        </w:rPr>
        <w:t>)</w:t>
      </w:r>
      <w:r w:rsidRPr="00620227">
        <w:rPr>
          <w:sz w:val="22"/>
          <w:szCs w:val="22"/>
          <w:lang w:val="nl-NL"/>
        </w:rPr>
        <w:t>.</w:t>
      </w:r>
      <w:r w:rsidRPr="00620227">
        <w:rPr>
          <w:sz w:val="22"/>
          <w:szCs w:val="22"/>
          <w:lang w:val="nl-NL"/>
        </w:rPr>
        <w:br/>
      </w:r>
      <w:r w:rsidRPr="00620227">
        <w:rPr>
          <w:sz w:val="22"/>
          <w:szCs w:val="22"/>
          <w:lang w:val="nl-NL"/>
        </w:rPr>
        <w:br/>
        <w:t xml:space="preserve">Enkel voor </w:t>
      </w:r>
      <w:r w:rsidR="00B07132" w:rsidRPr="00620227">
        <w:rPr>
          <w:sz w:val="22"/>
          <w:szCs w:val="22"/>
          <w:lang w:val="nl-NL"/>
        </w:rPr>
        <w:t xml:space="preserve">het </w:t>
      </w:r>
      <w:r w:rsidRPr="00620227">
        <w:rPr>
          <w:sz w:val="22"/>
          <w:szCs w:val="22"/>
          <w:lang w:val="nl-NL"/>
        </w:rPr>
        <w:t xml:space="preserve">luik </w:t>
      </w:r>
      <w:r w:rsidR="00B07132" w:rsidRPr="00620227">
        <w:rPr>
          <w:sz w:val="22"/>
          <w:szCs w:val="22"/>
          <w:lang w:val="nl-NL"/>
        </w:rPr>
        <w:t>collectieve module</w:t>
      </w:r>
      <w:r w:rsidR="00BA205F" w:rsidRPr="00620227">
        <w:rPr>
          <w:sz w:val="22"/>
          <w:szCs w:val="22"/>
          <w:lang w:val="nl-NL"/>
        </w:rPr>
        <w:t>s</w:t>
      </w:r>
      <w:r w:rsidR="00B07132" w:rsidRPr="00620227">
        <w:rPr>
          <w:sz w:val="22"/>
          <w:szCs w:val="22"/>
          <w:lang w:val="nl-NL"/>
        </w:rPr>
        <w:t xml:space="preserve"> moet </w:t>
      </w:r>
      <w:r w:rsidRPr="00620227">
        <w:rPr>
          <w:sz w:val="22"/>
          <w:szCs w:val="22"/>
          <w:lang w:val="nl-NL"/>
        </w:rPr>
        <w:t>de verhouding aan</w:t>
      </w:r>
      <w:r w:rsidR="00B07132" w:rsidRPr="00620227">
        <w:rPr>
          <w:sz w:val="22"/>
          <w:szCs w:val="22"/>
          <w:lang w:val="nl-NL"/>
        </w:rPr>
        <w:t xml:space="preserve">getoond worden </w:t>
      </w:r>
      <w:r w:rsidRPr="00620227">
        <w:rPr>
          <w:sz w:val="22"/>
          <w:szCs w:val="22"/>
          <w:lang w:val="nl-NL"/>
        </w:rPr>
        <w:t xml:space="preserve">tussen de ingebrachte personeelskost en de door dat personeelslid geïnvesteerde tijd. Bijvoorbeeld : van een personeelslid dat 60 % van zijn tijd investeert in het voorbereiden, begeleiden en opvolgen van collectieve modules, zal 60 % van zijn totale personeelskost kunnen ingebracht worden. </w:t>
      </w:r>
      <w:r w:rsidR="00B07132" w:rsidRPr="00620227">
        <w:rPr>
          <w:sz w:val="22"/>
          <w:szCs w:val="22"/>
          <w:lang w:val="nl-NL"/>
        </w:rPr>
        <w:t>Dit bedrag moet kunnen verantwoord worden aan de hand van de daadwerkelijke loonkost (via loonfiches) en in verhouding tot de bestede tijd.</w:t>
      </w:r>
    </w:p>
    <w:p w:rsidR="00E40A06" w:rsidRPr="00620227" w:rsidRDefault="00E40A06" w:rsidP="00E40A06">
      <w:pPr>
        <w:rPr>
          <w:sz w:val="22"/>
          <w:szCs w:val="22"/>
          <w:lang w:val="nl-NL"/>
        </w:rPr>
      </w:pPr>
      <w:r w:rsidRPr="00620227">
        <w:rPr>
          <w:sz w:val="22"/>
          <w:szCs w:val="22"/>
          <w:lang w:val="nl-NL"/>
        </w:rPr>
        <w:t xml:space="preserve">Personeelskosten die in aanmerking komen in dit kader zijn deze die betrekking hebben op: </w:t>
      </w:r>
    </w:p>
    <w:p w:rsidR="00E40A06" w:rsidRPr="00620227" w:rsidRDefault="00E40A06" w:rsidP="0064186B">
      <w:pPr>
        <w:numPr>
          <w:ilvl w:val="0"/>
          <w:numId w:val="12"/>
        </w:numPr>
        <w:rPr>
          <w:sz w:val="22"/>
          <w:szCs w:val="22"/>
          <w:lang w:val="nl-NL"/>
        </w:rPr>
      </w:pPr>
      <w:r w:rsidRPr="00620227">
        <w:rPr>
          <w:sz w:val="22"/>
          <w:szCs w:val="22"/>
          <w:lang w:val="nl-NL"/>
        </w:rPr>
        <w:t>het voorbereiden van de collectieve modules (zoeken naar partners, samenstellen cursus selecteren van de doelgroep,...),</w:t>
      </w:r>
    </w:p>
    <w:p w:rsidR="00E40A06" w:rsidRPr="00620227" w:rsidRDefault="00E40A06" w:rsidP="0064186B">
      <w:pPr>
        <w:numPr>
          <w:ilvl w:val="0"/>
          <w:numId w:val="12"/>
        </w:numPr>
        <w:rPr>
          <w:sz w:val="22"/>
          <w:szCs w:val="22"/>
          <w:lang w:val="nl-NL"/>
        </w:rPr>
      </w:pPr>
      <w:r w:rsidRPr="00620227">
        <w:rPr>
          <w:sz w:val="22"/>
          <w:szCs w:val="22"/>
          <w:lang w:val="nl-NL"/>
        </w:rPr>
        <w:t>het 'animeren' van de collectieve modules,</w:t>
      </w:r>
    </w:p>
    <w:p w:rsidR="00E40A06" w:rsidRPr="00620227" w:rsidRDefault="00E40A06" w:rsidP="0064186B">
      <w:pPr>
        <w:numPr>
          <w:ilvl w:val="0"/>
          <w:numId w:val="12"/>
        </w:numPr>
        <w:rPr>
          <w:sz w:val="22"/>
          <w:szCs w:val="22"/>
          <w:lang w:val="nl-NL"/>
        </w:rPr>
      </w:pPr>
      <w:r w:rsidRPr="00620227">
        <w:rPr>
          <w:sz w:val="22"/>
          <w:szCs w:val="22"/>
          <w:lang w:val="nl-NL"/>
        </w:rPr>
        <w:t>het organiseren van werkoverleg tussen begeleiders,</w:t>
      </w:r>
    </w:p>
    <w:p w:rsidR="00E40A06" w:rsidRPr="00620227" w:rsidRDefault="00E40A06" w:rsidP="0064186B">
      <w:pPr>
        <w:numPr>
          <w:ilvl w:val="0"/>
          <w:numId w:val="12"/>
        </w:numPr>
        <w:rPr>
          <w:sz w:val="22"/>
          <w:szCs w:val="22"/>
          <w:lang w:val="nl-NL"/>
        </w:rPr>
      </w:pPr>
      <w:r w:rsidRPr="00620227">
        <w:rPr>
          <w:sz w:val="22"/>
          <w:szCs w:val="22"/>
          <w:lang w:val="nl-NL"/>
        </w:rPr>
        <w:t>het opmaken van de sociale balans bij aanvang (in groep of individueel) voor deelnemers waarvoor het OCMW geen bijzondere toelage ontvangt in het kader van het GPMI,</w:t>
      </w:r>
    </w:p>
    <w:p w:rsidR="00E40A06" w:rsidRPr="00620227" w:rsidRDefault="00E40A06" w:rsidP="0064186B">
      <w:pPr>
        <w:numPr>
          <w:ilvl w:val="0"/>
          <w:numId w:val="12"/>
        </w:numPr>
        <w:rPr>
          <w:sz w:val="22"/>
          <w:szCs w:val="22"/>
          <w:lang w:val="nl-NL"/>
        </w:rPr>
      </w:pPr>
      <w:r w:rsidRPr="00620227">
        <w:rPr>
          <w:sz w:val="22"/>
          <w:szCs w:val="22"/>
          <w:lang w:val="nl-NL"/>
        </w:rPr>
        <w:t>het meten van de geboekte vooruitgang (in groep of individueel) na afloop van de collectieve module voor deelnemers waarvoor het OCMW geen bijzondere toelage ontvangt in het kader van het GPMI.</w:t>
      </w:r>
    </w:p>
    <w:p w:rsidR="00E40A06" w:rsidRPr="00620227" w:rsidRDefault="00E40A06" w:rsidP="00E40A06">
      <w:pPr>
        <w:rPr>
          <w:sz w:val="22"/>
          <w:szCs w:val="22"/>
          <w:lang w:val="nl-NL"/>
        </w:rPr>
      </w:pPr>
    </w:p>
    <w:p w:rsidR="00A216BB" w:rsidRDefault="00E40A06" w:rsidP="00A216BB">
      <w:pPr>
        <w:jc w:val="both"/>
        <w:rPr>
          <w:sz w:val="22"/>
          <w:szCs w:val="22"/>
          <w:lang w:val="nl-NL"/>
        </w:rPr>
      </w:pPr>
      <w:r w:rsidRPr="00620227">
        <w:rPr>
          <w:sz w:val="22"/>
          <w:szCs w:val="22"/>
          <w:lang w:val="nl-NL"/>
        </w:rPr>
        <w:t>Om dubbele subsidiëring te vermijden, kunnen voor de deelnemers waarvoor het OCMW een bijzondere toelage ontvangt in het kader van het GPMI, geen kosten ingebracht worden van het personeel dat op individuele basis instaat voor het evalueren en meten van de individuele vooruitgang van deelnemers.</w:t>
      </w:r>
      <w:r w:rsidR="00A216BB">
        <w:rPr>
          <w:sz w:val="22"/>
          <w:szCs w:val="22"/>
          <w:lang w:val="nl-NL"/>
        </w:rPr>
        <w:br w:type="page"/>
      </w:r>
    </w:p>
    <w:p w:rsidR="00FD5A2F" w:rsidRPr="001A3245" w:rsidRDefault="00FD5A2F" w:rsidP="000E3D99">
      <w:pPr>
        <w:pStyle w:val="Stijl1"/>
      </w:pPr>
      <w:bookmarkStart w:id="7" w:name="_Toc506398908"/>
      <w:r w:rsidRPr="001A3245">
        <w:t>Toelageperiode</w:t>
      </w:r>
      <w:bookmarkEnd w:id="7"/>
      <w:r w:rsidRPr="001A3245">
        <w:t xml:space="preserve"> </w:t>
      </w:r>
    </w:p>
    <w:p w:rsidR="00A216BB" w:rsidRDefault="00A216BB" w:rsidP="00A82EB1">
      <w:pPr>
        <w:jc w:val="both"/>
        <w:rPr>
          <w:sz w:val="22"/>
          <w:szCs w:val="22"/>
          <w:lang w:val="nl-NL"/>
        </w:rPr>
      </w:pPr>
    </w:p>
    <w:p w:rsidR="00140EBC" w:rsidRPr="00620227" w:rsidRDefault="00A82EB1" w:rsidP="00A82EB1">
      <w:pPr>
        <w:jc w:val="both"/>
        <w:rPr>
          <w:sz w:val="22"/>
          <w:szCs w:val="22"/>
          <w:lang w:val="nl-NL"/>
        </w:rPr>
      </w:pPr>
      <w:r w:rsidRPr="00620227">
        <w:rPr>
          <w:sz w:val="22"/>
          <w:szCs w:val="22"/>
          <w:lang w:val="nl-NL"/>
        </w:rPr>
        <w:t>De toelageperiode loopt telkens van 1 januari tot en met 31 december</w:t>
      </w:r>
      <w:r w:rsidR="00EA781A" w:rsidRPr="00620227">
        <w:rPr>
          <w:sz w:val="22"/>
          <w:szCs w:val="22"/>
          <w:lang w:val="nl-NL"/>
        </w:rPr>
        <w:t xml:space="preserve"> van het desbetreffende toelage</w:t>
      </w:r>
      <w:r w:rsidR="00BA205F" w:rsidRPr="00620227">
        <w:rPr>
          <w:sz w:val="22"/>
          <w:szCs w:val="22"/>
          <w:lang w:val="nl-NL"/>
        </w:rPr>
        <w:t>jaar</w:t>
      </w:r>
      <w:r w:rsidRPr="00620227">
        <w:rPr>
          <w:sz w:val="22"/>
          <w:szCs w:val="22"/>
          <w:lang w:val="nl-NL"/>
        </w:rPr>
        <w:t xml:space="preserve">. Voor de verantwoording van de toelage is het </w:t>
      </w:r>
      <w:r w:rsidR="00BA524B" w:rsidRPr="00620227">
        <w:rPr>
          <w:sz w:val="22"/>
          <w:szCs w:val="22"/>
          <w:lang w:val="nl-NL"/>
        </w:rPr>
        <w:t xml:space="preserve">van belang dat de </w:t>
      </w:r>
      <w:r w:rsidR="00266A40" w:rsidRPr="00620227">
        <w:rPr>
          <w:sz w:val="22"/>
          <w:szCs w:val="22"/>
          <w:lang w:val="nl-NL"/>
        </w:rPr>
        <w:t>factuur</w:t>
      </w:r>
      <w:r w:rsidR="00BA205F" w:rsidRPr="00620227">
        <w:rPr>
          <w:sz w:val="22"/>
          <w:szCs w:val="22"/>
          <w:lang w:val="nl-NL"/>
        </w:rPr>
        <w:t xml:space="preserve"> die betrekking heeft op </w:t>
      </w:r>
      <w:r w:rsidR="00BA524B" w:rsidRPr="00620227">
        <w:rPr>
          <w:sz w:val="22"/>
          <w:szCs w:val="22"/>
          <w:lang w:val="nl-NL"/>
        </w:rPr>
        <w:t>de activiteit</w:t>
      </w:r>
      <w:r w:rsidR="00140EBC" w:rsidRPr="00620227">
        <w:rPr>
          <w:sz w:val="22"/>
          <w:szCs w:val="22"/>
          <w:lang w:val="nl-NL"/>
        </w:rPr>
        <w:t xml:space="preserve">, </w:t>
      </w:r>
      <w:r w:rsidR="00BA524B" w:rsidRPr="00620227">
        <w:rPr>
          <w:sz w:val="22"/>
          <w:szCs w:val="22"/>
          <w:lang w:val="nl-NL"/>
        </w:rPr>
        <w:t>is ingeschreven in de boekhouding van het OCMW (</w:t>
      </w:r>
      <w:r w:rsidR="00266A40" w:rsidRPr="00620227">
        <w:rPr>
          <w:sz w:val="22"/>
          <w:szCs w:val="22"/>
          <w:lang w:val="nl-NL"/>
        </w:rPr>
        <w:t>imputatiedatum)</w:t>
      </w:r>
      <w:r w:rsidR="00BA524B" w:rsidRPr="00620227">
        <w:rPr>
          <w:sz w:val="22"/>
          <w:szCs w:val="22"/>
          <w:lang w:val="nl-NL"/>
        </w:rPr>
        <w:t xml:space="preserve"> binnen </w:t>
      </w:r>
      <w:r w:rsidR="00266A40" w:rsidRPr="00620227">
        <w:rPr>
          <w:sz w:val="22"/>
          <w:szCs w:val="22"/>
          <w:lang w:val="nl-NL"/>
        </w:rPr>
        <w:t>de toelageperiode</w:t>
      </w:r>
      <w:r w:rsidR="00140EBC" w:rsidRPr="00620227">
        <w:rPr>
          <w:sz w:val="22"/>
          <w:szCs w:val="22"/>
          <w:lang w:val="nl-NL"/>
        </w:rPr>
        <w:t>. De imputatiedatum in de boekhouding bepaalt bijgevolg op welk toelagejaar de activiteit wordt aangerekend, ook wanneer een aantal prestaties nog in het volgend jaar moeten plaatsvinden.</w:t>
      </w:r>
    </w:p>
    <w:p w:rsidR="00266A40" w:rsidRPr="00620227" w:rsidRDefault="00266A40" w:rsidP="00A82EB1">
      <w:pPr>
        <w:jc w:val="both"/>
        <w:rPr>
          <w:sz w:val="22"/>
          <w:szCs w:val="22"/>
          <w:lang w:val="nl-NL"/>
        </w:rPr>
      </w:pPr>
      <w:r w:rsidRPr="00620227">
        <w:rPr>
          <w:sz w:val="22"/>
          <w:szCs w:val="22"/>
          <w:lang w:val="nl-NL"/>
        </w:rPr>
        <w:t>Vb. aankoop bonnen of aanrekening van prestaties van een partner worden ingeboekt in 2017 dus worden aangerekend op de toelage voor 2017. Dat de bonnen pas in 2018 zullen aangewend worden</w:t>
      </w:r>
      <w:r w:rsidR="00DA7244" w:rsidRPr="00620227">
        <w:rPr>
          <w:sz w:val="22"/>
          <w:szCs w:val="22"/>
          <w:lang w:val="nl-NL"/>
        </w:rPr>
        <w:t xml:space="preserve"> of de gefactureerde prestaties pas in 2018 zullen uitgevoerd worden</w:t>
      </w:r>
      <w:r w:rsidRPr="00620227">
        <w:rPr>
          <w:sz w:val="22"/>
          <w:szCs w:val="22"/>
          <w:lang w:val="nl-NL"/>
        </w:rPr>
        <w:t>, vormt geen probleem.</w:t>
      </w:r>
    </w:p>
    <w:p w:rsidR="00283343" w:rsidRPr="00620227" w:rsidRDefault="00283343">
      <w:pPr>
        <w:rPr>
          <w:rFonts w:ascii="Calibri" w:eastAsiaTheme="majorEastAsia" w:hAnsi="Calibri" w:cstheme="majorBidi"/>
          <w:b/>
          <w:caps/>
          <w:color w:val="000000" w:themeColor="text1"/>
          <w:sz w:val="22"/>
          <w:szCs w:val="22"/>
          <w:lang w:val="nl-NL"/>
        </w:rPr>
      </w:pPr>
    </w:p>
    <w:p w:rsidR="00A216BB" w:rsidRPr="00F16B49" w:rsidRDefault="00A216BB">
      <w:pPr>
        <w:rPr>
          <w:rFonts w:ascii="Calibri" w:eastAsiaTheme="majorEastAsia" w:hAnsi="Calibri" w:cstheme="majorBidi"/>
          <w:b/>
          <w:caps/>
          <w:color w:val="000000" w:themeColor="text1"/>
          <w:sz w:val="24"/>
          <w:szCs w:val="40"/>
          <w:lang w:val="nl-NL"/>
        </w:rPr>
      </w:pPr>
      <w:r w:rsidRPr="00F16B49">
        <w:rPr>
          <w:lang w:val="nl-NL"/>
        </w:rPr>
        <w:br w:type="page"/>
      </w:r>
    </w:p>
    <w:p w:rsidR="00734B79" w:rsidRDefault="00FD5A2F" w:rsidP="000E3D99">
      <w:pPr>
        <w:pStyle w:val="Stijl1"/>
      </w:pPr>
      <w:bookmarkStart w:id="8" w:name="_Toc506398909"/>
      <w:r w:rsidRPr="001A3245">
        <w:t>Herverdeling</w:t>
      </w:r>
      <w:r w:rsidR="00734B79">
        <w:t xml:space="preserve"> van niet benut saldo</w:t>
      </w:r>
      <w:bookmarkEnd w:id="8"/>
    </w:p>
    <w:p w:rsidR="0034619E" w:rsidRPr="00620227" w:rsidRDefault="0034619E" w:rsidP="00DA7244">
      <w:pPr>
        <w:rPr>
          <w:sz w:val="22"/>
          <w:szCs w:val="22"/>
          <w:lang w:val="nl-NL"/>
        </w:rPr>
      </w:pPr>
    </w:p>
    <w:p w:rsidR="00DA7244" w:rsidRPr="00620227" w:rsidRDefault="00DA7244" w:rsidP="00DA7244">
      <w:pPr>
        <w:jc w:val="both"/>
        <w:rPr>
          <w:sz w:val="22"/>
          <w:szCs w:val="22"/>
          <w:lang w:val="nl-NL"/>
        </w:rPr>
      </w:pPr>
      <w:r w:rsidRPr="00620227">
        <w:rPr>
          <w:sz w:val="22"/>
          <w:szCs w:val="22"/>
          <w:lang w:val="nl-NL"/>
        </w:rPr>
        <w:t>De herverdeling van het toelage-overschot, dit wil zeggen het samengeteld bedrag van de toelagen per OCMW die niet gebruikt werden, w</w:t>
      </w:r>
      <w:r w:rsidR="00140EBC" w:rsidRPr="00620227">
        <w:rPr>
          <w:sz w:val="22"/>
          <w:szCs w:val="22"/>
          <w:lang w:val="nl-NL"/>
        </w:rPr>
        <w:t>erd</w:t>
      </w:r>
      <w:r w:rsidRPr="00620227">
        <w:rPr>
          <w:sz w:val="22"/>
          <w:szCs w:val="22"/>
          <w:lang w:val="nl-NL"/>
        </w:rPr>
        <w:t xml:space="preserve"> voor de eerste maal toegepast voor het jaar 2016, overeenkomstig artikel 11, § 3, van het koninklijk besluit van 15 februari 2016 houdende maatregelen ter bevordering van de participatie en sociale activering van de gebruikers van de dienstverlening van de openbare centra voor maatschappelijk welzijn voor het jaar 2016.</w:t>
      </w:r>
    </w:p>
    <w:p w:rsidR="00140EBC" w:rsidRPr="00620227" w:rsidRDefault="00140EBC" w:rsidP="00DA7244">
      <w:pPr>
        <w:jc w:val="both"/>
        <w:rPr>
          <w:sz w:val="22"/>
          <w:szCs w:val="22"/>
          <w:lang w:val="nl-NL"/>
        </w:rPr>
      </w:pPr>
    </w:p>
    <w:p w:rsidR="00140EBC" w:rsidRPr="00620227" w:rsidRDefault="00140EBC" w:rsidP="00DA7244">
      <w:pPr>
        <w:jc w:val="both"/>
        <w:rPr>
          <w:sz w:val="22"/>
          <w:szCs w:val="22"/>
          <w:lang w:val="nl-NL"/>
        </w:rPr>
      </w:pPr>
      <w:r w:rsidRPr="00620227">
        <w:rPr>
          <w:sz w:val="22"/>
          <w:szCs w:val="22"/>
          <w:lang w:val="nl-NL"/>
        </w:rPr>
        <w:t xml:space="preserve">Voor </w:t>
      </w:r>
      <w:r w:rsidRPr="00EC75A5">
        <w:rPr>
          <w:b/>
          <w:sz w:val="22"/>
          <w:szCs w:val="22"/>
          <w:lang w:val="nl-NL"/>
        </w:rPr>
        <w:t>2017</w:t>
      </w:r>
      <w:r w:rsidRPr="00620227">
        <w:rPr>
          <w:sz w:val="22"/>
          <w:szCs w:val="22"/>
          <w:lang w:val="nl-NL"/>
        </w:rPr>
        <w:t xml:space="preserve"> zal opnieuw een herverdeling worden doorgevoerd volgens dezelfde beginselen, met dien verstande da</w:t>
      </w:r>
      <w:r w:rsidR="00742B32" w:rsidRPr="00620227">
        <w:rPr>
          <w:sz w:val="22"/>
          <w:szCs w:val="22"/>
          <w:lang w:val="nl-NL"/>
        </w:rPr>
        <w:t>t</w:t>
      </w:r>
      <w:r w:rsidRPr="00620227">
        <w:rPr>
          <w:sz w:val="22"/>
          <w:szCs w:val="22"/>
          <w:lang w:val="nl-NL"/>
        </w:rPr>
        <w:t xml:space="preserve"> bedragen onder de 25€ niet zullen uitbetaald worden.</w:t>
      </w:r>
    </w:p>
    <w:p w:rsidR="00EC75A5" w:rsidRDefault="00EC75A5" w:rsidP="00DA7244">
      <w:pPr>
        <w:jc w:val="both"/>
        <w:rPr>
          <w:sz w:val="22"/>
          <w:szCs w:val="22"/>
          <w:lang w:val="nl-NL"/>
        </w:rPr>
      </w:pPr>
    </w:p>
    <w:p w:rsidR="00DA7244" w:rsidRPr="00620227" w:rsidRDefault="00DA7244" w:rsidP="00DA7244">
      <w:pPr>
        <w:jc w:val="both"/>
        <w:rPr>
          <w:sz w:val="22"/>
          <w:szCs w:val="22"/>
          <w:lang w:val="nl-NL"/>
        </w:rPr>
      </w:pPr>
      <w:r w:rsidRPr="00620227">
        <w:rPr>
          <w:sz w:val="22"/>
          <w:szCs w:val="22"/>
          <w:lang w:val="nl-NL"/>
        </w:rPr>
        <w:t xml:space="preserve">Concreet </w:t>
      </w:r>
      <w:r w:rsidR="00742B32" w:rsidRPr="00620227">
        <w:rPr>
          <w:sz w:val="22"/>
          <w:szCs w:val="22"/>
          <w:lang w:val="nl-NL"/>
        </w:rPr>
        <w:t xml:space="preserve">zal er dan voor </w:t>
      </w:r>
      <w:r w:rsidRPr="00620227">
        <w:rPr>
          <w:sz w:val="22"/>
          <w:szCs w:val="22"/>
          <w:lang w:val="nl-NL"/>
        </w:rPr>
        <w:t xml:space="preserve">alle </w:t>
      </w:r>
      <w:proofErr w:type="spellStart"/>
      <w:r w:rsidRPr="00620227">
        <w:rPr>
          <w:sz w:val="22"/>
          <w:szCs w:val="22"/>
          <w:lang w:val="nl-NL"/>
        </w:rPr>
        <w:t>OCMW</w:t>
      </w:r>
      <w:r w:rsidR="00742B32" w:rsidRPr="00620227">
        <w:rPr>
          <w:sz w:val="22"/>
          <w:szCs w:val="22"/>
          <w:lang w:val="nl-NL"/>
        </w:rPr>
        <w:t>’</w:t>
      </w:r>
      <w:r w:rsidRPr="00620227">
        <w:rPr>
          <w:sz w:val="22"/>
          <w:szCs w:val="22"/>
          <w:lang w:val="nl-NL"/>
        </w:rPr>
        <w:t>s</w:t>
      </w:r>
      <w:proofErr w:type="spellEnd"/>
      <w:r w:rsidRPr="00620227">
        <w:rPr>
          <w:sz w:val="22"/>
          <w:szCs w:val="22"/>
          <w:lang w:val="nl-NL"/>
        </w:rPr>
        <w:t xml:space="preserve"> </w:t>
      </w:r>
      <w:r w:rsidR="00742B32" w:rsidRPr="00620227">
        <w:rPr>
          <w:sz w:val="22"/>
          <w:szCs w:val="22"/>
          <w:lang w:val="nl-NL"/>
        </w:rPr>
        <w:t xml:space="preserve">worden </w:t>
      </w:r>
      <w:r w:rsidRPr="00620227">
        <w:rPr>
          <w:sz w:val="22"/>
          <w:szCs w:val="22"/>
          <w:lang w:val="nl-NL"/>
        </w:rPr>
        <w:t>nagegaan :</w:t>
      </w:r>
    </w:p>
    <w:p w:rsidR="00EC75A5" w:rsidRPr="00EC75A5" w:rsidRDefault="00DA7244" w:rsidP="00EC75A5">
      <w:pPr>
        <w:pStyle w:val="Lijstalinea"/>
        <w:numPr>
          <w:ilvl w:val="0"/>
          <w:numId w:val="46"/>
        </w:numPr>
        <w:jc w:val="both"/>
        <w:rPr>
          <w:sz w:val="22"/>
          <w:szCs w:val="22"/>
          <w:lang w:val="nl-NL"/>
        </w:rPr>
      </w:pPr>
      <w:r w:rsidRPr="00EC75A5">
        <w:rPr>
          <w:sz w:val="22"/>
          <w:szCs w:val="22"/>
          <w:lang w:val="nl-NL"/>
        </w:rPr>
        <w:t>welk bedrag ze op een juiste manier hebben verantwoord;</w:t>
      </w:r>
    </w:p>
    <w:p w:rsidR="00DA7244" w:rsidRPr="00EC75A5" w:rsidRDefault="00DA7244" w:rsidP="00EC75A5">
      <w:pPr>
        <w:pStyle w:val="Lijstalinea"/>
        <w:numPr>
          <w:ilvl w:val="0"/>
          <w:numId w:val="46"/>
        </w:numPr>
        <w:jc w:val="both"/>
        <w:rPr>
          <w:sz w:val="22"/>
          <w:szCs w:val="22"/>
          <w:lang w:val="nl-NL"/>
        </w:rPr>
      </w:pPr>
      <w:r w:rsidRPr="00EC75A5">
        <w:rPr>
          <w:sz w:val="22"/>
          <w:szCs w:val="22"/>
          <w:lang w:val="nl-NL"/>
        </w:rPr>
        <w:t>of ze het volledig toegekende toelagebedrag hebben benut;</w:t>
      </w:r>
    </w:p>
    <w:p w:rsidR="00DA7244" w:rsidRPr="00EC75A5" w:rsidRDefault="00DA7244" w:rsidP="00EC75A5">
      <w:pPr>
        <w:pStyle w:val="Lijstalinea"/>
        <w:numPr>
          <w:ilvl w:val="0"/>
          <w:numId w:val="46"/>
        </w:numPr>
        <w:jc w:val="both"/>
        <w:rPr>
          <w:sz w:val="22"/>
          <w:szCs w:val="22"/>
          <w:lang w:val="nl-NL"/>
        </w:rPr>
      </w:pPr>
      <w:r w:rsidRPr="00EC75A5">
        <w:rPr>
          <w:sz w:val="22"/>
          <w:szCs w:val="22"/>
          <w:lang w:val="nl-NL"/>
        </w:rPr>
        <w:t>of ze meer dan het volledig toegekende toelagebedrag hebben verantwoord.</w:t>
      </w:r>
    </w:p>
    <w:p w:rsidR="00EC75A5" w:rsidRDefault="00EC75A5" w:rsidP="00DA7244">
      <w:pPr>
        <w:jc w:val="both"/>
        <w:rPr>
          <w:sz w:val="22"/>
          <w:szCs w:val="22"/>
          <w:lang w:val="nl-NL"/>
        </w:rPr>
      </w:pPr>
    </w:p>
    <w:p w:rsidR="00DA7244" w:rsidRPr="00620227" w:rsidRDefault="00DA7244" w:rsidP="00DA7244">
      <w:pPr>
        <w:jc w:val="both"/>
        <w:rPr>
          <w:sz w:val="22"/>
          <w:szCs w:val="22"/>
          <w:lang w:val="nl-NL"/>
        </w:rPr>
      </w:pPr>
      <w:r w:rsidRPr="00620227">
        <w:rPr>
          <w:sz w:val="22"/>
          <w:szCs w:val="22"/>
          <w:lang w:val="nl-NL"/>
        </w:rPr>
        <w:t xml:space="preserve">Alle niet aangewende toelagebedragen worden samengeteld (= toelage-overschot) evenals alle correct verantwoorde bedragen die het toegekende toelagebedrag overstijgen (= activiteitenoverschot). De twee worden tegenover elkaar afgezet om te zien of er een herverdeling kan doorgevoerd worden (beide parameters moeten een positief getal vormen). </w:t>
      </w:r>
    </w:p>
    <w:p w:rsidR="00DA7244" w:rsidRPr="00620227" w:rsidRDefault="00DA7244" w:rsidP="00DA7244">
      <w:pPr>
        <w:jc w:val="both"/>
        <w:rPr>
          <w:sz w:val="22"/>
          <w:szCs w:val="22"/>
          <w:lang w:val="nl-NL"/>
        </w:rPr>
      </w:pPr>
      <w:r w:rsidRPr="00620227">
        <w:rPr>
          <w:sz w:val="22"/>
          <w:szCs w:val="22"/>
          <w:lang w:val="nl-NL"/>
        </w:rPr>
        <w:t xml:space="preserve">Indien het toelage-overschot groter is dan of gelijk aan het activiteitenoverschot zal het activiteitenoverschot volledig vergoed worden aan het centrum. </w:t>
      </w:r>
      <w:r w:rsidR="00742B32" w:rsidRPr="00620227">
        <w:rPr>
          <w:sz w:val="22"/>
          <w:szCs w:val="22"/>
          <w:lang w:val="nl-NL"/>
        </w:rPr>
        <w:t>Indien</w:t>
      </w:r>
      <w:r w:rsidRPr="00620227">
        <w:rPr>
          <w:sz w:val="22"/>
          <w:szCs w:val="22"/>
          <w:lang w:val="nl-NL"/>
        </w:rPr>
        <w:t xml:space="preserve"> het toelage-overschot kleiner is dan het activiteitenoverschot</w:t>
      </w:r>
      <w:r w:rsidR="00742B32" w:rsidRPr="00620227">
        <w:rPr>
          <w:sz w:val="22"/>
          <w:szCs w:val="22"/>
          <w:lang w:val="nl-NL"/>
        </w:rPr>
        <w:t xml:space="preserve">, </w:t>
      </w:r>
      <w:r w:rsidRPr="00620227">
        <w:rPr>
          <w:sz w:val="22"/>
          <w:szCs w:val="22"/>
          <w:lang w:val="nl-NL"/>
        </w:rPr>
        <w:t xml:space="preserve">wordt het toelage-overschot herverdeeld over de </w:t>
      </w:r>
      <w:proofErr w:type="spellStart"/>
      <w:r w:rsidRPr="00620227">
        <w:rPr>
          <w:sz w:val="22"/>
          <w:szCs w:val="22"/>
          <w:lang w:val="nl-NL"/>
        </w:rPr>
        <w:t>OCMW's</w:t>
      </w:r>
      <w:proofErr w:type="spellEnd"/>
      <w:r w:rsidRPr="00620227">
        <w:rPr>
          <w:sz w:val="22"/>
          <w:szCs w:val="22"/>
          <w:lang w:val="nl-NL"/>
        </w:rPr>
        <w:t xml:space="preserve"> met een activiteitenoverschot volgens de oorspronkelijke verdeelsleutel die aan de basis ligt van de toekenning van het toelagebedrag per OCMW en waarbij het aandeel dat elk centrum maximaal kan ontvangen, beperkt is tot het bedrag van de activiteiten, d</w:t>
      </w:r>
      <w:r w:rsidR="00273FA3">
        <w:rPr>
          <w:sz w:val="22"/>
          <w:szCs w:val="22"/>
          <w:lang w:val="nl-NL"/>
        </w:rPr>
        <w:t>at</w:t>
      </w:r>
      <w:r w:rsidRPr="00620227">
        <w:rPr>
          <w:sz w:val="22"/>
          <w:szCs w:val="22"/>
          <w:lang w:val="nl-NL"/>
        </w:rPr>
        <w:t xml:space="preserve"> correct verantwoord werd en de aan het centrum toegekende toelage overschrijdt.</w:t>
      </w:r>
    </w:p>
    <w:p w:rsidR="00EC75A5" w:rsidRDefault="00EC75A5" w:rsidP="00742B32">
      <w:pPr>
        <w:jc w:val="both"/>
        <w:rPr>
          <w:sz w:val="22"/>
          <w:szCs w:val="22"/>
          <w:lang w:val="nl-NL"/>
        </w:rPr>
      </w:pPr>
    </w:p>
    <w:p w:rsidR="00EC75A5" w:rsidRDefault="00742B32" w:rsidP="00EC75A5">
      <w:pPr>
        <w:jc w:val="both"/>
        <w:rPr>
          <w:rFonts w:ascii="Calibri" w:eastAsiaTheme="majorEastAsia" w:hAnsi="Calibri" w:cstheme="majorBidi"/>
          <w:b/>
          <w:caps/>
          <w:color w:val="000000" w:themeColor="text1"/>
          <w:sz w:val="24"/>
          <w:szCs w:val="40"/>
          <w:lang w:val="nl-NL"/>
        </w:rPr>
      </w:pPr>
      <w:r w:rsidRPr="00620227">
        <w:rPr>
          <w:sz w:val="22"/>
          <w:szCs w:val="22"/>
          <w:lang w:val="nl-NL"/>
        </w:rPr>
        <w:t xml:space="preserve">Voor </w:t>
      </w:r>
      <w:r w:rsidRPr="00EC75A5">
        <w:rPr>
          <w:b/>
          <w:sz w:val="22"/>
          <w:szCs w:val="22"/>
          <w:lang w:val="nl-NL"/>
        </w:rPr>
        <w:t>2018</w:t>
      </w:r>
      <w:r w:rsidRPr="00620227">
        <w:rPr>
          <w:sz w:val="22"/>
          <w:szCs w:val="22"/>
          <w:lang w:val="nl-NL"/>
        </w:rPr>
        <w:t xml:space="preserve"> is er geen herverdeling meer voorzien</w:t>
      </w:r>
      <w:r w:rsidR="00EC75A5">
        <w:rPr>
          <w:sz w:val="22"/>
          <w:szCs w:val="22"/>
          <w:lang w:val="nl-NL"/>
        </w:rPr>
        <w:t>. A</w:t>
      </w:r>
      <w:r w:rsidR="00197583" w:rsidRPr="00620227">
        <w:rPr>
          <w:sz w:val="22"/>
          <w:szCs w:val="22"/>
          <w:lang w:val="nl-NL"/>
        </w:rPr>
        <w:t xml:space="preserve">angezien de </w:t>
      </w:r>
      <w:proofErr w:type="spellStart"/>
      <w:r w:rsidR="00197583" w:rsidRPr="00620227">
        <w:rPr>
          <w:sz w:val="22"/>
          <w:szCs w:val="22"/>
          <w:lang w:val="nl-NL"/>
        </w:rPr>
        <w:t>OCMW’s</w:t>
      </w:r>
      <w:proofErr w:type="spellEnd"/>
      <w:r w:rsidR="00197583" w:rsidRPr="00620227">
        <w:rPr>
          <w:sz w:val="22"/>
          <w:szCs w:val="22"/>
          <w:lang w:val="nl-NL"/>
        </w:rPr>
        <w:t xml:space="preserve"> het toegekende bedrag optimaler gebruiken en het niet benut saldo bijgevolg steeds kleiner wordt, is er voor ge</w:t>
      </w:r>
      <w:r w:rsidR="00EC75A5">
        <w:rPr>
          <w:sz w:val="22"/>
          <w:szCs w:val="22"/>
          <w:lang w:val="nl-NL"/>
        </w:rPr>
        <w:t>kozen</w:t>
      </w:r>
      <w:r w:rsidR="00197583" w:rsidRPr="00620227">
        <w:rPr>
          <w:sz w:val="22"/>
          <w:szCs w:val="22"/>
          <w:lang w:val="nl-NL"/>
        </w:rPr>
        <w:t xml:space="preserve"> om deze herverdeling niet meer toe te passen voor de toelage 2018. V</w:t>
      </w:r>
      <w:r w:rsidR="00136E94" w:rsidRPr="00620227">
        <w:rPr>
          <w:sz w:val="22"/>
          <w:szCs w:val="22"/>
          <w:lang w:val="nl-NL"/>
        </w:rPr>
        <w:t xml:space="preserve">oor de verantwoording van de toelage voor 2018 zal </w:t>
      </w:r>
      <w:r w:rsidR="00EC75A5">
        <w:rPr>
          <w:sz w:val="22"/>
          <w:szCs w:val="22"/>
          <w:lang w:val="nl-NL"/>
        </w:rPr>
        <w:t xml:space="preserve">bijgevolg </w:t>
      </w:r>
      <w:r w:rsidR="00136E94" w:rsidRPr="00620227">
        <w:rPr>
          <w:sz w:val="22"/>
          <w:szCs w:val="22"/>
          <w:lang w:val="nl-NL"/>
        </w:rPr>
        <w:t>enkel rekening gehouden worden met de verantwoording van het toegekende bedrag en zal er geen herverdeling worden toegepast. Er zal dan ook geen rekening meer gehouden worden met het bedrag dat meer dan het volledig toegekende bedrag werd verantwoord.</w:t>
      </w:r>
      <w:r w:rsidR="00EC75A5">
        <w:br w:type="page"/>
      </w:r>
    </w:p>
    <w:p w:rsidR="005E56A7" w:rsidRDefault="00E842D5" w:rsidP="000E3D99">
      <w:pPr>
        <w:pStyle w:val="Stijl1"/>
      </w:pPr>
      <w:bookmarkStart w:id="9" w:name="_Toc506398910"/>
      <w:r w:rsidRPr="00FC159D">
        <w:t>Hoe verantwoorden in geval van uitbesteding?</w:t>
      </w:r>
      <w:bookmarkEnd w:id="9"/>
      <w:r w:rsidR="0094157D">
        <w:t xml:space="preserve"> </w:t>
      </w:r>
    </w:p>
    <w:p w:rsidR="00283343" w:rsidRPr="00620227" w:rsidRDefault="00283343" w:rsidP="007E2834">
      <w:pPr>
        <w:jc w:val="both"/>
        <w:rPr>
          <w:sz w:val="22"/>
          <w:szCs w:val="22"/>
          <w:lang w:val="nl-NL"/>
        </w:rPr>
      </w:pPr>
    </w:p>
    <w:p w:rsidR="002E5DF2" w:rsidRPr="00620227" w:rsidRDefault="005E56A7" w:rsidP="007E2834">
      <w:pPr>
        <w:jc w:val="both"/>
        <w:rPr>
          <w:sz w:val="22"/>
          <w:szCs w:val="22"/>
          <w:lang w:val="nl-NL"/>
        </w:rPr>
      </w:pPr>
      <w:r w:rsidRPr="00620227">
        <w:rPr>
          <w:sz w:val="22"/>
          <w:szCs w:val="22"/>
          <w:lang w:val="nl-NL"/>
        </w:rPr>
        <w:t xml:space="preserve">De </w:t>
      </w:r>
      <w:proofErr w:type="spellStart"/>
      <w:r w:rsidRPr="00620227">
        <w:rPr>
          <w:sz w:val="22"/>
          <w:szCs w:val="22"/>
          <w:lang w:val="nl-NL"/>
        </w:rPr>
        <w:t>OCMW’s</w:t>
      </w:r>
      <w:proofErr w:type="spellEnd"/>
      <w:r w:rsidRPr="00620227">
        <w:rPr>
          <w:sz w:val="22"/>
          <w:szCs w:val="22"/>
          <w:lang w:val="nl-NL"/>
        </w:rPr>
        <w:t xml:space="preserve"> kunnen </w:t>
      </w:r>
      <w:r w:rsidR="00123BD0" w:rsidRPr="00620227">
        <w:rPr>
          <w:sz w:val="22"/>
          <w:szCs w:val="22"/>
          <w:lang w:val="nl-NL"/>
        </w:rPr>
        <w:t xml:space="preserve">ervoor </w:t>
      </w:r>
      <w:r w:rsidR="00742B32" w:rsidRPr="00620227">
        <w:rPr>
          <w:sz w:val="22"/>
          <w:szCs w:val="22"/>
          <w:lang w:val="nl-NL"/>
        </w:rPr>
        <w:t>kiezen</w:t>
      </w:r>
      <w:r w:rsidR="00123BD0" w:rsidRPr="00620227">
        <w:rPr>
          <w:sz w:val="22"/>
          <w:szCs w:val="22"/>
          <w:lang w:val="nl-NL"/>
        </w:rPr>
        <w:t xml:space="preserve"> om </w:t>
      </w:r>
      <w:r w:rsidR="00661503" w:rsidRPr="00620227">
        <w:rPr>
          <w:sz w:val="22"/>
          <w:szCs w:val="22"/>
          <w:lang w:val="nl-NL"/>
        </w:rPr>
        <w:t xml:space="preserve">een </w:t>
      </w:r>
      <w:r w:rsidR="000115F9" w:rsidRPr="00620227">
        <w:rPr>
          <w:sz w:val="22"/>
          <w:szCs w:val="22"/>
          <w:lang w:val="nl-NL"/>
        </w:rPr>
        <w:t xml:space="preserve">activiteit volledig of gedeeltelijk uit te besteden aan een externe </w:t>
      </w:r>
      <w:r w:rsidR="00742B32" w:rsidRPr="00620227">
        <w:rPr>
          <w:sz w:val="22"/>
          <w:szCs w:val="22"/>
          <w:lang w:val="nl-NL"/>
        </w:rPr>
        <w:t>organisatie</w:t>
      </w:r>
      <w:r w:rsidRPr="00620227">
        <w:rPr>
          <w:sz w:val="22"/>
          <w:szCs w:val="22"/>
          <w:lang w:val="nl-NL"/>
        </w:rPr>
        <w:t xml:space="preserve"> </w:t>
      </w:r>
      <w:r w:rsidR="00123BD0" w:rsidRPr="00620227">
        <w:rPr>
          <w:sz w:val="22"/>
          <w:szCs w:val="22"/>
          <w:lang w:val="nl-NL"/>
        </w:rPr>
        <w:t xml:space="preserve">met </w:t>
      </w:r>
      <w:r w:rsidR="002E5DF2" w:rsidRPr="00620227">
        <w:rPr>
          <w:sz w:val="22"/>
          <w:szCs w:val="22"/>
          <w:lang w:val="nl-NL"/>
        </w:rPr>
        <w:t>het oog op de bevordering van de participatie en sociale activering van de gebruikers.</w:t>
      </w:r>
    </w:p>
    <w:p w:rsidR="001357F9" w:rsidRPr="00620227" w:rsidRDefault="000115F9" w:rsidP="007E2834">
      <w:pPr>
        <w:jc w:val="both"/>
        <w:rPr>
          <w:sz w:val="22"/>
          <w:szCs w:val="22"/>
          <w:lang w:val="nl-NL"/>
        </w:rPr>
      </w:pPr>
      <w:r w:rsidRPr="00620227">
        <w:rPr>
          <w:sz w:val="22"/>
          <w:szCs w:val="22"/>
          <w:lang w:val="nl-NL"/>
        </w:rPr>
        <w:t xml:space="preserve">Om deze samenwerking te formaliseren, moet er </w:t>
      </w:r>
      <w:r w:rsidR="00562F11" w:rsidRPr="00620227">
        <w:rPr>
          <w:sz w:val="22"/>
          <w:szCs w:val="22"/>
          <w:lang w:val="nl-NL"/>
        </w:rPr>
        <w:t xml:space="preserve">een </w:t>
      </w:r>
      <w:r w:rsidR="001357F9" w:rsidRPr="00620227">
        <w:rPr>
          <w:sz w:val="22"/>
          <w:szCs w:val="22"/>
          <w:lang w:val="nl-NL"/>
        </w:rPr>
        <w:t xml:space="preserve">samenwerkingsovereenkomst </w:t>
      </w:r>
      <w:r w:rsidRPr="00620227">
        <w:rPr>
          <w:sz w:val="22"/>
          <w:szCs w:val="22"/>
          <w:lang w:val="nl-NL"/>
        </w:rPr>
        <w:t xml:space="preserve">opgemaakt </w:t>
      </w:r>
      <w:r w:rsidR="00562F11" w:rsidRPr="00620227">
        <w:rPr>
          <w:sz w:val="22"/>
          <w:szCs w:val="22"/>
          <w:lang w:val="nl-NL"/>
        </w:rPr>
        <w:t xml:space="preserve">worden waarin duidelijk vermeld staat </w:t>
      </w:r>
      <w:r w:rsidR="001357F9" w:rsidRPr="00620227">
        <w:rPr>
          <w:sz w:val="22"/>
          <w:szCs w:val="22"/>
          <w:lang w:val="nl-NL"/>
        </w:rPr>
        <w:t>waaruit de geleverde diensten zullen bestaan, wanneer en in welke vorm ze zullen geleverd worden</w:t>
      </w:r>
      <w:r w:rsidR="00460027" w:rsidRPr="00620227">
        <w:rPr>
          <w:sz w:val="22"/>
          <w:szCs w:val="22"/>
          <w:lang w:val="nl-NL"/>
        </w:rPr>
        <w:t xml:space="preserve">, welke doelgroep er wordt geviseerd </w:t>
      </w:r>
      <w:r w:rsidR="001357F9" w:rsidRPr="00620227">
        <w:rPr>
          <w:sz w:val="22"/>
          <w:szCs w:val="22"/>
          <w:lang w:val="nl-NL"/>
        </w:rPr>
        <w:t>en wat daar financieel tegenover zal staan.</w:t>
      </w:r>
    </w:p>
    <w:p w:rsidR="0094157D" w:rsidRPr="00620227" w:rsidRDefault="0094157D" w:rsidP="0094157D">
      <w:pPr>
        <w:jc w:val="both"/>
        <w:rPr>
          <w:sz w:val="22"/>
          <w:szCs w:val="22"/>
          <w:lang w:val="nl-NL"/>
        </w:rPr>
      </w:pPr>
      <w:r w:rsidRPr="00620227">
        <w:rPr>
          <w:sz w:val="22"/>
          <w:szCs w:val="22"/>
          <w:lang w:val="nl-NL"/>
        </w:rPr>
        <w:t xml:space="preserve">Indien het OCMW een beroep doet op een externe partner die vergoed wordt voor de gemaakte kosten, dan moet het OCMW controle uitoefenen op de partner overeenkomstig de wet van 14 november 1983 betreffende de controle op de toekenning en op de aanwending van sommige toelagen. </w:t>
      </w:r>
    </w:p>
    <w:p w:rsidR="007E2834" w:rsidRPr="00620227" w:rsidRDefault="007E2834" w:rsidP="007E2834">
      <w:pPr>
        <w:jc w:val="both"/>
        <w:rPr>
          <w:sz w:val="22"/>
          <w:szCs w:val="22"/>
          <w:lang w:val="nl-NL"/>
        </w:rPr>
      </w:pPr>
      <w:r w:rsidRPr="00620227">
        <w:rPr>
          <w:sz w:val="22"/>
          <w:szCs w:val="22"/>
          <w:lang w:val="nl-NL"/>
        </w:rPr>
        <w:t>Om</w:t>
      </w:r>
      <w:r w:rsidR="00BA47FD" w:rsidRPr="00620227">
        <w:rPr>
          <w:sz w:val="22"/>
          <w:szCs w:val="22"/>
          <w:lang w:val="nl-NL"/>
        </w:rPr>
        <w:t xml:space="preserve">dat het niet de bedoeling is dat de toelage voor participatie en sociale activering wordt aangewend </w:t>
      </w:r>
      <w:r w:rsidRPr="00620227">
        <w:rPr>
          <w:sz w:val="22"/>
          <w:szCs w:val="22"/>
          <w:lang w:val="nl-NL"/>
        </w:rPr>
        <w:t xml:space="preserve"> </w:t>
      </w:r>
      <w:r w:rsidR="00B05EDE" w:rsidRPr="00620227">
        <w:rPr>
          <w:sz w:val="22"/>
          <w:szCs w:val="22"/>
          <w:lang w:val="nl-NL"/>
        </w:rPr>
        <w:t xml:space="preserve">om de reguliere werking van vzw’s te </w:t>
      </w:r>
      <w:r w:rsidR="0094157D" w:rsidRPr="00620227">
        <w:rPr>
          <w:sz w:val="22"/>
          <w:szCs w:val="22"/>
          <w:lang w:val="nl-NL"/>
        </w:rPr>
        <w:t xml:space="preserve">financieren, </w:t>
      </w:r>
      <w:r w:rsidR="00B05EDE" w:rsidRPr="00620227">
        <w:rPr>
          <w:sz w:val="22"/>
          <w:szCs w:val="22"/>
          <w:lang w:val="nl-NL"/>
        </w:rPr>
        <w:t xml:space="preserve">zijn de </w:t>
      </w:r>
      <w:r w:rsidR="00BA47FD" w:rsidRPr="00620227">
        <w:rPr>
          <w:sz w:val="22"/>
          <w:szCs w:val="22"/>
          <w:lang w:val="nl-NL"/>
        </w:rPr>
        <w:t xml:space="preserve">overheadkosten </w:t>
      </w:r>
      <w:r w:rsidR="00661503" w:rsidRPr="00620227">
        <w:rPr>
          <w:sz w:val="22"/>
          <w:szCs w:val="22"/>
          <w:lang w:val="nl-NL"/>
        </w:rPr>
        <w:t xml:space="preserve">(of beheerskosten) </w:t>
      </w:r>
      <w:r w:rsidR="00BA47FD" w:rsidRPr="00620227">
        <w:rPr>
          <w:sz w:val="22"/>
          <w:szCs w:val="22"/>
          <w:lang w:val="nl-NL"/>
        </w:rPr>
        <w:t>beperkt tot maximaal 10% van het totale factuurbedrag.</w:t>
      </w:r>
    </w:p>
    <w:p w:rsidR="00460027" w:rsidRPr="00620227" w:rsidRDefault="0094157D" w:rsidP="007E2834">
      <w:pPr>
        <w:jc w:val="both"/>
        <w:rPr>
          <w:sz w:val="22"/>
          <w:szCs w:val="22"/>
          <w:lang w:val="nl-NL"/>
        </w:rPr>
      </w:pPr>
      <w:r w:rsidRPr="00620227">
        <w:rPr>
          <w:sz w:val="22"/>
          <w:szCs w:val="22"/>
          <w:lang w:val="nl-NL"/>
        </w:rPr>
        <w:t>De l</w:t>
      </w:r>
      <w:r w:rsidR="00460027" w:rsidRPr="00620227">
        <w:rPr>
          <w:sz w:val="22"/>
          <w:szCs w:val="22"/>
          <w:lang w:val="nl-NL"/>
        </w:rPr>
        <w:t xml:space="preserve">oonkosten van het personeel van de externe partner worden beschouwd als werkingskosten. </w:t>
      </w:r>
      <w:r w:rsidRPr="00620227">
        <w:rPr>
          <w:sz w:val="22"/>
          <w:szCs w:val="22"/>
          <w:lang w:val="nl-NL"/>
        </w:rPr>
        <w:t>De loonkosten van het OCMW-personeel worden beschouwd als loonkosten.</w:t>
      </w:r>
    </w:p>
    <w:p w:rsidR="000115F9" w:rsidRPr="00620227" w:rsidRDefault="005E56A7" w:rsidP="007E2834">
      <w:pPr>
        <w:jc w:val="both"/>
        <w:rPr>
          <w:sz w:val="22"/>
          <w:szCs w:val="22"/>
          <w:lang w:val="nl-NL"/>
        </w:rPr>
      </w:pPr>
      <w:r w:rsidRPr="00620227">
        <w:rPr>
          <w:sz w:val="22"/>
          <w:szCs w:val="22"/>
          <w:lang w:val="nl-NL"/>
        </w:rPr>
        <w:t xml:space="preserve">Een door beide partijen ondertekende samenwerkingsovereenkomst </w:t>
      </w:r>
      <w:r w:rsidR="00742B32" w:rsidRPr="00620227">
        <w:rPr>
          <w:sz w:val="22"/>
          <w:szCs w:val="22"/>
          <w:lang w:val="nl-NL"/>
        </w:rPr>
        <w:t>moet</w:t>
      </w:r>
      <w:r w:rsidRPr="00620227">
        <w:rPr>
          <w:sz w:val="22"/>
          <w:szCs w:val="22"/>
          <w:lang w:val="nl-NL"/>
        </w:rPr>
        <w:t xml:space="preserve"> op vraag van </w:t>
      </w:r>
      <w:r w:rsidR="00742B32" w:rsidRPr="00620227">
        <w:rPr>
          <w:sz w:val="22"/>
          <w:szCs w:val="22"/>
          <w:lang w:val="nl-NL"/>
        </w:rPr>
        <w:t xml:space="preserve">de </w:t>
      </w:r>
      <w:r w:rsidRPr="00620227">
        <w:rPr>
          <w:sz w:val="22"/>
          <w:szCs w:val="22"/>
          <w:lang w:val="nl-NL"/>
        </w:rPr>
        <w:t xml:space="preserve">inspectiedienst of bij controle on desk kunnen worden voorgelegd. </w:t>
      </w:r>
    </w:p>
    <w:p w:rsidR="000115F9" w:rsidRPr="00620227" w:rsidRDefault="000115F9" w:rsidP="007E2834">
      <w:pPr>
        <w:jc w:val="both"/>
        <w:rPr>
          <w:sz w:val="22"/>
          <w:szCs w:val="22"/>
          <w:lang w:val="nl-NL"/>
        </w:rPr>
      </w:pPr>
      <w:r w:rsidRPr="00620227">
        <w:rPr>
          <w:sz w:val="22"/>
          <w:szCs w:val="22"/>
          <w:lang w:val="nl-NL"/>
        </w:rPr>
        <w:t xml:space="preserve">Hiernaast is het OCMW </w:t>
      </w:r>
      <w:r w:rsidR="000502B7" w:rsidRPr="00620227">
        <w:rPr>
          <w:sz w:val="22"/>
          <w:szCs w:val="22"/>
          <w:lang w:val="nl-NL"/>
        </w:rPr>
        <w:t xml:space="preserve">als overheidsinstantie </w:t>
      </w:r>
      <w:r w:rsidRPr="00620227">
        <w:rPr>
          <w:sz w:val="22"/>
          <w:szCs w:val="22"/>
          <w:lang w:val="nl-NL"/>
        </w:rPr>
        <w:t>eveneens gebonden aan de wet op de overheidsopdrachten.</w:t>
      </w:r>
    </w:p>
    <w:p w:rsidR="000115F9" w:rsidRPr="00620227" w:rsidRDefault="000115F9" w:rsidP="000115F9">
      <w:pPr>
        <w:rPr>
          <w:sz w:val="22"/>
          <w:szCs w:val="22"/>
          <w:lang w:val="nl-NL"/>
        </w:rPr>
      </w:pPr>
    </w:p>
    <w:p w:rsidR="00A216BB" w:rsidRDefault="00A216BB">
      <w:pPr>
        <w:rPr>
          <w:rFonts w:ascii="Calibri" w:eastAsiaTheme="majorEastAsia" w:hAnsi="Calibri" w:cstheme="majorBidi"/>
          <w:b/>
          <w:caps/>
          <w:color w:val="000000" w:themeColor="text1"/>
          <w:sz w:val="24"/>
          <w:szCs w:val="40"/>
          <w:lang w:val="nl-NL"/>
        </w:rPr>
      </w:pPr>
      <w:r>
        <w:br w:type="page"/>
      </w:r>
    </w:p>
    <w:p w:rsidR="00FC159D" w:rsidRPr="00FD5A2F" w:rsidRDefault="00FC159D" w:rsidP="000E3D99">
      <w:pPr>
        <w:pStyle w:val="Stijl1"/>
      </w:pPr>
      <w:bookmarkStart w:id="10" w:name="_Toc506398911"/>
      <w:r w:rsidRPr="00FD5A2F">
        <w:t>Investeringen</w:t>
      </w:r>
      <w:bookmarkEnd w:id="10"/>
      <w:r w:rsidR="0094157D">
        <w:t xml:space="preserve"> </w:t>
      </w:r>
    </w:p>
    <w:p w:rsidR="00613859" w:rsidRDefault="00613859" w:rsidP="0094157D">
      <w:pPr>
        <w:jc w:val="both"/>
        <w:rPr>
          <w:sz w:val="22"/>
          <w:szCs w:val="22"/>
          <w:lang w:val="nl-NL"/>
        </w:rPr>
      </w:pPr>
    </w:p>
    <w:p w:rsidR="00F05358" w:rsidRPr="00620227" w:rsidRDefault="00F05358" w:rsidP="0094157D">
      <w:pPr>
        <w:jc w:val="both"/>
        <w:rPr>
          <w:sz w:val="22"/>
          <w:szCs w:val="22"/>
          <w:lang w:val="nl-NL"/>
        </w:rPr>
      </w:pPr>
      <w:r w:rsidRPr="00620227">
        <w:rPr>
          <w:sz w:val="22"/>
          <w:szCs w:val="22"/>
          <w:lang w:val="nl-NL"/>
        </w:rPr>
        <w:t xml:space="preserve">De kosten </w:t>
      </w:r>
      <w:r w:rsidR="000502B7" w:rsidRPr="00620227">
        <w:rPr>
          <w:sz w:val="22"/>
          <w:szCs w:val="22"/>
          <w:lang w:val="nl-NL"/>
        </w:rPr>
        <w:t xml:space="preserve">voor investeringen </w:t>
      </w:r>
      <w:r w:rsidRPr="00620227">
        <w:rPr>
          <w:sz w:val="22"/>
          <w:szCs w:val="22"/>
          <w:lang w:val="nl-NL"/>
        </w:rPr>
        <w:t xml:space="preserve">die kunnen aangerekend worden op de toelage voor participatie en </w:t>
      </w:r>
      <w:r w:rsidR="000502B7" w:rsidRPr="00620227">
        <w:rPr>
          <w:sz w:val="22"/>
          <w:szCs w:val="22"/>
          <w:lang w:val="nl-NL"/>
        </w:rPr>
        <w:t>sociale</w:t>
      </w:r>
      <w:r w:rsidRPr="00620227">
        <w:rPr>
          <w:sz w:val="22"/>
          <w:szCs w:val="22"/>
          <w:lang w:val="nl-NL"/>
        </w:rPr>
        <w:t xml:space="preserve"> activering, zijn beperkt tot een </w:t>
      </w:r>
      <w:r w:rsidRPr="00620227">
        <w:rPr>
          <w:b/>
          <w:sz w:val="22"/>
          <w:szCs w:val="22"/>
          <w:lang w:val="nl-NL"/>
        </w:rPr>
        <w:t>maximum bedrag van € 500 (excl. BTW).</w:t>
      </w:r>
      <w:r w:rsidR="000502B7" w:rsidRPr="00620227">
        <w:rPr>
          <w:rStyle w:val="Voetnootmarkering"/>
          <w:b/>
          <w:sz w:val="22"/>
          <w:szCs w:val="22"/>
          <w:lang w:val="nl-NL"/>
        </w:rPr>
        <w:footnoteReference w:id="3"/>
      </w:r>
    </w:p>
    <w:p w:rsidR="00F05358" w:rsidRPr="00620227" w:rsidRDefault="00F05358" w:rsidP="0094157D">
      <w:pPr>
        <w:jc w:val="both"/>
        <w:rPr>
          <w:sz w:val="22"/>
          <w:szCs w:val="22"/>
          <w:lang w:val="nl-NL"/>
        </w:rPr>
      </w:pPr>
      <w:r w:rsidRPr="00620227">
        <w:rPr>
          <w:sz w:val="22"/>
          <w:szCs w:val="22"/>
          <w:lang w:val="nl-NL"/>
        </w:rPr>
        <w:t>D</w:t>
      </w:r>
      <w:r w:rsidR="000502B7" w:rsidRPr="00620227">
        <w:rPr>
          <w:sz w:val="22"/>
          <w:szCs w:val="22"/>
          <w:lang w:val="nl-NL"/>
        </w:rPr>
        <w:t>it investeringsbedrag geldt voor het</w:t>
      </w:r>
      <w:r w:rsidRPr="00620227">
        <w:rPr>
          <w:sz w:val="22"/>
          <w:szCs w:val="22"/>
          <w:lang w:val="nl-NL"/>
        </w:rPr>
        <w:t xml:space="preserve"> ganse toelagebedrag en niet per luik. </w:t>
      </w:r>
    </w:p>
    <w:p w:rsidR="00F05358" w:rsidRPr="00620227" w:rsidRDefault="00F05358" w:rsidP="0094157D">
      <w:pPr>
        <w:jc w:val="both"/>
        <w:rPr>
          <w:sz w:val="22"/>
          <w:szCs w:val="22"/>
          <w:lang w:val="nl-NL"/>
        </w:rPr>
      </w:pPr>
      <w:r w:rsidRPr="00620227">
        <w:rPr>
          <w:sz w:val="22"/>
          <w:szCs w:val="22"/>
          <w:lang w:val="nl-NL"/>
        </w:rPr>
        <w:t>De investering dient net als de activiteiten te worden ingebracht in één van de categorieën met de vermelding van</w:t>
      </w:r>
      <w:r w:rsidR="0094157D" w:rsidRPr="00620227">
        <w:rPr>
          <w:sz w:val="22"/>
          <w:szCs w:val="22"/>
          <w:lang w:val="nl-NL"/>
        </w:rPr>
        <w:t xml:space="preserve"> de aard van de </w:t>
      </w:r>
      <w:r w:rsidRPr="00620227">
        <w:rPr>
          <w:sz w:val="22"/>
          <w:szCs w:val="22"/>
          <w:lang w:val="nl-NL"/>
        </w:rPr>
        <w:t xml:space="preserve">investering. </w:t>
      </w:r>
    </w:p>
    <w:p w:rsidR="00F05358" w:rsidRPr="00620227" w:rsidRDefault="00F05358" w:rsidP="0094157D">
      <w:pPr>
        <w:jc w:val="both"/>
        <w:rPr>
          <w:sz w:val="22"/>
          <w:szCs w:val="22"/>
          <w:lang w:val="nl-NL"/>
        </w:rPr>
      </w:pPr>
      <w:r w:rsidRPr="00620227">
        <w:rPr>
          <w:sz w:val="22"/>
          <w:szCs w:val="22"/>
          <w:lang w:val="nl-NL"/>
        </w:rPr>
        <w:t xml:space="preserve">Indien het gaat over een investering die het OCMW wil doen ten behoeve van de </w:t>
      </w:r>
      <w:r w:rsidR="0094157D" w:rsidRPr="00620227">
        <w:rPr>
          <w:sz w:val="22"/>
          <w:szCs w:val="22"/>
          <w:lang w:val="nl-NL"/>
        </w:rPr>
        <w:t>externe partner</w:t>
      </w:r>
      <w:r w:rsidRPr="00620227">
        <w:rPr>
          <w:sz w:val="22"/>
          <w:szCs w:val="22"/>
          <w:lang w:val="nl-NL"/>
        </w:rPr>
        <w:t xml:space="preserve"> waarmee </w:t>
      </w:r>
      <w:r w:rsidR="000502B7" w:rsidRPr="00620227">
        <w:rPr>
          <w:sz w:val="22"/>
          <w:szCs w:val="22"/>
          <w:lang w:val="nl-NL"/>
        </w:rPr>
        <w:t>het</w:t>
      </w:r>
      <w:r w:rsidRPr="00620227">
        <w:rPr>
          <w:sz w:val="22"/>
          <w:szCs w:val="22"/>
          <w:lang w:val="nl-NL"/>
        </w:rPr>
        <w:t xml:space="preserve"> samengewerkt, geldt dezelfde regel. Met andere woorden, indien het OCMW voor de betreffende </w:t>
      </w:r>
      <w:r w:rsidR="000502B7" w:rsidRPr="00620227">
        <w:rPr>
          <w:sz w:val="22"/>
          <w:szCs w:val="22"/>
          <w:lang w:val="nl-NL"/>
        </w:rPr>
        <w:t>partner</w:t>
      </w:r>
      <w:r w:rsidRPr="00620227">
        <w:rPr>
          <w:sz w:val="22"/>
          <w:szCs w:val="22"/>
          <w:lang w:val="nl-NL"/>
        </w:rPr>
        <w:t xml:space="preserve"> een investering doet van € 500,  kan het OCMW voor zichzelf geen investering meer </w:t>
      </w:r>
      <w:r w:rsidR="00613859">
        <w:rPr>
          <w:sz w:val="22"/>
          <w:szCs w:val="22"/>
          <w:lang w:val="nl-NL"/>
        </w:rPr>
        <w:t>doen</w:t>
      </w:r>
      <w:r w:rsidRPr="00620227">
        <w:rPr>
          <w:sz w:val="22"/>
          <w:szCs w:val="22"/>
          <w:lang w:val="nl-NL"/>
        </w:rPr>
        <w:t>.</w:t>
      </w:r>
    </w:p>
    <w:p w:rsidR="00F05358" w:rsidRPr="00620227" w:rsidRDefault="00F05358" w:rsidP="0094157D">
      <w:pPr>
        <w:jc w:val="both"/>
        <w:rPr>
          <w:sz w:val="22"/>
          <w:szCs w:val="22"/>
          <w:lang w:val="nl-NL"/>
        </w:rPr>
      </w:pPr>
      <w:r w:rsidRPr="00620227">
        <w:rPr>
          <w:sz w:val="22"/>
          <w:szCs w:val="22"/>
          <w:lang w:val="nl-NL"/>
        </w:rPr>
        <w:t xml:space="preserve">Wanneer het OCMW een tussenkomst </w:t>
      </w:r>
      <w:r w:rsidR="005E56A7" w:rsidRPr="00620227">
        <w:rPr>
          <w:sz w:val="22"/>
          <w:szCs w:val="22"/>
          <w:lang w:val="nl-NL"/>
        </w:rPr>
        <w:t>voorziet bij</w:t>
      </w:r>
      <w:r w:rsidRPr="00620227">
        <w:rPr>
          <w:sz w:val="22"/>
          <w:szCs w:val="22"/>
          <w:lang w:val="nl-NL"/>
        </w:rPr>
        <w:t xml:space="preserve"> individuele</w:t>
      </w:r>
      <w:r w:rsidR="000502B7" w:rsidRPr="00620227">
        <w:rPr>
          <w:sz w:val="22"/>
          <w:szCs w:val="22"/>
          <w:lang w:val="nl-NL"/>
        </w:rPr>
        <w:t xml:space="preserve"> investerings</w:t>
      </w:r>
      <w:r w:rsidRPr="00620227">
        <w:rPr>
          <w:sz w:val="22"/>
          <w:szCs w:val="22"/>
          <w:lang w:val="nl-NL"/>
        </w:rPr>
        <w:t xml:space="preserve">aankopen </w:t>
      </w:r>
      <w:r w:rsidR="005E56A7" w:rsidRPr="00620227">
        <w:rPr>
          <w:sz w:val="22"/>
          <w:szCs w:val="22"/>
          <w:lang w:val="nl-NL"/>
        </w:rPr>
        <w:t xml:space="preserve">voor gebruikers, dan worden deze uitgaven beschouwd als investeringen voor de gebruikers en is het bedrag beperkt tot </w:t>
      </w:r>
      <w:r w:rsidRPr="00620227">
        <w:rPr>
          <w:sz w:val="22"/>
          <w:szCs w:val="22"/>
          <w:lang w:val="nl-NL"/>
        </w:rPr>
        <w:t>€ 500 (excl. BTW) per persoon.</w:t>
      </w:r>
    </w:p>
    <w:p w:rsidR="00283343" w:rsidRDefault="00283343" w:rsidP="00FA5129">
      <w:pPr>
        <w:ind w:left="708"/>
        <w:rPr>
          <w:lang w:val="nl-NL"/>
        </w:rPr>
      </w:pPr>
    </w:p>
    <w:p w:rsidR="00613859" w:rsidRDefault="00613859">
      <w:pPr>
        <w:rPr>
          <w:rFonts w:ascii="Calibri" w:eastAsiaTheme="majorEastAsia" w:hAnsi="Calibri" w:cstheme="majorBidi"/>
          <w:b/>
          <w:caps/>
          <w:color w:val="000000" w:themeColor="text1"/>
          <w:sz w:val="24"/>
          <w:szCs w:val="40"/>
          <w:lang w:val="nl-NL"/>
        </w:rPr>
      </w:pPr>
      <w:r>
        <w:br w:type="page"/>
      </w:r>
    </w:p>
    <w:p w:rsidR="00FA5129" w:rsidRPr="008D63B2" w:rsidRDefault="00EA781A" w:rsidP="000E3D99">
      <w:pPr>
        <w:pStyle w:val="Stijl1"/>
      </w:pPr>
      <w:bookmarkStart w:id="11" w:name="_Toc506398912"/>
      <w:r>
        <w:t>Verwijzingen</w:t>
      </w:r>
      <w:bookmarkEnd w:id="11"/>
    </w:p>
    <w:p w:rsidR="00613859" w:rsidRPr="00613859" w:rsidRDefault="00613859" w:rsidP="00613859">
      <w:pPr>
        <w:rPr>
          <w:sz w:val="22"/>
          <w:szCs w:val="22"/>
          <w:lang w:val="nl-NL"/>
        </w:rPr>
      </w:pPr>
    </w:p>
    <w:p w:rsidR="00FA5129" w:rsidRPr="00620227" w:rsidRDefault="0000686A" w:rsidP="000502B7">
      <w:pPr>
        <w:pStyle w:val="Lijstalinea"/>
        <w:numPr>
          <w:ilvl w:val="0"/>
          <w:numId w:val="45"/>
        </w:numPr>
        <w:rPr>
          <w:sz w:val="22"/>
          <w:szCs w:val="22"/>
          <w:lang w:val="nl-NL"/>
        </w:rPr>
      </w:pPr>
      <w:r w:rsidRPr="00620227">
        <w:rPr>
          <w:sz w:val="22"/>
          <w:szCs w:val="22"/>
          <w:lang w:val="nl-NL"/>
        </w:rPr>
        <w:t>Koninklijk besluit van 10 januari 2017 houdende maatregelen ter bevordering van de participatie en sociale activering van de gebruikers van de dienstverlening van de openbare centra voor maatschappelijk welzijn voor het jaar 2017 (</w:t>
      </w:r>
      <w:r w:rsidRPr="00620227">
        <w:rPr>
          <w:i/>
          <w:sz w:val="22"/>
          <w:szCs w:val="22"/>
          <w:lang w:val="nl-NL"/>
        </w:rPr>
        <w:t xml:space="preserve">toelage </w:t>
      </w:r>
      <w:r w:rsidR="00FA5129" w:rsidRPr="00620227">
        <w:rPr>
          <w:i/>
          <w:sz w:val="22"/>
          <w:szCs w:val="22"/>
          <w:lang w:val="nl-NL"/>
        </w:rPr>
        <w:t>2017</w:t>
      </w:r>
      <w:r w:rsidRPr="00620227">
        <w:rPr>
          <w:sz w:val="22"/>
          <w:szCs w:val="22"/>
          <w:lang w:val="nl-NL"/>
        </w:rPr>
        <w:t>)</w:t>
      </w:r>
    </w:p>
    <w:p w:rsidR="0000686A" w:rsidRPr="00620227" w:rsidRDefault="0000686A" w:rsidP="0000686A">
      <w:pPr>
        <w:pStyle w:val="Lijstalinea"/>
        <w:ind w:left="360"/>
        <w:rPr>
          <w:sz w:val="22"/>
          <w:szCs w:val="22"/>
          <w:lang w:val="nl-NL"/>
        </w:rPr>
      </w:pPr>
    </w:p>
    <w:p w:rsidR="00FA5129" w:rsidRPr="00620227" w:rsidRDefault="00FA5129" w:rsidP="000502B7">
      <w:pPr>
        <w:pStyle w:val="Lijstalinea"/>
        <w:numPr>
          <w:ilvl w:val="0"/>
          <w:numId w:val="45"/>
        </w:numPr>
        <w:rPr>
          <w:sz w:val="22"/>
          <w:szCs w:val="22"/>
          <w:lang w:val="nl-NL"/>
        </w:rPr>
      </w:pPr>
      <w:r w:rsidRPr="00620227">
        <w:rPr>
          <w:sz w:val="22"/>
          <w:szCs w:val="22"/>
          <w:lang w:val="nl-NL"/>
        </w:rPr>
        <w:t>K</w:t>
      </w:r>
      <w:r w:rsidR="0000686A" w:rsidRPr="00620227">
        <w:rPr>
          <w:sz w:val="22"/>
          <w:szCs w:val="22"/>
          <w:lang w:val="nl-NL"/>
        </w:rPr>
        <w:t>oninklijk besluit van 24 september 2017 houdende toekenning van een financiële tegemoetkoming aan bepaalde centra voor maatschappelijk welzijn als gevolg van de hervorming van de maatregelen ter bevordering van de participatie en sociale activering van de gebruikers van de dienstverlening voor het jaar 2017 (</w:t>
      </w:r>
      <w:r w:rsidRPr="00620227">
        <w:rPr>
          <w:i/>
          <w:sz w:val="22"/>
          <w:szCs w:val="22"/>
          <w:lang w:val="nl-NL"/>
        </w:rPr>
        <w:t>compensatie</w:t>
      </w:r>
      <w:r w:rsidR="0000686A" w:rsidRPr="00620227">
        <w:rPr>
          <w:i/>
          <w:sz w:val="22"/>
          <w:szCs w:val="22"/>
          <w:lang w:val="nl-NL"/>
        </w:rPr>
        <w:t xml:space="preserve"> 2017</w:t>
      </w:r>
      <w:r w:rsidR="0000686A" w:rsidRPr="00620227">
        <w:rPr>
          <w:sz w:val="22"/>
          <w:szCs w:val="22"/>
          <w:lang w:val="nl-NL"/>
        </w:rPr>
        <w:t>)</w:t>
      </w:r>
      <w:r w:rsidR="00C8773F" w:rsidRPr="00620227">
        <w:rPr>
          <w:sz w:val="22"/>
          <w:szCs w:val="22"/>
          <w:lang w:val="nl-NL"/>
        </w:rPr>
        <w:t xml:space="preserve"> </w:t>
      </w:r>
    </w:p>
    <w:p w:rsidR="00B95CFC" w:rsidRPr="00620227" w:rsidRDefault="00B95CFC" w:rsidP="00B95CFC">
      <w:pPr>
        <w:pStyle w:val="Lijstalinea"/>
        <w:rPr>
          <w:sz w:val="22"/>
          <w:szCs w:val="22"/>
          <w:lang w:val="nl-NL"/>
        </w:rPr>
      </w:pPr>
    </w:p>
    <w:p w:rsidR="00B95CFC" w:rsidRPr="00620227" w:rsidRDefault="00B95CFC" w:rsidP="000502B7">
      <w:pPr>
        <w:pStyle w:val="Lijstalinea"/>
        <w:numPr>
          <w:ilvl w:val="0"/>
          <w:numId w:val="45"/>
        </w:numPr>
        <w:rPr>
          <w:sz w:val="22"/>
          <w:szCs w:val="22"/>
          <w:lang w:val="nl-NL"/>
        </w:rPr>
      </w:pPr>
      <w:r w:rsidRPr="00620227">
        <w:rPr>
          <w:sz w:val="22"/>
          <w:szCs w:val="22"/>
          <w:lang w:val="nl-NL"/>
        </w:rPr>
        <w:t>Omzendbrief van 20 december 2016 betreffende de toelage ter bevordering van de participatie en sociale activering van OCMW-gebruikers vanaf 2017 (</w:t>
      </w:r>
      <w:r w:rsidRPr="00620227">
        <w:rPr>
          <w:i/>
          <w:sz w:val="22"/>
          <w:szCs w:val="22"/>
          <w:lang w:val="nl-NL"/>
        </w:rPr>
        <w:t>hervorming algemeen</w:t>
      </w:r>
      <w:r w:rsidRPr="00620227">
        <w:rPr>
          <w:sz w:val="22"/>
          <w:szCs w:val="22"/>
          <w:lang w:val="nl-NL"/>
        </w:rPr>
        <w:t>)</w:t>
      </w:r>
    </w:p>
    <w:p w:rsidR="00B95CFC" w:rsidRPr="00620227" w:rsidRDefault="00B95CFC" w:rsidP="00B95CFC">
      <w:pPr>
        <w:pStyle w:val="Lijstalinea"/>
        <w:ind w:left="360"/>
        <w:rPr>
          <w:sz w:val="22"/>
          <w:szCs w:val="22"/>
          <w:lang w:val="nl-NL"/>
        </w:rPr>
      </w:pPr>
    </w:p>
    <w:p w:rsidR="00FA5129" w:rsidRPr="00620227" w:rsidRDefault="00FA5129" w:rsidP="000502B7">
      <w:pPr>
        <w:pStyle w:val="Lijstalinea"/>
        <w:numPr>
          <w:ilvl w:val="0"/>
          <w:numId w:val="45"/>
        </w:numPr>
        <w:rPr>
          <w:sz w:val="22"/>
          <w:szCs w:val="22"/>
          <w:lang w:val="nl-NL"/>
        </w:rPr>
      </w:pPr>
      <w:r w:rsidRPr="00620227">
        <w:rPr>
          <w:sz w:val="22"/>
          <w:szCs w:val="22"/>
          <w:lang w:val="nl-NL"/>
        </w:rPr>
        <w:t xml:space="preserve">Omzendbrief </w:t>
      </w:r>
      <w:r w:rsidR="00B95CFC" w:rsidRPr="00620227">
        <w:rPr>
          <w:sz w:val="22"/>
          <w:szCs w:val="22"/>
          <w:lang w:val="nl-NL"/>
        </w:rPr>
        <w:t xml:space="preserve">van 29 mei 2017 betreffende de toelage ter bevordering van de participatie en sociale activering van OCMW-gebruikers in 2017 - Resultaatindicatoren in de vorm van kwantitatieve gegevens </w:t>
      </w:r>
      <w:r w:rsidRPr="00620227">
        <w:rPr>
          <w:sz w:val="22"/>
          <w:szCs w:val="22"/>
          <w:lang w:val="nl-NL"/>
        </w:rPr>
        <w:t>(</w:t>
      </w:r>
      <w:r w:rsidRPr="00620227">
        <w:rPr>
          <w:i/>
          <w:sz w:val="22"/>
          <w:szCs w:val="22"/>
          <w:lang w:val="nl-NL"/>
        </w:rPr>
        <w:t>resultaatindicatoren</w:t>
      </w:r>
      <w:r w:rsidRPr="00620227">
        <w:rPr>
          <w:sz w:val="22"/>
          <w:szCs w:val="22"/>
          <w:lang w:val="nl-NL"/>
        </w:rPr>
        <w:t>)</w:t>
      </w:r>
    </w:p>
    <w:p w:rsidR="00B95CFC" w:rsidRPr="00620227" w:rsidRDefault="00B95CFC" w:rsidP="00B95CFC">
      <w:pPr>
        <w:pStyle w:val="Lijstalinea"/>
        <w:rPr>
          <w:sz w:val="22"/>
          <w:szCs w:val="22"/>
          <w:lang w:val="nl-NL"/>
        </w:rPr>
      </w:pPr>
    </w:p>
    <w:p w:rsidR="000502B7" w:rsidRPr="00A216BB" w:rsidRDefault="00B95CFC" w:rsidP="000502B7">
      <w:pPr>
        <w:pStyle w:val="Lijstalinea"/>
        <w:numPr>
          <w:ilvl w:val="0"/>
          <w:numId w:val="45"/>
        </w:numPr>
        <w:rPr>
          <w:sz w:val="22"/>
          <w:szCs w:val="22"/>
          <w:lang w:val="nl-NL"/>
        </w:rPr>
      </w:pPr>
      <w:r w:rsidRPr="00A216BB">
        <w:rPr>
          <w:sz w:val="22"/>
          <w:szCs w:val="22"/>
          <w:lang w:val="nl-NL"/>
        </w:rPr>
        <w:t>Administratieve onderrichtingen betreffende het uniek jaarverslag - toegang tot de web applicatie  uniek jaarverslag 2018 (</w:t>
      </w:r>
      <w:r w:rsidRPr="00A216BB">
        <w:rPr>
          <w:i/>
          <w:sz w:val="22"/>
          <w:szCs w:val="22"/>
          <w:lang w:val="nl-NL"/>
        </w:rPr>
        <w:t>toegang uniek jaarverslag</w:t>
      </w:r>
      <w:r w:rsidRPr="00A216BB">
        <w:rPr>
          <w:sz w:val="22"/>
          <w:szCs w:val="22"/>
          <w:lang w:val="nl-NL"/>
        </w:rPr>
        <w:t>)</w:t>
      </w:r>
    </w:p>
    <w:sectPr w:rsidR="000502B7" w:rsidRPr="00A216BB" w:rsidSect="00BA7237">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58" w:rsidRDefault="00174958" w:rsidP="005E56A7">
      <w:pPr>
        <w:spacing w:after="0" w:line="240" w:lineRule="auto"/>
      </w:pPr>
      <w:r>
        <w:separator/>
      </w:r>
    </w:p>
  </w:endnote>
  <w:endnote w:type="continuationSeparator" w:id="0">
    <w:p w:rsidR="00174958" w:rsidRDefault="00174958"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09681"/>
      <w:docPartObj>
        <w:docPartGallery w:val="Page Numbers (Bottom of Page)"/>
        <w:docPartUnique/>
      </w:docPartObj>
    </w:sdtPr>
    <w:sdtContent>
      <w:p w:rsidR="00283343" w:rsidRDefault="00283343">
        <w:pPr>
          <w:pStyle w:val="Voettekst"/>
          <w:jc w:val="right"/>
        </w:pPr>
        <w:r>
          <w:fldChar w:fldCharType="begin"/>
        </w:r>
        <w:r>
          <w:instrText>PAGE   \* MERGEFORMAT</w:instrText>
        </w:r>
        <w:r>
          <w:fldChar w:fldCharType="separate"/>
        </w:r>
        <w:r w:rsidR="00613859" w:rsidRPr="00613859">
          <w:rPr>
            <w:noProof/>
            <w:lang w:val="nl-NL"/>
          </w:rPr>
          <w:t>1</w:t>
        </w:r>
        <w:r>
          <w:fldChar w:fldCharType="end"/>
        </w:r>
      </w:p>
    </w:sdtContent>
  </w:sdt>
  <w:p w:rsidR="00283343" w:rsidRDefault="002833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58" w:rsidRDefault="00174958" w:rsidP="005E56A7">
      <w:pPr>
        <w:spacing w:after="0" w:line="240" w:lineRule="auto"/>
      </w:pPr>
      <w:r>
        <w:separator/>
      </w:r>
    </w:p>
  </w:footnote>
  <w:footnote w:type="continuationSeparator" w:id="0">
    <w:p w:rsidR="00174958" w:rsidRDefault="00174958" w:rsidP="005E56A7">
      <w:pPr>
        <w:spacing w:after="0" w:line="240" w:lineRule="auto"/>
      </w:pPr>
      <w:r>
        <w:continuationSeparator/>
      </w:r>
    </w:p>
  </w:footnote>
  <w:footnote w:id="1">
    <w:p w:rsidR="0002030E" w:rsidRPr="00160E8D" w:rsidRDefault="0002030E">
      <w:pPr>
        <w:pStyle w:val="Voetnoottekst"/>
        <w:rPr>
          <w:sz w:val="16"/>
          <w:szCs w:val="16"/>
          <w:lang w:val="nl-NL"/>
        </w:rPr>
      </w:pPr>
      <w:r>
        <w:rPr>
          <w:rStyle w:val="Voetnootmarkering"/>
        </w:rPr>
        <w:footnoteRef/>
      </w:r>
      <w:r w:rsidRPr="0002030E">
        <w:rPr>
          <w:lang w:val="nl-NL"/>
        </w:rPr>
        <w:t xml:space="preserve"> </w:t>
      </w:r>
      <w:r w:rsidRPr="00160E8D">
        <w:rPr>
          <w:sz w:val="16"/>
          <w:szCs w:val="16"/>
          <w:lang w:val="nl-NL"/>
        </w:rPr>
        <w:t>Koninklijk besluit van 10 januari 2017 houdende maatregelen ter bevordering van de participatie en sociale activering van de gebruikers van de dienstverlening van de openbare centra voor maatschappelijk welzijn voor het jaar 2017</w:t>
      </w:r>
    </w:p>
  </w:footnote>
  <w:footnote w:id="2">
    <w:p w:rsidR="0002030E" w:rsidRPr="00160E8D" w:rsidRDefault="0002030E">
      <w:pPr>
        <w:pStyle w:val="Voetnoottekst"/>
        <w:rPr>
          <w:sz w:val="16"/>
          <w:szCs w:val="16"/>
          <w:lang w:val="nl-NL"/>
        </w:rPr>
      </w:pPr>
      <w:r w:rsidRPr="00160E8D">
        <w:rPr>
          <w:rStyle w:val="Voetnootmarkering"/>
          <w:sz w:val="16"/>
          <w:szCs w:val="16"/>
        </w:rPr>
        <w:footnoteRef/>
      </w:r>
      <w:r w:rsidRPr="00160E8D">
        <w:rPr>
          <w:sz w:val="16"/>
          <w:szCs w:val="16"/>
          <w:lang w:val="nl-NL"/>
        </w:rPr>
        <w:t xml:space="preserve"> Koninklijk besluit van 24 september 2017 houdende toekenning van een financiële tegemoetkoming aan bepaalde centra voor maatschappelijk welzijn als gevolg van de hervorming van de maatregelen ter bevordering van de participatie en sociale activering van de gebruikers van de dienstverlening voor het jaar 2017</w:t>
      </w:r>
    </w:p>
  </w:footnote>
  <w:footnote w:id="3">
    <w:p w:rsidR="000502B7" w:rsidRPr="000502B7" w:rsidRDefault="000502B7">
      <w:pPr>
        <w:pStyle w:val="Voetnoottekst"/>
        <w:rPr>
          <w:lang w:val="nl-NL"/>
        </w:rPr>
      </w:pPr>
      <w:r>
        <w:rPr>
          <w:rStyle w:val="Voetnootmarkering"/>
        </w:rPr>
        <w:footnoteRef/>
      </w:r>
      <w:r w:rsidRPr="000502B7">
        <w:rPr>
          <w:lang w:val="nl-NL"/>
        </w:rPr>
        <w:t xml:space="preserve"> Aangezien de </w:t>
      </w:r>
      <w:r w:rsidR="00613859">
        <w:rPr>
          <w:lang w:val="nl-NL"/>
        </w:rPr>
        <w:t>toelage</w:t>
      </w:r>
      <w:r w:rsidRPr="000502B7">
        <w:rPr>
          <w:lang w:val="nl-NL"/>
        </w:rPr>
        <w:t xml:space="preserve"> binnen de Rijksmiddelenbegroting bedoeld is voor lopende uitgaven mag de € 500 niet worden overschreden.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1B7092B"/>
    <w:multiLevelType w:val="hybridMultilevel"/>
    <w:tmpl w:val="2E12D67A"/>
    <w:lvl w:ilvl="0" w:tplc="9CAAA948">
      <w:start w:val="1"/>
      <w:numFmt w:val="decimal"/>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
    <w:nsid w:val="029A7CE3"/>
    <w:multiLevelType w:val="hybridMultilevel"/>
    <w:tmpl w:val="8E109A3A"/>
    <w:lvl w:ilvl="0" w:tplc="C6345E36">
      <w:start w:val="1"/>
      <w:numFmt w:val="bullet"/>
      <w:lvlText w:val="-"/>
      <w:lvlJc w:val="left"/>
      <w:pPr>
        <w:tabs>
          <w:tab w:val="num" w:pos="720"/>
        </w:tabs>
        <w:ind w:left="360" w:firstLine="0"/>
      </w:pPr>
      <w:rPr>
        <w:rFonts w:ascii="Times New Roman" w:hAnsi="Times New Roman" w:cs="Times New Roman" w:hint="default"/>
      </w:rPr>
    </w:lvl>
    <w:lvl w:ilvl="1" w:tplc="8048B250">
      <w:start w:val="1"/>
      <w:numFmt w:val="bullet"/>
      <w:lvlText w:val=""/>
      <w:lvlJc w:val="left"/>
      <w:pPr>
        <w:tabs>
          <w:tab w:val="num" w:pos="1511"/>
        </w:tabs>
        <w:ind w:left="1511" w:hanging="431"/>
      </w:pPr>
      <w:rPr>
        <w:rFonts w:ascii="Wingdings" w:hAnsi="Wingdings" w:hint="default"/>
        <w:sz w:val="24"/>
        <w:szCs w:val="24"/>
        <w:u w:val="none"/>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2D14118"/>
    <w:multiLevelType w:val="hybridMultilevel"/>
    <w:tmpl w:val="61B6DEF8"/>
    <w:lvl w:ilvl="0" w:tplc="040C0001">
      <w:start w:val="1"/>
      <w:numFmt w:val="bullet"/>
      <w:lvlText w:val=""/>
      <w:lvlJc w:val="left"/>
      <w:pPr>
        <w:tabs>
          <w:tab w:val="num" w:pos="720"/>
        </w:tabs>
        <w:ind w:left="720" w:hanging="360"/>
      </w:pPr>
      <w:rPr>
        <w:rFonts w:ascii="Symbol" w:hAnsi="Symbol" w:hint="default"/>
      </w:rPr>
    </w:lvl>
    <w:lvl w:ilvl="1" w:tplc="A8EA9DFC">
      <w:start w:val="1"/>
      <w:numFmt w:val="bullet"/>
      <w:lvlText w:val=""/>
      <w:lvlJc w:val="left"/>
      <w:pPr>
        <w:tabs>
          <w:tab w:val="num" w:pos="1443"/>
        </w:tabs>
        <w:ind w:left="1443" w:hanging="363"/>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3644EA2"/>
    <w:multiLevelType w:val="hybridMultilevel"/>
    <w:tmpl w:val="C9A2DDE2"/>
    <w:lvl w:ilvl="0" w:tplc="E67A9B54">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4FD7C19"/>
    <w:multiLevelType w:val="hybridMultilevel"/>
    <w:tmpl w:val="62D884F8"/>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BD756D9"/>
    <w:multiLevelType w:val="hybridMultilevel"/>
    <w:tmpl w:val="F5C084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C63541D"/>
    <w:multiLevelType w:val="hybridMultilevel"/>
    <w:tmpl w:val="43E63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310086B"/>
    <w:multiLevelType w:val="hybridMultilevel"/>
    <w:tmpl w:val="470272CA"/>
    <w:lvl w:ilvl="0" w:tplc="D2687BA2">
      <w:start w:val="1"/>
      <w:numFmt w:val="bullet"/>
      <w:lvlText w:val=""/>
      <w:lvlJc w:val="left"/>
      <w:pPr>
        <w:tabs>
          <w:tab w:val="num" w:pos="431"/>
        </w:tabs>
        <w:ind w:left="431" w:hanging="431"/>
      </w:pPr>
      <w:rPr>
        <w:rFonts w:ascii="Wingdings" w:hAnsi="Wingdings" w:hint="default"/>
        <w:sz w:val="24"/>
        <w:szCs w:val="24"/>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3694F89"/>
    <w:multiLevelType w:val="hybridMultilevel"/>
    <w:tmpl w:val="FF227D38"/>
    <w:lvl w:ilvl="0" w:tplc="040C0001">
      <w:start w:val="1"/>
      <w:numFmt w:val="bullet"/>
      <w:lvlText w:val=""/>
      <w:lvlJc w:val="left"/>
      <w:pPr>
        <w:tabs>
          <w:tab w:val="num" w:pos="720"/>
        </w:tabs>
        <w:ind w:left="720" w:hanging="360"/>
      </w:pPr>
      <w:rPr>
        <w:rFonts w:ascii="Symbol" w:hAnsi="Symbol" w:hint="default"/>
      </w:rPr>
    </w:lvl>
    <w:lvl w:ilvl="1" w:tplc="97D0895A">
      <w:start w:val="1"/>
      <w:numFmt w:val="decimal"/>
      <w:lvlText w:val="%2"/>
      <w:lvlJc w:val="left"/>
      <w:pPr>
        <w:tabs>
          <w:tab w:val="num" w:pos="1511"/>
        </w:tabs>
        <w:ind w:left="1511" w:hanging="431"/>
      </w:pPr>
      <w:rPr>
        <w:rFonts w:hint="default"/>
        <w:b/>
        <w:i w:val="0"/>
        <w:sz w:val="32"/>
        <w:szCs w:val="32"/>
        <w:u w:val="doubl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5C9044A"/>
    <w:multiLevelType w:val="hybridMultilevel"/>
    <w:tmpl w:val="5E00A8FE"/>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cs="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1">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6E36A4"/>
    <w:multiLevelType w:val="hybridMultilevel"/>
    <w:tmpl w:val="CDF60A38"/>
    <w:lvl w:ilvl="0" w:tplc="C6345E36">
      <w:start w:val="1"/>
      <w:numFmt w:val="bullet"/>
      <w:lvlText w:val="-"/>
      <w:lvlJc w:val="left"/>
      <w:pPr>
        <w:tabs>
          <w:tab w:val="num" w:pos="720"/>
        </w:tabs>
        <w:ind w:left="360" w:firstLine="0"/>
      </w:pPr>
      <w:rPr>
        <w:rFonts w:ascii="Times New Roman" w:hAnsi="Times New Roman" w:cs="Times New Roman" w:hint="default"/>
      </w:rPr>
    </w:lvl>
    <w:lvl w:ilvl="1" w:tplc="C504AAC6">
      <w:start w:val="1"/>
      <w:numFmt w:val="bullet"/>
      <w:lvlText w:val=""/>
      <w:lvlJc w:val="left"/>
      <w:pPr>
        <w:tabs>
          <w:tab w:val="num" w:pos="431"/>
        </w:tabs>
        <w:ind w:left="431" w:hanging="431"/>
      </w:pPr>
      <w:rPr>
        <w:rFonts w:ascii="Wingdings" w:hAnsi="Wingdings" w:hint="default"/>
        <w:sz w:val="24"/>
        <w:szCs w:val="24"/>
        <w:u w:val="none"/>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9B420BE"/>
    <w:multiLevelType w:val="hybridMultilevel"/>
    <w:tmpl w:val="9864B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
    <w:nsid w:val="2F4A6CD8"/>
    <w:multiLevelType w:val="hybridMultilevel"/>
    <w:tmpl w:val="B5BA2CE4"/>
    <w:lvl w:ilvl="0" w:tplc="040C000B">
      <w:start w:val="1"/>
      <w:numFmt w:val="bullet"/>
      <w:lvlText w:val=""/>
      <w:lvlJc w:val="left"/>
      <w:pPr>
        <w:tabs>
          <w:tab w:val="num" w:pos="1800"/>
        </w:tabs>
        <w:ind w:left="1800" w:hanging="360"/>
      </w:pPr>
      <w:rPr>
        <w:rFonts w:ascii="Wingdings" w:hAnsi="Wingdings" w:hint="default"/>
      </w:rPr>
    </w:lvl>
    <w:lvl w:ilvl="1" w:tplc="040C0001">
      <w:start w:val="1"/>
      <w:numFmt w:val="bullet"/>
      <w:lvlText w:val=""/>
      <w:lvlJc w:val="left"/>
      <w:pPr>
        <w:tabs>
          <w:tab w:val="num" w:pos="2520"/>
        </w:tabs>
        <w:ind w:left="2520" w:hanging="360"/>
      </w:pPr>
      <w:rPr>
        <w:rFonts w:ascii="Symbol" w:hAnsi="Symbol"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nsid w:val="304A4A63"/>
    <w:multiLevelType w:val="hybridMultilevel"/>
    <w:tmpl w:val="43FEB9E6"/>
    <w:lvl w:ilvl="0" w:tplc="040C0001">
      <w:start w:val="1"/>
      <w:numFmt w:val="bullet"/>
      <w:lvlText w:val=""/>
      <w:lvlJc w:val="left"/>
      <w:pPr>
        <w:tabs>
          <w:tab w:val="num" w:pos="780"/>
        </w:tabs>
        <w:ind w:left="780" w:hanging="360"/>
      </w:pPr>
      <w:rPr>
        <w:rFonts w:ascii="Symbol" w:hAnsi="Symbol" w:hint="default"/>
      </w:rPr>
    </w:lvl>
    <w:lvl w:ilvl="1" w:tplc="DFCC3F26">
      <w:start w:val="1"/>
      <w:numFmt w:val="bullet"/>
      <w:lvlText w:val=""/>
      <w:lvlJc w:val="left"/>
      <w:pPr>
        <w:tabs>
          <w:tab w:val="num" w:pos="1571"/>
        </w:tabs>
        <w:ind w:left="1571" w:hanging="431"/>
      </w:pPr>
      <w:rPr>
        <w:rFonts w:ascii="Wingdings" w:hAnsi="Wingdings" w:hint="default"/>
        <w:sz w:val="24"/>
        <w:szCs w:val="24"/>
        <w:u w:val="none"/>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8">
    <w:nsid w:val="34264EC6"/>
    <w:multiLevelType w:val="hybridMultilevel"/>
    <w:tmpl w:val="2BF4BA0E"/>
    <w:lvl w:ilvl="0" w:tplc="040C000B">
      <w:start w:val="1"/>
      <w:numFmt w:val="bullet"/>
      <w:lvlText w:val=""/>
      <w:lvlJc w:val="left"/>
      <w:pPr>
        <w:tabs>
          <w:tab w:val="num" w:pos="1440"/>
        </w:tabs>
        <w:ind w:left="1440" w:hanging="360"/>
      </w:pPr>
      <w:rPr>
        <w:rFonts w:ascii="Wingdings" w:hAnsi="Wingdings" w:hint="default"/>
      </w:rPr>
    </w:lvl>
    <w:lvl w:ilvl="1" w:tplc="040C0001">
      <w:start w:val="1"/>
      <w:numFmt w:val="bullet"/>
      <w:lvlText w:val=""/>
      <w:lvlJc w:val="left"/>
      <w:pPr>
        <w:tabs>
          <w:tab w:val="num" w:pos="2160"/>
        </w:tabs>
        <w:ind w:left="2160" w:hanging="360"/>
      </w:pPr>
      <w:rPr>
        <w:rFonts w:ascii="Symbol" w:hAnsi="Symbo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3A5D3EC6"/>
    <w:multiLevelType w:val="hybridMultilevel"/>
    <w:tmpl w:val="3C6A08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F34021F"/>
    <w:multiLevelType w:val="hybridMultilevel"/>
    <w:tmpl w:val="A582F9D4"/>
    <w:lvl w:ilvl="0" w:tplc="E72E9138">
      <w:start w:val="1"/>
      <w:numFmt w:val="bullet"/>
      <w:lvlText w:val=""/>
      <w:lvlJc w:val="left"/>
      <w:pPr>
        <w:tabs>
          <w:tab w:val="num" w:pos="720"/>
        </w:tabs>
        <w:ind w:left="720" w:hanging="360"/>
      </w:pPr>
      <w:rPr>
        <w:rFonts w:ascii="Symbol" w:hAnsi="Symbol" w:hint="default"/>
      </w:rPr>
    </w:lvl>
    <w:lvl w:ilvl="1" w:tplc="040C000F">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2880"/>
        </w:tabs>
        <w:ind w:left="2880" w:hanging="360"/>
      </w:pPr>
      <w:rPr>
        <w:rFonts w:ascii="Symbol" w:hAnsi="Symbol" w:hint="default"/>
      </w:rPr>
    </w:lvl>
    <w:lvl w:ilvl="4" w:tplc="040C0001">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2">
    <w:nsid w:val="3FA556BF"/>
    <w:multiLevelType w:val="hybridMultilevel"/>
    <w:tmpl w:val="189203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4437AE8"/>
    <w:multiLevelType w:val="hybridMultilevel"/>
    <w:tmpl w:val="C9BA67B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nsid w:val="45B14CE8"/>
    <w:multiLevelType w:val="hybridMultilevel"/>
    <w:tmpl w:val="34227890"/>
    <w:lvl w:ilvl="0" w:tplc="040C0001">
      <w:start w:val="1"/>
      <w:numFmt w:val="bullet"/>
      <w:lvlText w:val=""/>
      <w:lvlJc w:val="left"/>
      <w:pPr>
        <w:tabs>
          <w:tab w:val="num" w:pos="720"/>
        </w:tabs>
        <w:ind w:left="720" w:hanging="360"/>
      </w:pPr>
      <w:rPr>
        <w:rFonts w:ascii="Symbol" w:hAnsi="Symbol" w:hint="default"/>
      </w:rPr>
    </w:lvl>
    <w:lvl w:ilvl="1" w:tplc="D2687BA2">
      <w:start w:val="1"/>
      <w:numFmt w:val="bullet"/>
      <w:lvlText w:val=""/>
      <w:lvlJc w:val="left"/>
      <w:pPr>
        <w:tabs>
          <w:tab w:val="num" w:pos="431"/>
        </w:tabs>
        <w:ind w:left="43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B9F4A1A"/>
    <w:multiLevelType w:val="hybridMultilevel"/>
    <w:tmpl w:val="B28C1EEE"/>
    <w:lvl w:ilvl="0" w:tplc="D85A985E">
      <w:start w:val="1"/>
      <w:numFmt w:val="bullet"/>
      <w:lvlText w:val=""/>
      <w:lvlJc w:val="left"/>
      <w:pPr>
        <w:tabs>
          <w:tab w:val="num" w:pos="2840"/>
        </w:tabs>
        <w:ind w:left="2840" w:hanging="360"/>
      </w:pPr>
      <w:rPr>
        <w:rFonts w:ascii="Symbol" w:hAnsi="Symbol" w:hint="default"/>
        <w:color w:val="auto"/>
      </w:rPr>
    </w:lvl>
    <w:lvl w:ilvl="1" w:tplc="040C0003" w:tentative="1">
      <w:start w:val="1"/>
      <w:numFmt w:val="bullet"/>
      <w:lvlText w:val="o"/>
      <w:lvlJc w:val="left"/>
      <w:pPr>
        <w:tabs>
          <w:tab w:val="num" w:pos="3560"/>
        </w:tabs>
        <w:ind w:left="3560" w:hanging="360"/>
      </w:pPr>
      <w:rPr>
        <w:rFonts w:ascii="Courier New" w:hAnsi="Courier New" w:cs="Courier New" w:hint="default"/>
      </w:rPr>
    </w:lvl>
    <w:lvl w:ilvl="2" w:tplc="040C0005" w:tentative="1">
      <w:start w:val="1"/>
      <w:numFmt w:val="bullet"/>
      <w:lvlText w:val=""/>
      <w:lvlJc w:val="left"/>
      <w:pPr>
        <w:tabs>
          <w:tab w:val="num" w:pos="4280"/>
        </w:tabs>
        <w:ind w:left="4280" w:hanging="360"/>
      </w:pPr>
      <w:rPr>
        <w:rFonts w:ascii="Wingdings" w:hAnsi="Wingdings" w:hint="default"/>
      </w:rPr>
    </w:lvl>
    <w:lvl w:ilvl="3" w:tplc="040C0001" w:tentative="1">
      <w:start w:val="1"/>
      <w:numFmt w:val="bullet"/>
      <w:lvlText w:val=""/>
      <w:lvlJc w:val="left"/>
      <w:pPr>
        <w:tabs>
          <w:tab w:val="num" w:pos="5000"/>
        </w:tabs>
        <w:ind w:left="5000" w:hanging="360"/>
      </w:pPr>
      <w:rPr>
        <w:rFonts w:ascii="Symbol" w:hAnsi="Symbol" w:hint="default"/>
      </w:rPr>
    </w:lvl>
    <w:lvl w:ilvl="4" w:tplc="040C0003" w:tentative="1">
      <w:start w:val="1"/>
      <w:numFmt w:val="bullet"/>
      <w:lvlText w:val="o"/>
      <w:lvlJc w:val="left"/>
      <w:pPr>
        <w:tabs>
          <w:tab w:val="num" w:pos="5720"/>
        </w:tabs>
        <w:ind w:left="5720" w:hanging="360"/>
      </w:pPr>
      <w:rPr>
        <w:rFonts w:ascii="Courier New" w:hAnsi="Courier New" w:cs="Courier New" w:hint="default"/>
      </w:rPr>
    </w:lvl>
    <w:lvl w:ilvl="5" w:tplc="040C0005" w:tentative="1">
      <w:start w:val="1"/>
      <w:numFmt w:val="bullet"/>
      <w:lvlText w:val=""/>
      <w:lvlJc w:val="left"/>
      <w:pPr>
        <w:tabs>
          <w:tab w:val="num" w:pos="6440"/>
        </w:tabs>
        <w:ind w:left="6440" w:hanging="360"/>
      </w:pPr>
      <w:rPr>
        <w:rFonts w:ascii="Wingdings" w:hAnsi="Wingdings" w:hint="default"/>
      </w:rPr>
    </w:lvl>
    <w:lvl w:ilvl="6" w:tplc="040C0001" w:tentative="1">
      <w:start w:val="1"/>
      <w:numFmt w:val="bullet"/>
      <w:lvlText w:val=""/>
      <w:lvlJc w:val="left"/>
      <w:pPr>
        <w:tabs>
          <w:tab w:val="num" w:pos="7160"/>
        </w:tabs>
        <w:ind w:left="7160" w:hanging="360"/>
      </w:pPr>
      <w:rPr>
        <w:rFonts w:ascii="Symbol" w:hAnsi="Symbol" w:hint="default"/>
      </w:rPr>
    </w:lvl>
    <w:lvl w:ilvl="7" w:tplc="040C0003" w:tentative="1">
      <w:start w:val="1"/>
      <w:numFmt w:val="bullet"/>
      <w:lvlText w:val="o"/>
      <w:lvlJc w:val="left"/>
      <w:pPr>
        <w:tabs>
          <w:tab w:val="num" w:pos="7880"/>
        </w:tabs>
        <w:ind w:left="7880" w:hanging="360"/>
      </w:pPr>
      <w:rPr>
        <w:rFonts w:ascii="Courier New" w:hAnsi="Courier New" w:cs="Courier New" w:hint="default"/>
      </w:rPr>
    </w:lvl>
    <w:lvl w:ilvl="8" w:tplc="040C0005" w:tentative="1">
      <w:start w:val="1"/>
      <w:numFmt w:val="bullet"/>
      <w:lvlText w:val=""/>
      <w:lvlJc w:val="left"/>
      <w:pPr>
        <w:tabs>
          <w:tab w:val="num" w:pos="8600"/>
        </w:tabs>
        <w:ind w:left="8600" w:hanging="360"/>
      </w:pPr>
      <w:rPr>
        <w:rFonts w:ascii="Wingdings" w:hAnsi="Wingdings" w:hint="default"/>
      </w:rPr>
    </w:lvl>
  </w:abstractNum>
  <w:abstractNum w:abstractNumId="27">
    <w:nsid w:val="4D190720"/>
    <w:multiLevelType w:val="hybridMultilevel"/>
    <w:tmpl w:val="FB86FC8E"/>
    <w:lvl w:ilvl="0" w:tplc="0610E012">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19F7E22"/>
    <w:multiLevelType w:val="hybridMultilevel"/>
    <w:tmpl w:val="0C82119A"/>
    <w:lvl w:ilvl="0" w:tplc="040C0001">
      <w:start w:val="1"/>
      <w:numFmt w:val="bullet"/>
      <w:lvlText w:val=""/>
      <w:lvlJc w:val="left"/>
      <w:pPr>
        <w:tabs>
          <w:tab w:val="num" w:pos="720"/>
        </w:tabs>
        <w:ind w:left="720" w:hanging="360"/>
      </w:pPr>
      <w:rPr>
        <w:rFonts w:ascii="Symbol" w:hAnsi="Symbol" w:hint="default"/>
      </w:rPr>
    </w:lvl>
    <w:lvl w:ilvl="1" w:tplc="9DB23B42">
      <w:start w:val="1"/>
      <w:numFmt w:val="decimal"/>
      <w:lvlText w:val="1.%2"/>
      <w:lvlJc w:val="left"/>
      <w:pPr>
        <w:tabs>
          <w:tab w:val="num" w:pos="1658"/>
        </w:tabs>
        <w:ind w:left="1658" w:hanging="578"/>
      </w:pPr>
      <w:rPr>
        <w:rFonts w:hint="default"/>
        <w:b/>
        <w:i w:val="0"/>
        <w:sz w:val="28"/>
        <w:szCs w:val="28"/>
        <w:u w:val="singl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nsid w:val="52CF205F"/>
    <w:multiLevelType w:val="hybridMultilevel"/>
    <w:tmpl w:val="3EE8B27A"/>
    <w:lvl w:ilvl="0" w:tplc="A8EA9DFC">
      <w:start w:val="1"/>
      <w:numFmt w:val="bullet"/>
      <w:lvlText w:val=""/>
      <w:lvlJc w:val="left"/>
      <w:pPr>
        <w:tabs>
          <w:tab w:val="num" w:pos="363"/>
        </w:tabs>
        <w:ind w:left="363" w:hanging="363"/>
      </w:pPr>
      <w:rPr>
        <w:rFonts w:ascii="Wingdings" w:hAnsi="Wingdings" w:hint="default"/>
        <w:sz w:val="24"/>
        <w:szCs w:val="24"/>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43D62D0"/>
    <w:multiLevelType w:val="hybridMultilevel"/>
    <w:tmpl w:val="06F8A486"/>
    <w:lvl w:ilvl="0" w:tplc="040C0001">
      <w:start w:val="1"/>
      <w:numFmt w:val="bullet"/>
      <w:lvlText w:val=""/>
      <w:lvlJc w:val="left"/>
      <w:pPr>
        <w:tabs>
          <w:tab w:val="num" w:pos="780"/>
        </w:tabs>
        <w:ind w:left="780" w:hanging="360"/>
      </w:pPr>
      <w:rPr>
        <w:rFonts w:ascii="Symbol" w:hAnsi="Symbol" w:hint="default"/>
      </w:rPr>
    </w:lvl>
    <w:lvl w:ilvl="1" w:tplc="80CCB844">
      <w:start w:val="1"/>
      <w:numFmt w:val="bullet"/>
      <w:lvlText w:val=""/>
      <w:lvlJc w:val="left"/>
      <w:pPr>
        <w:tabs>
          <w:tab w:val="num" w:pos="431"/>
        </w:tabs>
        <w:ind w:left="431" w:hanging="431"/>
      </w:pPr>
      <w:rPr>
        <w:rFonts w:ascii="Wingdings" w:hAnsi="Wingdings" w:hint="default"/>
        <w:sz w:val="24"/>
        <w:szCs w:val="24"/>
        <w:u w:val="none"/>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5">
    <w:nsid w:val="57D141AB"/>
    <w:multiLevelType w:val="multilevel"/>
    <w:tmpl w:val="1A6E2EA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360"/>
        </w:tabs>
        <w:ind w:left="1800" w:hanging="360"/>
      </w:pPr>
      <w:rPr>
        <w:rFonts w:ascii="Times New Roman" w:eastAsia="Times New Roman" w:hAnsi="Times New Roman" w:cs="Times New Roman"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nsid w:val="5A523CBF"/>
    <w:multiLevelType w:val="hybridMultilevel"/>
    <w:tmpl w:val="59E871C8"/>
    <w:lvl w:ilvl="0" w:tplc="040C0001">
      <w:start w:val="1"/>
      <w:numFmt w:val="bullet"/>
      <w:lvlText w:val=""/>
      <w:lvlJc w:val="left"/>
      <w:pPr>
        <w:tabs>
          <w:tab w:val="num" w:pos="720"/>
        </w:tabs>
        <w:ind w:left="720" w:hanging="360"/>
      </w:pPr>
      <w:rPr>
        <w:rFonts w:ascii="Symbol" w:hAnsi="Symbol" w:hint="default"/>
      </w:rPr>
    </w:lvl>
    <w:lvl w:ilvl="1" w:tplc="80CCB844">
      <w:start w:val="1"/>
      <w:numFmt w:val="bullet"/>
      <w:lvlText w:val=""/>
      <w:lvlJc w:val="left"/>
      <w:pPr>
        <w:tabs>
          <w:tab w:val="num" w:pos="1511"/>
        </w:tabs>
        <w:ind w:left="151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B616BDC"/>
    <w:multiLevelType w:val="hybridMultilevel"/>
    <w:tmpl w:val="6FBE4D38"/>
    <w:lvl w:ilvl="0" w:tplc="3B0229D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18F5B60"/>
    <w:multiLevelType w:val="hybridMultilevel"/>
    <w:tmpl w:val="87B6F798"/>
    <w:lvl w:ilvl="0" w:tplc="C178B39C">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726F6C31"/>
    <w:multiLevelType w:val="hybridMultilevel"/>
    <w:tmpl w:val="C180E226"/>
    <w:lvl w:ilvl="0" w:tplc="040C0001">
      <w:start w:val="1"/>
      <w:numFmt w:val="bullet"/>
      <w:lvlText w:val=""/>
      <w:lvlJc w:val="left"/>
      <w:pPr>
        <w:tabs>
          <w:tab w:val="num" w:pos="720"/>
        </w:tabs>
        <w:ind w:left="720" w:hanging="360"/>
      </w:pPr>
      <w:rPr>
        <w:rFonts w:ascii="Symbol" w:hAnsi="Symbol" w:hint="default"/>
      </w:rPr>
    </w:lvl>
    <w:lvl w:ilvl="1" w:tplc="8048B250">
      <w:start w:val="1"/>
      <w:numFmt w:val="bullet"/>
      <w:lvlText w:val=""/>
      <w:lvlJc w:val="left"/>
      <w:pPr>
        <w:tabs>
          <w:tab w:val="num" w:pos="431"/>
        </w:tabs>
        <w:ind w:left="43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3F24CD4"/>
    <w:multiLevelType w:val="multilevel"/>
    <w:tmpl w:val="1A6E2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56E5D1B"/>
    <w:multiLevelType w:val="hybridMultilevel"/>
    <w:tmpl w:val="47D672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5853DF4"/>
    <w:multiLevelType w:val="hybridMultilevel"/>
    <w:tmpl w:val="EEE42D64"/>
    <w:lvl w:ilvl="0" w:tplc="040C0001">
      <w:start w:val="1"/>
      <w:numFmt w:val="bullet"/>
      <w:lvlText w:val=""/>
      <w:lvlJc w:val="left"/>
      <w:pPr>
        <w:tabs>
          <w:tab w:val="num" w:pos="720"/>
        </w:tabs>
        <w:ind w:left="720" w:hanging="360"/>
      </w:pPr>
      <w:rPr>
        <w:rFonts w:ascii="Symbol" w:hAnsi="Symbol" w:hint="default"/>
      </w:rPr>
    </w:lvl>
    <w:lvl w:ilvl="1" w:tplc="C504AAC6">
      <w:start w:val="1"/>
      <w:numFmt w:val="bullet"/>
      <w:lvlText w:val=""/>
      <w:lvlJc w:val="left"/>
      <w:pPr>
        <w:tabs>
          <w:tab w:val="num" w:pos="1511"/>
        </w:tabs>
        <w:ind w:left="151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5CB50C9"/>
    <w:multiLevelType w:val="hybridMultilevel"/>
    <w:tmpl w:val="ED6011EE"/>
    <w:lvl w:ilvl="0" w:tplc="040C0001">
      <w:start w:val="1"/>
      <w:numFmt w:val="bullet"/>
      <w:lvlText w:val=""/>
      <w:lvlJc w:val="left"/>
      <w:pPr>
        <w:tabs>
          <w:tab w:val="num" w:pos="720"/>
        </w:tabs>
        <w:ind w:left="720" w:hanging="360"/>
      </w:pPr>
      <w:rPr>
        <w:rFonts w:ascii="Symbol" w:hAnsi="Symbol" w:hint="default"/>
      </w:rPr>
    </w:lvl>
    <w:lvl w:ilvl="1" w:tplc="DFCC3F26">
      <w:start w:val="1"/>
      <w:numFmt w:val="bullet"/>
      <w:lvlText w:val=""/>
      <w:lvlJc w:val="left"/>
      <w:pPr>
        <w:tabs>
          <w:tab w:val="num" w:pos="431"/>
        </w:tabs>
        <w:ind w:left="431" w:hanging="431"/>
      </w:pPr>
      <w:rPr>
        <w:rFonts w:ascii="Wingdings" w:hAnsi="Wingdings" w:hint="default"/>
        <w:sz w:val="24"/>
        <w:szCs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CAE01F6"/>
    <w:multiLevelType w:val="hybridMultilevel"/>
    <w:tmpl w:val="6F3A883C"/>
    <w:lvl w:ilvl="0" w:tplc="040C000B">
      <w:start w:val="1"/>
      <w:numFmt w:val="bullet"/>
      <w:lvlText w:val=""/>
      <w:lvlJc w:val="left"/>
      <w:pPr>
        <w:ind w:left="2484" w:hanging="360"/>
      </w:pPr>
      <w:rPr>
        <w:rFonts w:ascii="Symbol" w:hAnsi="Symbol" w:hint="default"/>
      </w:rPr>
    </w:lvl>
    <w:lvl w:ilvl="1" w:tplc="CF126DA6">
      <w:start w:val="1"/>
      <w:numFmt w:val="bullet"/>
      <w:lvlText w:val=""/>
      <w:lvlJc w:val="left"/>
      <w:pPr>
        <w:tabs>
          <w:tab w:val="num" w:pos="3204"/>
        </w:tabs>
        <w:ind w:left="3204" w:hanging="360"/>
      </w:pPr>
      <w:rPr>
        <w:rFonts w:ascii="Symbol" w:hAnsi="Symbol" w:hint="default"/>
      </w:rPr>
    </w:lvl>
    <w:lvl w:ilvl="2" w:tplc="040C0001"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23"/>
  </w:num>
  <w:num w:numId="2">
    <w:abstractNumId w:val="12"/>
  </w:num>
  <w:num w:numId="3">
    <w:abstractNumId w:val="14"/>
  </w:num>
  <w:num w:numId="4">
    <w:abstractNumId w:val="11"/>
  </w:num>
  <w:num w:numId="5">
    <w:abstractNumId w:val="24"/>
  </w:num>
  <w:num w:numId="6">
    <w:abstractNumId w:val="15"/>
  </w:num>
  <w:num w:numId="7">
    <w:abstractNumId w:val="20"/>
  </w:num>
  <w:num w:numId="8">
    <w:abstractNumId w:val="19"/>
  </w:num>
  <w:num w:numId="9">
    <w:abstractNumId w:val="28"/>
  </w:num>
  <w:num w:numId="10">
    <w:abstractNumId w:val="7"/>
  </w:num>
  <w:num w:numId="11">
    <w:abstractNumId w:val="32"/>
  </w:num>
  <w:num w:numId="12">
    <w:abstractNumId w:val="29"/>
  </w:num>
  <w:num w:numId="13">
    <w:abstractNumId w:val="9"/>
  </w:num>
  <w:num w:numId="14">
    <w:abstractNumId w:val="3"/>
  </w:num>
  <w:num w:numId="15">
    <w:abstractNumId w:val="17"/>
  </w:num>
  <w:num w:numId="16">
    <w:abstractNumId w:val="43"/>
  </w:num>
  <w:num w:numId="17">
    <w:abstractNumId w:val="42"/>
  </w:num>
  <w:num w:numId="18">
    <w:abstractNumId w:val="6"/>
  </w:num>
  <w:num w:numId="19">
    <w:abstractNumId w:val="2"/>
  </w:num>
  <w:num w:numId="20">
    <w:abstractNumId w:val="33"/>
  </w:num>
  <w:num w:numId="21">
    <w:abstractNumId w:val="40"/>
  </w:num>
  <w:num w:numId="22">
    <w:abstractNumId w:val="13"/>
  </w:num>
  <w:num w:numId="23">
    <w:abstractNumId w:val="44"/>
  </w:num>
  <w:num w:numId="24">
    <w:abstractNumId w:val="34"/>
  </w:num>
  <w:num w:numId="25">
    <w:abstractNumId w:val="8"/>
  </w:num>
  <w:num w:numId="26">
    <w:abstractNumId w:val="21"/>
  </w:num>
  <w:num w:numId="27">
    <w:abstractNumId w:val="27"/>
  </w:num>
  <w:num w:numId="28">
    <w:abstractNumId w:val="36"/>
  </w:num>
  <w:num w:numId="29">
    <w:abstractNumId w:val="31"/>
  </w:num>
  <w:num w:numId="30">
    <w:abstractNumId w:val="25"/>
  </w:num>
  <w:num w:numId="31">
    <w:abstractNumId w:val="16"/>
  </w:num>
  <w:num w:numId="32">
    <w:abstractNumId w:val="10"/>
  </w:num>
  <w:num w:numId="33">
    <w:abstractNumId w:val="18"/>
  </w:num>
  <w:num w:numId="34">
    <w:abstractNumId w:val="26"/>
  </w:num>
  <w:num w:numId="35">
    <w:abstractNumId w:val="30"/>
  </w:num>
  <w:num w:numId="36">
    <w:abstractNumId w:val="45"/>
  </w:num>
  <w:num w:numId="37">
    <w:abstractNumId w:val="39"/>
  </w:num>
  <w:num w:numId="38">
    <w:abstractNumId w:val="35"/>
  </w:num>
  <w:num w:numId="39">
    <w:abstractNumId w:val="41"/>
  </w:num>
  <w:num w:numId="40">
    <w:abstractNumId w:val="38"/>
  </w:num>
  <w:num w:numId="41">
    <w:abstractNumId w:val="22"/>
  </w:num>
  <w:num w:numId="42">
    <w:abstractNumId w:val="37"/>
  </w:num>
  <w:num w:numId="43">
    <w:abstractNumId w:val="1"/>
  </w:num>
  <w:num w:numId="44">
    <w:abstractNumId w:val="4"/>
  </w:num>
  <w:num w:numId="45">
    <w:abstractNumId w:val="0"/>
  </w:num>
  <w:num w:numId="4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B"/>
    <w:rsid w:val="0000686A"/>
    <w:rsid w:val="000115F9"/>
    <w:rsid w:val="00013720"/>
    <w:rsid w:val="0002030E"/>
    <w:rsid w:val="000502B7"/>
    <w:rsid w:val="00065FAA"/>
    <w:rsid w:val="000C38D4"/>
    <w:rsid w:val="000E3D99"/>
    <w:rsid w:val="000E4DA9"/>
    <w:rsid w:val="000F74E6"/>
    <w:rsid w:val="00123BD0"/>
    <w:rsid w:val="001267E8"/>
    <w:rsid w:val="00126E3B"/>
    <w:rsid w:val="001357F9"/>
    <w:rsid w:val="00136E94"/>
    <w:rsid w:val="00140EBC"/>
    <w:rsid w:val="0014466B"/>
    <w:rsid w:val="00160E8D"/>
    <w:rsid w:val="00174958"/>
    <w:rsid w:val="00177CAC"/>
    <w:rsid w:val="00181D6F"/>
    <w:rsid w:val="0019613A"/>
    <w:rsid w:val="00197583"/>
    <w:rsid w:val="001A3245"/>
    <w:rsid w:val="001A4E65"/>
    <w:rsid w:val="001E4B4B"/>
    <w:rsid w:val="002034C4"/>
    <w:rsid w:val="002602AD"/>
    <w:rsid w:val="00266A40"/>
    <w:rsid w:val="002709FD"/>
    <w:rsid w:val="00271A3E"/>
    <w:rsid w:val="00273FA3"/>
    <w:rsid w:val="00282EEF"/>
    <w:rsid w:val="00283343"/>
    <w:rsid w:val="002A6700"/>
    <w:rsid w:val="002B03DC"/>
    <w:rsid w:val="002C2522"/>
    <w:rsid w:val="002D47F5"/>
    <w:rsid w:val="002E5DF2"/>
    <w:rsid w:val="002F5ACA"/>
    <w:rsid w:val="00301320"/>
    <w:rsid w:val="00323D2F"/>
    <w:rsid w:val="00327A75"/>
    <w:rsid w:val="0034619E"/>
    <w:rsid w:val="003577E6"/>
    <w:rsid w:val="003638C4"/>
    <w:rsid w:val="003860BA"/>
    <w:rsid w:val="003B525C"/>
    <w:rsid w:val="003C70C9"/>
    <w:rsid w:val="003F6CF5"/>
    <w:rsid w:val="00441039"/>
    <w:rsid w:val="00442058"/>
    <w:rsid w:val="00455D2C"/>
    <w:rsid w:val="00455F47"/>
    <w:rsid w:val="00460027"/>
    <w:rsid w:val="00481691"/>
    <w:rsid w:val="004930AD"/>
    <w:rsid w:val="004B4460"/>
    <w:rsid w:val="004B5D1F"/>
    <w:rsid w:val="004D311A"/>
    <w:rsid w:val="0053665C"/>
    <w:rsid w:val="005512BB"/>
    <w:rsid w:val="0055294B"/>
    <w:rsid w:val="00562F11"/>
    <w:rsid w:val="0058602A"/>
    <w:rsid w:val="005D2145"/>
    <w:rsid w:val="005D4E0F"/>
    <w:rsid w:val="005D6718"/>
    <w:rsid w:val="005E56A7"/>
    <w:rsid w:val="00613859"/>
    <w:rsid w:val="00620227"/>
    <w:rsid w:val="0064186B"/>
    <w:rsid w:val="00661503"/>
    <w:rsid w:val="0066285D"/>
    <w:rsid w:val="00664C15"/>
    <w:rsid w:val="00691615"/>
    <w:rsid w:val="00693628"/>
    <w:rsid w:val="00696432"/>
    <w:rsid w:val="006A5ABC"/>
    <w:rsid w:val="006B2F85"/>
    <w:rsid w:val="006D0949"/>
    <w:rsid w:val="006D73EE"/>
    <w:rsid w:val="006F5079"/>
    <w:rsid w:val="00703648"/>
    <w:rsid w:val="00730FBC"/>
    <w:rsid w:val="00734B79"/>
    <w:rsid w:val="00742B32"/>
    <w:rsid w:val="00754756"/>
    <w:rsid w:val="00783413"/>
    <w:rsid w:val="007C2CCE"/>
    <w:rsid w:val="007E2834"/>
    <w:rsid w:val="007E3A87"/>
    <w:rsid w:val="007F03FD"/>
    <w:rsid w:val="0081021A"/>
    <w:rsid w:val="00830F91"/>
    <w:rsid w:val="00874544"/>
    <w:rsid w:val="00877203"/>
    <w:rsid w:val="00880B57"/>
    <w:rsid w:val="0088394C"/>
    <w:rsid w:val="0089015A"/>
    <w:rsid w:val="008D0975"/>
    <w:rsid w:val="008D63B2"/>
    <w:rsid w:val="008E2D46"/>
    <w:rsid w:val="00914BAE"/>
    <w:rsid w:val="009231A0"/>
    <w:rsid w:val="0094143D"/>
    <w:rsid w:val="0094157D"/>
    <w:rsid w:val="00947CB7"/>
    <w:rsid w:val="00974C86"/>
    <w:rsid w:val="009A0E48"/>
    <w:rsid w:val="00A216BB"/>
    <w:rsid w:val="00A76F34"/>
    <w:rsid w:val="00A82EB1"/>
    <w:rsid w:val="00AA00B9"/>
    <w:rsid w:val="00B05EDE"/>
    <w:rsid w:val="00B07132"/>
    <w:rsid w:val="00B16238"/>
    <w:rsid w:val="00B32FA4"/>
    <w:rsid w:val="00B34BB8"/>
    <w:rsid w:val="00B4229E"/>
    <w:rsid w:val="00B56251"/>
    <w:rsid w:val="00B57445"/>
    <w:rsid w:val="00B7222F"/>
    <w:rsid w:val="00B74463"/>
    <w:rsid w:val="00B84881"/>
    <w:rsid w:val="00B94302"/>
    <w:rsid w:val="00B95CFC"/>
    <w:rsid w:val="00BA205F"/>
    <w:rsid w:val="00BA47FD"/>
    <w:rsid w:val="00BA524B"/>
    <w:rsid w:val="00BA7237"/>
    <w:rsid w:val="00BD7A6E"/>
    <w:rsid w:val="00C31D0B"/>
    <w:rsid w:val="00C43F2F"/>
    <w:rsid w:val="00C56F01"/>
    <w:rsid w:val="00C61B13"/>
    <w:rsid w:val="00C8773F"/>
    <w:rsid w:val="00CA69AB"/>
    <w:rsid w:val="00CB61C2"/>
    <w:rsid w:val="00CD5722"/>
    <w:rsid w:val="00CD7099"/>
    <w:rsid w:val="00CE1097"/>
    <w:rsid w:val="00CE6330"/>
    <w:rsid w:val="00D011F5"/>
    <w:rsid w:val="00D0617B"/>
    <w:rsid w:val="00D5520B"/>
    <w:rsid w:val="00D60AD3"/>
    <w:rsid w:val="00DA7244"/>
    <w:rsid w:val="00DE6400"/>
    <w:rsid w:val="00DF146D"/>
    <w:rsid w:val="00E2075E"/>
    <w:rsid w:val="00E40A06"/>
    <w:rsid w:val="00E438E4"/>
    <w:rsid w:val="00E54658"/>
    <w:rsid w:val="00E842D5"/>
    <w:rsid w:val="00E93FD4"/>
    <w:rsid w:val="00EA781A"/>
    <w:rsid w:val="00EB31D2"/>
    <w:rsid w:val="00EC5D8D"/>
    <w:rsid w:val="00EC75A5"/>
    <w:rsid w:val="00ED098F"/>
    <w:rsid w:val="00EF1512"/>
    <w:rsid w:val="00EF7EBE"/>
    <w:rsid w:val="00F05358"/>
    <w:rsid w:val="00F12E2D"/>
    <w:rsid w:val="00F16B49"/>
    <w:rsid w:val="00F23FD2"/>
    <w:rsid w:val="00F311C7"/>
    <w:rsid w:val="00F64C84"/>
    <w:rsid w:val="00F81628"/>
    <w:rsid w:val="00FA5129"/>
    <w:rsid w:val="00FC159D"/>
    <w:rsid w:val="00FC4C96"/>
    <w:rsid w:val="00FD5A2F"/>
    <w:rsid w:val="00FD7F71"/>
    <w:rsid w:val="00FE4A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35"/>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0E3D99"/>
    <w:pPr>
      <w:numPr>
        <w:numId w:val="44"/>
      </w:numPr>
      <w:pBdr>
        <w:bottom w:val="single" w:sz="18" w:space="1" w:color="auto"/>
      </w:pBdr>
      <w:spacing w:before="100" w:beforeAutospacing="1" w:after="240"/>
      <w:jc w:val="left"/>
    </w:pPr>
    <w:rPr>
      <w:rFonts w:ascii="Calibri" w:hAnsi="Calibri"/>
      <w:b/>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0E3D99"/>
    <w:rPr>
      <w:rFonts w:ascii="Calibri" w:eastAsiaTheme="majorEastAsia" w:hAnsi="Calibri" w:cstheme="majorBidi"/>
      <w:b/>
      <w:caps/>
      <w:color w:val="000000" w:themeColor="text1"/>
      <w:sz w:val="24"/>
      <w:szCs w:val="40"/>
      <w:lang w:val="nl-NL"/>
    </w:rPr>
  </w:style>
  <w:style w:type="paragraph" w:styleId="Inhopg1">
    <w:name w:val="toc 1"/>
    <w:basedOn w:val="Standaard"/>
    <w:next w:val="Standaard"/>
    <w:autoRedefine/>
    <w:uiPriority w:val="39"/>
    <w:unhideWhenUsed/>
    <w:rsid w:val="003C70C9"/>
    <w:pPr>
      <w:spacing w:after="100"/>
    </w:pPr>
  </w:style>
  <w:style w:type="paragraph" w:styleId="Voetnoottekst">
    <w:name w:val="footnote text"/>
    <w:basedOn w:val="Standaard"/>
    <w:link w:val="VoetnoottekstChar"/>
    <w:uiPriority w:val="99"/>
    <w:semiHidden/>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5079"/>
  </w:style>
  <w:style w:type="paragraph" w:styleId="Kop1">
    <w:name w:val="heading 1"/>
    <w:basedOn w:val="Standaard"/>
    <w:next w:val="Standaard"/>
    <w:link w:val="Kop1Ch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6F5079"/>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A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A6E"/>
    <w:rPr>
      <w:rFonts w:ascii="Segoe UI" w:hAnsi="Segoe UI" w:cs="Segoe UI"/>
      <w:sz w:val="18"/>
      <w:szCs w:val="18"/>
    </w:rPr>
  </w:style>
  <w:style w:type="paragraph" w:styleId="Lijstalinea">
    <w:name w:val="List Paragraph"/>
    <w:basedOn w:val="Standaard"/>
    <w:uiPriority w:val="34"/>
    <w:qFormat/>
    <w:rsid w:val="00FA5129"/>
    <w:pPr>
      <w:ind w:left="720"/>
      <w:contextualSpacing/>
    </w:pPr>
  </w:style>
  <w:style w:type="paragraph" w:styleId="Normaalweb">
    <w:name w:val="Normal (Web)"/>
    <w:basedOn w:val="Standaard"/>
    <w:uiPriority w:val="99"/>
    <w:semiHidden/>
    <w:unhideWhenUsed/>
    <w:rsid w:val="003638C4"/>
    <w:rPr>
      <w:rFonts w:ascii="Times New Roman" w:hAnsi="Times New Roman" w:cs="Times New Roman"/>
      <w:sz w:val="24"/>
      <w:szCs w:val="24"/>
    </w:rPr>
  </w:style>
  <w:style w:type="paragraph" w:styleId="Koptekst">
    <w:name w:val="header"/>
    <w:basedOn w:val="Standaard"/>
    <w:link w:val="KoptekstChar"/>
    <w:uiPriority w:val="99"/>
    <w:unhideWhenUsed/>
    <w:rsid w:val="005E5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6A7"/>
  </w:style>
  <w:style w:type="paragraph" w:styleId="Voettekst">
    <w:name w:val="footer"/>
    <w:basedOn w:val="Standaard"/>
    <w:link w:val="VoettekstChar"/>
    <w:uiPriority w:val="99"/>
    <w:unhideWhenUsed/>
    <w:rsid w:val="005E5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56A7"/>
  </w:style>
  <w:style w:type="character" w:styleId="Hyperlink">
    <w:name w:val="Hyperlink"/>
    <w:basedOn w:val="Standaardalinea-lettertype"/>
    <w:uiPriority w:val="99"/>
    <w:unhideWhenUsed/>
    <w:rsid w:val="00AA00B9"/>
    <w:rPr>
      <w:color w:val="0563C1" w:themeColor="hyperlink"/>
      <w:u w:val="single"/>
    </w:rPr>
  </w:style>
  <w:style w:type="paragraph" w:customStyle="1" w:styleId="TITRE">
    <w:name w:val="TITRE"/>
    <w:basedOn w:val="Standaard"/>
    <w:rsid w:val="004930AD"/>
    <w:pPr>
      <w:keepNext/>
      <w:numPr>
        <w:numId w:val="35"/>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Geenafstand">
    <w:name w:val="No Spacing"/>
    <w:link w:val="GeenafstandChar"/>
    <w:uiPriority w:val="1"/>
    <w:qFormat/>
    <w:rsid w:val="006F5079"/>
    <w:pPr>
      <w:spacing w:after="0" w:line="240" w:lineRule="auto"/>
    </w:pPr>
  </w:style>
  <w:style w:type="character" w:customStyle="1" w:styleId="Kop1Char">
    <w:name w:val="Kop 1 Char"/>
    <w:basedOn w:val="Standaardalinea-lettertype"/>
    <w:link w:val="Kop1"/>
    <w:uiPriority w:val="9"/>
    <w:rsid w:val="006F5079"/>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rsid w:val="006F5079"/>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6F5079"/>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6F5079"/>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6F5079"/>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6F5079"/>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6F5079"/>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6F5079"/>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6F5079"/>
    <w:rPr>
      <w:b/>
      <w:bCs/>
      <w:i/>
      <w:iCs/>
    </w:rPr>
  </w:style>
  <w:style w:type="paragraph" w:styleId="Bijschrift">
    <w:name w:val="caption"/>
    <w:basedOn w:val="Standaard"/>
    <w:next w:val="Standaard"/>
    <w:uiPriority w:val="35"/>
    <w:semiHidden/>
    <w:unhideWhenUsed/>
    <w:qFormat/>
    <w:rsid w:val="006F5079"/>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6F5079"/>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6F5079"/>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6F5079"/>
    <w:rPr>
      <w:color w:val="44546A" w:themeColor="text2"/>
      <w:sz w:val="28"/>
      <w:szCs w:val="28"/>
    </w:rPr>
  </w:style>
  <w:style w:type="character" w:styleId="Zwaar">
    <w:name w:val="Strong"/>
    <w:basedOn w:val="Standaardalinea-lettertype"/>
    <w:uiPriority w:val="22"/>
    <w:qFormat/>
    <w:rsid w:val="006F5079"/>
    <w:rPr>
      <w:b/>
      <w:bCs/>
    </w:rPr>
  </w:style>
  <w:style w:type="character" w:styleId="Nadruk">
    <w:name w:val="Emphasis"/>
    <w:basedOn w:val="Standaardalinea-lettertype"/>
    <w:uiPriority w:val="20"/>
    <w:qFormat/>
    <w:rsid w:val="006F5079"/>
    <w:rPr>
      <w:i/>
      <w:iCs/>
      <w:color w:val="000000" w:themeColor="text1"/>
    </w:rPr>
  </w:style>
  <w:style w:type="paragraph" w:styleId="Citaat">
    <w:name w:val="Quote"/>
    <w:basedOn w:val="Standaard"/>
    <w:next w:val="Standaard"/>
    <w:link w:val="CitaatChar"/>
    <w:uiPriority w:val="29"/>
    <w:qFormat/>
    <w:rsid w:val="006F5079"/>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6F5079"/>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6F5079"/>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6F5079"/>
    <w:rPr>
      <w:i/>
      <w:iCs/>
      <w:color w:val="595959" w:themeColor="text1" w:themeTint="A6"/>
    </w:rPr>
  </w:style>
  <w:style w:type="character" w:styleId="Intensievebenadrukking">
    <w:name w:val="Intense Emphasis"/>
    <w:basedOn w:val="Standaardalinea-lettertype"/>
    <w:uiPriority w:val="21"/>
    <w:qFormat/>
    <w:rsid w:val="006F5079"/>
    <w:rPr>
      <w:b/>
      <w:bCs/>
      <w:i/>
      <w:iCs/>
      <w:color w:val="auto"/>
    </w:rPr>
  </w:style>
  <w:style w:type="character" w:styleId="Subtieleverwijzing">
    <w:name w:val="Subtle Reference"/>
    <w:basedOn w:val="Standaardalinea-lettertype"/>
    <w:uiPriority w:val="31"/>
    <w:qFormat/>
    <w:rsid w:val="006F5079"/>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6F5079"/>
    <w:rPr>
      <w:b/>
      <w:bCs/>
      <w:caps w:val="0"/>
      <w:smallCaps/>
      <w:color w:val="auto"/>
      <w:spacing w:val="0"/>
      <w:u w:val="single"/>
    </w:rPr>
  </w:style>
  <w:style w:type="character" w:styleId="Titelvanboek">
    <w:name w:val="Book Title"/>
    <w:basedOn w:val="Standaardalinea-lettertype"/>
    <w:uiPriority w:val="33"/>
    <w:qFormat/>
    <w:rsid w:val="006F5079"/>
    <w:rPr>
      <w:b/>
      <w:bCs/>
      <w:caps w:val="0"/>
      <w:smallCaps/>
      <w:spacing w:val="0"/>
    </w:rPr>
  </w:style>
  <w:style w:type="paragraph" w:styleId="Kopvaninhoudsopgave">
    <w:name w:val="TOC Heading"/>
    <w:basedOn w:val="Kop1"/>
    <w:next w:val="Standaard"/>
    <w:uiPriority w:val="39"/>
    <w:unhideWhenUsed/>
    <w:qFormat/>
    <w:rsid w:val="006F5079"/>
    <w:pPr>
      <w:outlineLvl w:val="9"/>
    </w:pPr>
  </w:style>
  <w:style w:type="paragraph" w:customStyle="1" w:styleId="Stijl1">
    <w:name w:val="Stijl 1"/>
    <w:basedOn w:val="Kop1"/>
    <w:link w:val="Stijl1Char"/>
    <w:autoRedefine/>
    <w:qFormat/>
    <w:rsid w:val="000E3D99"/>
    <w:pPr>
      <w:numPr>
        <w:numId w:val="44"/>
      </w:numPr>
      <w:pBdr>
        <w:bottom w:val="single" w:sz="18" w:space="1" w:color="auto"/>
      </w:pBdr>
      <w:spacing w:before="100" w:beforeAutospacing="1" w:after="240"/>
      <w:jc w:val="left"/>
    </w:pPr>
    <w:rPr>
      <w:rFonts w:ascii="Calibri" w:hAnsi="Calibri"/>
      <w:b/>
      <w:caps/>
      <w:color w:val="000000" w:themeColor="text1"/>
      <w:sz w:val="24"/>
      <w:lang w:val="nl-NL"/>
    </w:rPr>
  </w:style>
  <w:style w:type="character" w:customStyle="1" w:styleId="GeenafstandChar">
    <w:name w:val="Geen afstand Char"/>
    <w:basedOn w:val="Standaardalinea-lettertype"/>
    <w:link w:val="Geenafstand"/>
    <w:uiPriority w:val="1"/>
    <w:rsid w:val="00BA7237"/>
  </w:style>
  <w:style w:type="character" w:customStyle="1" w:styleId="Stijl1Char">
    <w:name w:val="Stijl 1 Char"/>
    <w:basedOn w:val="Kop1Char"/>
    <w:link w:val="Stijl1"/>
    <w:rsid w:val="000E3D99"/>
    <w:rPr>
      <w:rFonts w:ascii="Calibri" w:eastAsiaTheme="majorEastAsia" w:hAnsi="Calibri" w:cstheme="majorBidi"/>
      <w:b/>
      <w:caps/>
      <w:color w:val="000000" w:themeColor="text1"/>
      <w:sz w:val="24"/>
      <w:szCs w:val="40"/>
      <w:lang w:val="nl-NL"/>
    </w:rPr>
  </w:style>
  <w:style w:type="paragraph" w:styleId="Inhopg1">
    <w:name w:val="toc 1"/>
    <w:basedOn w:val="Standaard"/>
    <w:next w:val="Standaard"/>
    <w:autoRedefine/>
    <w:uiPriority w:val="39"/>
    <w:unhideWhenUsed/>
    <w:rsid w:val="003C70C9"/>
    <w:pPr>
      <w:spacing w:after="100"/>
    </w:pPr>
  </w:style>
  <w:style w:type="paragraph" w:styleId="Voetnoottekst">
    <w:name w:val="footnote text"/>
    <w:basedOn w:val="Standaard"/>
    <w:link w:val="VoetnoottekstChar"/>
    <w:uiPriority w:val="99"/>
    <w:semiHidden/>
    <w:unhideWhenUsed/>
    <w:rsid w:val="000203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030E"/>
    <w:rPr>
      <w:sz w:val="20"/>
      <w:szCs w:val="20"/>
    </w:rPr>
  </w:style>
  <w:style w:type="character" w:styleId="Voetnootmarkering">
    <w:name w:val="footnote reference"/>
    <w:basedOn w:val="Standaardalinea-lettertype"/>
    <w:uiPriority w:val="99"/>
    <w:semiHidden/>
    <w:unhideWhenUsed/>
    <w:rsid w:val="00020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D442FB-2681-43CE-85BE-3F95292B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18</Pages>
  <Words>4678</Words>
  <Characters>25733</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Toelage ter bevordering van de participatie en de sociale activering van OCMW-gebruikers</vt:lpstr>
    </vt:vector>
  </TitlesOfParts>
  <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Toelage ter bevordering van de participatie en de sociale activering van OCMW-gebruikers</dc:title>
  <dc:subject>POD Maatschappelijke Integratie</dc:subject>
  <dc:creator>Chatt Rajae</dc:creator>
  <cp:keywords/>
  <dc:description/>
  <cp:lastModifiedBy>Dewulf Jacqueline</cp:lastModifiedBy>
  <cp:revision>10</cp:revision>
  <cp:lastPrinted>2018-02-14T18:08:00Z</cp:lastPrinted>
  <dcterms:created xsi:type="dcterms:W3CDTF">2018-02-06T15:31:00Z</dcterms:created>
  <dcterms:modified xsi:type="dcterms:W3CDTF">2018-02-14T18:13:00Z</dcterms:modified>
</cp:coreProperties>
</file>