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8991378"/>
        <w:docPartObj>
          <w:docPartGallery w:val="Cover Pages"/>
          <w:docPartUnique/>
        </w:docPartObj>
      </w:sdtPr>
      <w:sdtEndPr>
        <w:rPr>
          <w:caps/>
          <w:color w:val="5B9BD5" w:themeColor="accent1"/>
          <w:sz w:val="28"/>
          <w:szCs w:val="28"/>
        </w:rPr>
      </w:sdtEndPr>
      <w:sdtContent>
        <w:p w:rsidR="003C70C9" w:rsidRDefault="003C70C9" w:rsidP="00EE3D72">
          <w:pPr>
            <w:spacing w:after="0"/>
            <w:rPr>
              <w:caps/>
              <w:color w:val="5B9BD5" w:themeColor="accent1"/>
              <w:sz w:val="28"/>
              <w:szCs w:val="28"/>
            </w:rPr>
          </w:pPr>
          <w:r>
            <w:rPr>
              <w:noProof/>
              <w:lang w:eastAsia="fr-BE"/>
            </w:rPr>
            <mc:AlternateContent>
              <mc:Choice Requires="wps">
                <w:drawing>
                  <wp:anchor distT="0" distB="0" distL="182880" distR="182880" simplePos="0" relativeHeight="251660288" behindDoc="0" locked="0" layoutInCell="1" allowOverlap="1" wp14:anchorId="5E9884A1" wp14:editId="1C24FC7E">
                    <wp:simplePos x="0" y="0"/>
                    <wp:positionH relativeFrom="margin">
                      <wp:posOffset>-633095</wp:posOffset>
                    </wp:positionH>
                    <wp:positionV relativeFrom="page">
                      <wp:posOffset>3188970</wp:posOffset>
                    </wp:positionV>
                    <wp:extent cx="7038975" cy="6720840"/>
                    <wp:effectExtent l="0" t="0" r="9525" b="3175"/>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C54" w:rsidRPr="001957C7" w:rsidRDefault="00FA1C54" w:rsidP="001957C7">
                                <w:pPr>
                                  <w:pStyle w:val="Geenafstand"/>
                                  <w:rPr>
                                    <w:sz w:val="72"/>
                                    <w:szCs w:val="72"/>
                                  </w:rPr>
                                </w:pPr>
                                <w:r w:rsidRPr="001957C7">
                                  <w:rPr>
                                    <w:sz w:val="72"/>
                                    <w:szCs w:val="72"/>
                                  </w:rPr>
                                  <w:t>Subvention particulière pour les frais d’accompagnement et d’activation dans le cadre d'un projet individualisé d'intégration sociale (PIIS)</w:t>
                                </w:r>
                              </w:p>
                              <w:p w:rsidR="00FA1C54" w:rsidRPr="001957C7" w:rsidRDefault="00FA1C54" w:rsidP="003C70C9">
                                <w:pPr>
                                  <w:pStyle w:val="Geenafstand"/>
                                  <w:spacing w:before="40" w:after="40"/>
                                  <w:rPr>
                                    <w:sz w:val="72"/>
                                    <w:szCs w:val="72"/>
                                    <w:lang w:val="fr-FR"/>
                                  </w:rPr>
                                </w:pPr>
                              </w:p>
                              <w:p w:rsidR="00FA1C54" w:rsidRPr="00B42E77" w:rsidRDefault="00A13070" w:rsidP="003C70C9">
                                <w:pPr>
                                  <w:pStyle w:val="Geenafstand"/>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FA1C54">
                                      <w:rPr>
                                        <w:caps/>
                                        <w:color w:val="1F3864" w:themeColor="accent5" w:themeShade="80"/>
                                        <w:sz w:val="28"/>
                                        <w:szCs w:val="28"/>
                                        <w:lang w:val="nl-BE"/>
                                      </w:rPr>
                                      <w:t xml:space="preserve">SPP Intégration Sociale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5="http://schemas.microsoft.com/office/word/2012/wordml">
                <w:pict>
                  <v:shapetype w14:anchorId="5E9884A1" id="_x0000_t202" coordsize="21600,21600" o:spt="202" path="m,l,21600r21600,l21600,xe">
                    <v:stroke joinstyle="miter"/>
                    <v:path gradientshapeok="t" o:connecttype="rect"/>
                  </v:shapetype>
                  <v:shape id="Tekstvak 131" o:spid="_x0000_s1026" type="#_x0000_t202" style="position:absolute;margin-left:-49.85pt;margin-top:251.1pt;width:55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" filled="f" stroked="f" strokeweight=".5pt">
                    <v:textbox style="mso-fit-shape-to-text:t" inset="0,0,0,0">
                      <w:txbxContent>
                        <w:p w:rsidR="00FA1C54" w:rsidRPr="001957C7" w:rsidRDefault="00FA1C54" w:rsidP="001957C7">
                          <w:pPr>
                            <w:pStyle w:val="Geenafstand"/>
                            <w:rPr>
                              <w:sz w:val="72"/>
                              <w:szCs w:val="72"/>
                            </w:rPr>
                          </w:pPr>
                          <w:r w:rsidRPr="001957C7">
                            <w:rPr>
                              <w:sz w:val="72"/>
                              <w:szCs w:val="72"/>
                            </w:rPr>
                            <w:t>Subvention particulière pour les frais d’accompagnement et d’activation dans le cadre d'un projet individualisé d'intégration sociale (PIIS)</w:t>
                          </w:r>
                        </w:p>
                        <w:p w:rsidR="00FA1C54" w:rsidRPr="001957C7" w:rsidRDefault="00FA1C54" w:rsidP="003C70C9">
                          <w:pPr>
                            <w:pStyle w:val="Geenafstand"/>
                            <w:spacing w:before="40" w:after="40"/>
                            <w:rPr>
                              <w:sz w:val="72"/>
                              <w:szCs w:val="72"/>
                              <w:lang w:val="fr-FR"/>
                            </w:rPr>
                          </w:pPr>
                        </w:p>
                        <w:p w:rsidR="00FA1C54" w:rsidRPr="00B42E77" w:rsidRDefault="00095B45" w:rsidP="003C70C9">
                          <w:pPr>
                            <w:pStyle w:val="Geenafstand"/>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FA1C54">
                                <w:rPr>
                                  <w:caps/>
                                  <w:color w:val="1F3864" w:themeColor="accent5" w:themeShade="80"/>
                                  <w:sz w:val="28"/>
                                  <w:szCs w:val="28"/>
                                  <w:lang w:val="nl-BE"/>
                                </w:rPr>
                                <w:t xml:space="preserve">SPP Intégration Sociale </w:t>
                              </w:r>
                            </w:sdtContent>
                          </w:sdt>
                        </w:p>
                      </w:txbxContent>
                    </v:textbox>
                    <w10:wrap type="square" anchorx="margin" anchory="page"/>
                  </v:shape>
                </w:pict>
              </mc:Fallback>
            </mc:AlternateContent>
          </w:r>
          <w:r>
            <w:rPr>
              <w:caps/>
              <w:color w:val="5B9BD5" w:themeColor="accent1"/>
              <w:sz w:val="28"/>
              <w:szCs w:val="28"/>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bookmarkStart w:id="0" w:name="_GoBack" w:displacedByCustomXml="prev"/>
        <w:bookmarkEnd w:id="0" w:displacedByCustomXml="prev"/>
        <w:p w:rsidR="00332725" w:rsidRDefault="001957C7">
          <w:pPr>
            <w:pStyle w:val="Kopvaninhoudsopgave"/>
          </w:pPr>
          <w:proofErr w:type="spellStart"/>
          <w:r>
            <w:rPr>
              <w:lang w:val="nl-NL"/>
            </w:rPr>
            <w:t>Table</w:t>
          </w:r>
          <w:proofErr w:type="spellEnd"/>
          <w:r>
            <w:rPr>
              <w:lang w:val="nl-NL"/>
            </w:rPr>
            <w:t xml:space="preserve"> des </w:t>
          </w:r>
          <w:proofErr w:type="spellStart"/>
          <w:r>
            <w:rPr>
              <w:lang w:val="nl-NL"/>
            </w:rPr>
            <w:t>matières</w:t>
          </w:r>
          <w:proofErr w:type="spellEnd"/>
        </w:p>
        <w:p w:rsidR="00A13070" w:rsidRDefault="00332725">
          <w:pPr>
            <w:pStyle w:val="Inhopg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536609124" w:history="1">
            <w:r w:rsidR="00A13070" w:rsidRPr="00BA6CDB">
              <w:rPr>
                <w:rStyle w:val="Hyperlink"/>
                <w:noProof/>
              </w:rPr>
              <w:t>1.</w:t>
            </w:r>
            <w:r w:rsidR="00A13070">
              <w:rPr>
                <w:noProof/>
                <w:sz w:val="22"/>
                <w:szCs w:val="22"/>
                <w:lang w:eastAsia="fr-BE"/>
              </w:rPr>
              <w:tab/>
            </w:r>
            <w:r w:rsidR="00A13070" w:rsidRPr="00BA6CDB">
              <w:rPr>
                <w:rStyle w:val="Hyperlink"/>
                <w:noProof/>
              </w:rPr>
              <w:t>Base légale</w:t>
            </w:r>
            <w:r w:rsidR="00A13070">
              <w:rPr>
                <w:noProof/>
                <w:webHidden/>
              </w:rPr>
              <w:tab/>
            </w:r>
            <w:r w:rsidR="00A13070">
              <w:rPr>
                <w:noProof/>
                <w:webHidden/>
              </w:rPr>
              <w:fldChar w:fldCharType="begin"/>
            </w:r>
            <w:r w:rsidR="00A13070">
              <w:rPr>
                <w:noProof/>
                <w:webHidden/>
              </w:rPr>
              <w:instrText xml:space="preserve"> PAGEREF _Toc536609124 \h </w:instrText>
            </w:r>
            <w:r w:rsidR="00A13070">
              <w:rPr>
                <w:noProof/>
                <w:webHidden/>
              </w:rPr>
            </w:r>
            <w:r w:rsidR="00A13070">
              <w:rPr>
                <w:noProof/>
                <w:webHidden/>
              </w:rPr>
              <w:fldChar w:fldCharType="separate"/>
            </w:r>
            <w:r w:rsidR="00A13070">
              <w:rPr>
                <w:noProof/>
                <w:webHidden/>
              </w:rPr>
              <w:t>2</w:t>
            </w:r>
            <w:r w:rsidR="00A13070">
              <w:rPr>
                <w:noProof/>
                <w:webHidden/>
              </w:rPr>
              <w:fldChar w:fldCharType="end"/>
            </w:r>
          </w:hyperlink>
        </w:p>
        <w:p w:rsidR="00A13070" w:rsidRDefault="00A13070">
          <w:pPr>
            <w:pStyle w:val="Inhopg1"/>
            <w:tabs>
              <w:tab w:val="left" w:pos="420"/>
              <w:tab w:val="right" w:leader="dot" w:pos="9062"/>
            </w:tabs>
            <w:rPr>
              <w:noProof/>
              <w:sz w:val="22"/>
              <w:szCs w:val="22"/>
              <w:lang w:eastAsia="fr-BE"/>
            </w:rPr>
          </w:pPr>
          <w:hyperlink w:anchor="_Toc536609125" w:history="1">
            <w:r w:rsidRPr="00BA6CDB">
              <w:rPr>
                <w:rStyle w:val="Hyperlink"/>
                <w:noProof/>
              </w:rPr>
              <w:t>2.</w:t>
            </w:r>
            <w:r>
              <w:rPr>
                <w:noProof/>
                <w:sz w:val="22"/>
                <w:szCs w:val="22"/>
                <w:lang w:eastAsia="fr-BE"/>
              </w:rPr>
              <w:tab/>
            </w:r>
            <w:r w:rsidRPr="00BA6CDB">
              <w:rPr>
                <w:rStyle w:val="Hyperlink"/>
                <w:noProof/>
              </w:rPr>
              <w:t>Objectif de la mesure</w:t>
            </w:r>
            <w:r>
              <w:rPr>
                <w:noProof/>
                <w:webHidden/>
              </w:rPr>
              <w:tab/>
            </w:r>
            <w:r>
              <w:rPr>
                <w:noProof/>
                <w:webHidden/>
              </w:rPr>
              <w:fldChar w:fldCharType="begin"/>
            </w:r>
            <w:r>
              <w:rPr>
                <w:noProof/>
                <w:webHidden/>
              </w:rPr>
              <w:instrText xml:space="preserve"> PAGEREF _Toc536609125 \h </w:instrText>
            </w:r>
            <w:r>
              <w:rPr>
                <w:noProof/>
                <w:webHidden/>
              </w:rPr>
            </w:r>
            <w:r>
              <w:rPr>
                <w:noProof/>
                <w:webHidden/>
              </w:rPr>
              <w:fldChar w:fldCharType="separate"/>
            </w:r>
            <w:r>
              <w:rPr>
                <w:noProof/>
                <w:webHidden/>
              </w:rPr>
              <w:t>2</w:t>
            </w:r>
            <w:r>
              <w:rPr>
                <w:noProof/>
                <w:webHidden/>
              </w:rPr>
              <w:fldChar w:fldCharType="end"/>
            </w:r>
          </w:hyperlink>
        </w:p>
        <w:p w:rsidR="00A13070" w:rsidRDefault="00A13070">
          <w:pPr>
            <w:pStyle w:val="Inhopg1"/>
            <w:tabs>
              <w:tab w:val="left" w:pos="420"/>
              <w:tab w:val="right" w:leader="dot" w:pos="9062"/>
            </w:tabs>
            <w:rPr>
              <w:noProof/>
              <w:sz w:val="22"/>
              <w:szCs w:val="22"/>
              <w:lang w:eastAsia="fr-BE"/>
            </w:rPr>
          </w:pPr>
          <w:hyperlink w:anchor="_Toc536609126" w:history="1">
            <w:r w:rsidRPr="00BA6CDB">
              <w:rPr>
                <w:rStyle w:val="Hyperlink"/>
                <w:noProof/>
              </w:rPr>
              <w:t>3.</w:t>
            </w:r>
            <w:r>
              <w:rPr>
                <w:noProof/>
                <w:sz w:val="22"/>
                <w:szCs w:val="22"/>
                <w:lang w:eastAsia="fr-BE"/>
              </w:rPr>
              <w:tab/>
            </w:r>
            <w:r w:rsidRPr="00BA6CDB">
              <w:rPr>
                <w:rStyle w:val="Hyperlink"/>
                <w:noProof/>
              </w:rPr>
              <w:t>Utilisation de la subvention</w:t>
            </w:r>
            <w:r>
              <w:rPr>
                <w:noProof/>
                <w:webHidden/>
              </w:rPr>
              <w:tab/>
            </w:r>
            <w:r>
              <w:rPr>
                <w:noProof/>
                <w:webHidden/>
              </w:rPr>
              <w:fldChar w:fldCharType="begin"/>
            </w:r>
            <w:r>
              <w:rPr>
                <w:noProof/>
                <w:webHidden/>
              </w:rPr>
              <w:instrText xml:space="preserve"> PAGEREF _Toc536609126 \h </w:instrText>
            </w:r>
            <w:r>
              <w:rPr>
                <w:noProof/>
                <w:webHidden/>
              </w:rPr>
            </w:r>
            <w:r>
              <w:rPr>
                <w:noProof/>
                <w:webHidden/>
              </w:rPr>
              <w:fldChar w:fldCharType="separate"/>
            </w:r>
            <w:r>
              <w:rPr>
                <w:noProof/>
                <w:webHidden/>
              </w:rPr>
              <w:t>3</w:t>
            </w:r>
            <w:r>
              <w:rPr>
                <w:noProof/>
                <w:webHidden/>
              </w:rPr>
              <w:fldChar w:fldCharType="end"/>
            </w:r>
          </w:hyperlink>
        </w:p>
        <w:p w:rsidR="00A13070" w:rsidRDefault="00A13070">
          <w:pPr>
            <w:pStyle w:val="Inhopg3"/>
            <w:rPr>
              <w:noProof/>
              <w:sz w:val="22"/>
              <w:szCs w:val="22"/>
              <w:lang w:eastAsia="fr-BE"/>
            </w:rPr>
          </w:pPr>
          <w:hyperlink w:anchor="_Toc536609127" w:history="1">
            <w:r w:rsidRPr="00BA6CDB">
              <w:rPr>
                <w:rStyle w:val="Hyperlink"/>
                <w:i/>
                <w:iCs/>
                <w:noProof/>
                <w:lang w:val="fr-FR"/>
              </w:rPr>
              <w:t>Frais de personnel</w:t>
            </w:r>
            <w:r>
              <w:rPr>
                <w:noProof/>
                <w:webHidden/>
              </w:rPr>
              <w:tab/>
            </w:r>
            <w:r>
              <w:rPr>
                <w:noProof/>
                <w:webHidden/>
              </w:rPr>
              <w:fldChar w:fldCharType="begin"/>
            </w:r>
            <w:r>
              <w:rPr>
                <w:noProof/>
                <w:webHidden/>
              </w:rPr>
              <w:instrText xml:space="preserve"> PAGEREF _Toc536609127 \h </w:instrText>
            </w:r>
            <w:r>
              <w:rPr>
                <w:noProof/>
                <w:webHidden/>
              </w:rPr>
            </w:r>
            <w:r>
              <w:rPr>
                <w:noProof/>
                <w:webHidden/>
              </w:rPr>
              <w:fldChar w:fldCharType="separate"/>
            </w:r>
            <w:r>
              <w:rPr>
                <w:noProof/>
                <w:webHidden/>
              </w:rPr>
              <w:t>3</w:t>
            </w:r>
            <w:r>
              <w:rPr>
                <w:noProof/>
                <w:webHidden/>
              </w:rPr>
              <w:fldChar w:fldCharType="end"/>
            </w:r>
          </w:hyperlink>
        </w:p>
        <w:p w:rsidR="00A13070" w:rsidRDefault="00A13070">
          <w:pPr>
            <w:pStyle w:val="Inhopg3"/>
            <w:rPr>
              <w:noProof/>
              <w:sz w:val="22"/>
              <w:szCs w:val="22"/>
              <w:lang w:eastAsia="fr-BE"/>
            </w:rPr>
          </w:pPr>
          <w:hyperlink w:anchor="_Toc536609128" w:history="1">
            <w:r w:rsidRPr="00BA6CDB">
              <w:rPr>
                <w:rStyle w:val="Hyperlink"/>
                <w:i/>
                <w:iCs/>
                <w:noProof/>
                <w:lang w:val="fr-FR"/>
              </w:rPr>
              <w:t>Frais d’accompagnements dans le cadre du PIIS</w:t>
            </w:r>
            <w:r>
              <w:rPr>
                <w:noProof/>
                <w:webHidden/>
              </w:rPr>
              <w:tab/>
            </w:r>
            <w:r>
              <w:rPr>
                <w:noProof/>
                <w:webHidden/>
              </w:rPr>
              <w:fldChar w:fldCharType="begin"/>
            </w:r>
            <w:r>
              <w:rPr>
                <w:noProof/>
                <w:webHidden/>
              </w:rPr>
              <w:instrText xml:space="preserve"> PAGEREF _Toc536609128 \h </w:instrText>
            </w:r>
            <w:r>
              <w:rPr>
                <w:noProof/>
                <w:webHidden/>
              </w:rPr>
            </w:r>
            <w:r>
              <w:rPr>
                <w:noProof/>
                <w:webHidden/>
              </w:rPr>
              <w:fldChar w:fldCharType="separate"/>
            </w:r>
            <w:r>
              <w:rPr>
                <w:noProof/>
                <w:webHidden/>
              </w:rPr>
              <w:t>3</w:t>
            </w:r>
            <w:r>
              <w:rPr>
                <w:noProof/>
                <w:webHidden/>
              </w:rPr>
              <w:fldChar w:fldCharType="end"/>
            </w:r>
          </w:hyperlink>
        </w:p>
        <w:p w:rsidR="00A13070" w:rsidRDefault="00A13070">
          <w:pPr>
            <w:pStyle w:val="Inhopg3"/>
            <w:rPr>
              <w:noProof/>
              <w:sz w:val="22"/>
              <w:szCs w:val="22"/>
              <w:lang w:eastAsia="fr-BE"/>
            </w:rPr>
          </w:pPr>
          <w:hyperlink w:anchor="_Toc536609129" w:history="1">
            <w:r w:rsidRPr="00BA6CDB">
              <w:rPr>
                <w:rStyle w:val="Hyperlink"/>
                <w:i/>
                <w:iCs/>
                <w:noProof/>
                <w:lang w:val="fr-FR"/>
              </w:rPr>
              <w:t>Cumul avec d’autres subventions</w:t>
            </w:r>
            <w:r>
              <w:rPr>
                <w:noProof/>
                <w:webHidden/>
              </w:rPr>
              <w:tab/>
            </w:r>
            <w:r>
              <w:rPr>
                <w:noProof/>
                <w:webHidden/>
              </w:rPr>
              <w:fldChar w:fldCharType="begin"/>
            </w:r>
            <w:r>
              <w:rPr>
                <w:noProof/>
                <w:webHidden/>
              </w:rPr>
              <w:instrText xml:space="preserve"> PAGEREF _Toc536609129 \h </w:instrText>
            </w:r>
            <w:r>
              <w:rPr>
                <w:noProof/>
                <w:webHidden/>
              </w:rPr>
            </w:r>
            <w:r>
              <w:rPr>
                <w:noProof/>
                <w:webHidden/>
              </w:rPr>
              <w:fldChar w:fldCharType="separate"/>
            </w:r>
            <w:r>
              <w:rPr>
                <w:noProof/>
                <w:webHidden/>
              </w:rPr>
              <w:t>6</w:t>
            </w:r>
            <w:r>
              <w:rPr>
                <w:noProof/>
                <w:webHidden/>
              </w:rPr>
              <w:fldChar w:fldCharType="end"/>
            </w:r>
          </w:hyperlink>
        </w:p>
        <w:p w:rsidR="00A13070" w:rsidRDefault="00A13070">
          <w:pPr>
            <w:pStyle w:val="Inhopg1"/>
            <w:tabs>
              <w:tab w:val="left" w:pos="420"/>
              <w:tab w:val="right" w:leader="dot" w:pos="9062"/>
            </w:tabs>
            <w:rPr>
              <w:noProof/>
              <w:sz w:val="22"/>
              <w:szCs w:val="22"/>
              <w:lang w:eastAsia="fr-BE"/>
            </w:rPr>
          </w:pPr>
          <w:hyperlink w:anchor="_Toc536609130" w:history="1">
            <w:r w:rsidRPr="00BA6CDB">
              <w:rPr>
                <w:rStyle w:val="Hyperlink"/>
                <w:noProof/>
                <w:lang w:val="fr-FR"/>
              </w:rPr>
              <w:t>4.</w:t>
            </w:r>
            <w:r>
              <w:rPr>
                <w:noProof/>
                <w:sz w:val="22"/>
                <w:szCs w:val="22"/>
                <w:lang w:eastAsia="fr-BE"/>
              </w:rPr>
              <w:tab/>
            </w:r>
            <w:r w:rsidRPr="00BA6CDB">
              <w:rPr>
                <w:rStyle w:val="Hyperlink"/>
                <w:noProof/>
                <w:lang w:val="fr-FR"/>
              </w:rPr>
              <w:t>Justification de la subvention via le rapport unique</w:t>
            </w:r>
            <w:r>
              <w:rPr>
                <w:noProof/>
                <w:webHidden/>
              </w:rPr>
              <w:tab/>
            </w:r>
            <w:r>
              <w:rPr>
                <w:noProof/>
                <w:webHidden/>
              </w:rPr>
              <w:fldChar w:fldCharType="begin"/>
            </w:r>
            <w:r>
              <w:rPr>
                <w:noProof/>
                <w:webHidden/>
              </w:rPr>
              <w:instrText xml:space="preserve"> PAGEREF _Toc536609130 \h </w:instrText>
            </w:r>
            <w:r>
              <w:rPr>
                <w:noProof/>
                <w:webHidden/>
              </w:rPr>
            </w:r>
            <w:r>
              <w:rPr>
                <w:noProof/>
                <w:webHidden/>
              </w:rPr>
              <w:fldChar w:fldCharType="separate"/>
            </w:r>
            <w:r>
              <w:rPr>
                <w:noProof/>
                <w:webHidden/>
              </w:rPr>
              <w:t>6</w:t>
            </w:r>
            <w:r>
              <w:rPr>
                <w:noProof/>
                <w:webHidden/>
              </w:rPr>
              <w:fldChar w:fldCharType="end"/>
            </w:r>
          </w:hyperlink>
        </w:p>
        <w:p w:rsidR="00A13070" w:rsidRDefault="00A13070">
          <w:pPr>
            <w:pStyle w:val="Inhopg3"/>
            <w:rPr>
              <w:noProof/>
              <w:sz w:val="22"/>
              <w:szCs w:val="22"/>
              <w:lang w:eastAsia="fr-BE"/>
            </w:rPr>
          </w:pPr>
          <w:hyperlink w:anchor="_Toc536609131" w:history="1">
            <w:r w:rsidRPr="00BA6CDB">
              <w:rPr>
                <w:rStyle w:val="Hyperlink"/>
                <w:i/>
                <w:iCs/>
                <w:noProof/>
                <w:lang w:val="fr-FR"/>
              </w:rPr>
              <w:t>Introduire des frais de personnel</w:t>
            </w:r>
            <w:r>
              <w:rPr>
                <w:noProof/>
                <w:webHidden/>
              </w:rPr>
              <w:tab/>
            </w:r>
            <w:r>
              <w:rPr>
                <w:noProof/>
                <w:webHidden/>
              </w:rPr>
              <w:fldChar w:fldCharType="begin"/>
            </w:r>
            <w:r>
              <w:rPr>
                <w:noProof/>
                <w:webHidden/>
              </w:rPr>
              <w:instrText xml:space="preserve"> PAGEREF _Toc536609131 \h </w:instrText>
            </w:r>
            <w:r>
              <w:rPr>
                <w:noProof/>
                <w:webHidden/>
              </w:rPr>
            </w:r>
            <w:r>
              <w:rPr>
                <w:noProof/>
                <w:webHidden/>
              </w:rPr>
              <w:fldChar w:fldCharType="separate"/>
            </w:r>
            <w:r>
              <w:rPr>
                <w:noProof/>
                <w:webHidden/>
              </w:rPr>
              <w:t>7</w:t>
            </w:r>
            <w:r>
              <w:rPr>
                <w:noProof/>
                <w:webHidden/>
              </w:rPr>
              <w:fldChar w:fldCharType="end"/>
            </w:r>
          </w:hyperlink>
        </w:p>
        <w:p w:rsidR="00A13070" w:rsidRDefault="00A13070">
          <w:pPr>
            <w:pStyle w:val="Inhopg3"/>
            <w:rPr>
              <w:noProof/>
              <w:sz w:val="22"/>
              <w:szCs w:val="22"/>
              <w:lang w:eastAsia="fr-BE"/>
            </w:rPr>
          </w:pPr>
          <w:hyperlink w:anchor="_Toc536609132" w:history="1">
            <w:r w:rsidRPr="00BA6CDB">
              <w:rPr>
                <w:rStyle w:val="Hyperlink"/>
                <w:i/>
                <w:iCs/>
                <w:noProof/>
                <w:lang w:val="fr-FR"/>
              </w:rPr>
              <w:t>Introduire des interventions concernant les mesures d’accompagnement</w:t>
            </w:r>
            <w:r>
              <w:rPr>
                <w:noProof/>
                <w:webHidden/>
              </w:rPr>
              <w:tab/>
            </w:r>
            <w:r>
              <w:rPr>
                <w:noProof/>
                <w:webHidden/>
              </w:rPr>
              <w:fldChar w:fldCharType="begin"/>
            </w:r>
            <w:r>
              <w:rPr>
                <w:noProof/>
                <w:webHidden/>
              </w:rPr>
              <w:instrText xml:space="preserve"> PAGEREF _Toc536609132 \h </w:instrText>
            </w:r>
            <w:r>
              <w:rPr>
                <w:noProof/>
                <w:webHidden/>
              </w:rPr>
            </w:r>
            <w:r>
              <w:rPr>
                <w:noProof/>
                <w:webHidden/>
              </w:rPr>
              <w:fldChar w:fldCharType="separate"/>
            </w:r>
            <w:r>
              <w:rPr>
                <w:noProof/>
                <w:webHidden/>
              </w:rPr>
              <w:t>8</w:t>
            </w:r>
            <w:r>
              <w:rPr>
                <w:noProof/>
                <w:webHidden/>
              </w:rPr>
              <w:fldChar w:fldCharType="end"/>
            </w:r>
          </w:hyperlink>
        </w:p>
        <w:p w:rsidR="00A13070" w:rsidRDefault="00A13070">
          <w:pPr>
            <w:pStyle w:val="Inhopg3"/>
            <w:rPr>
              <w:noProof/>
              <w:sz w:val="22"/>
              <w:szCs w:val="22"/>
              <w:lang w:eastAsia="fr-BE"/>
            </w:rPr>
          </w:pPr>
          <w:hyperlink w:anchor="_Toc536609133" w:history="1">
            <w:r w:rsidRPr="00BA6CDB">
              <w:rPr>
                <w:rStyle w:val="Hyperlink"/>
                <w:noProof/>
                <w:lang w:val="fr-FR"/>
              </w:rPr>
              <w:t>Via l’application</w:t>
            </w:r>
            <w:r>
              <w:rPr>
                <w:noProof/>
                <w:webHidden/>
              </w:rPr>
              <w:tab/>
            </w:r>
            <w:r>
              <w:rPr>
                <w:noProof/>
                <w:webHidden/>
              </w:rPr>
              <w:fldChar w:fldCharType="begin"/>
            </w:r>
            <w:r>
              <w:rPr>
                <w:noProof/>
                <w:webHidden/>
              </w:rPr>
              <w:instrText xml:space="preserve"> PAGEREF _Toc536609133 \h </w:instrText>
            </w:r>
            <w:r>
              <w:rPr>
                <w:noProof/>
                <w:webHidden/>
              </w:rPr>
            </w:r>
            <w:r>
              <w:rPr>
                <w:noProof/>
                <w:webHidden/>
              </w:rPr>
              <w:fldChar w:fldCharType="separate"/>
            </w:r>
            <w:r>
              <w:rPr>
                <w:noProof/>
                <w:webHidden/>
              </w:rPr>
              <w:t>8</w:t>
            </w:r>
            <w:r>
              <w:rPr>
                <w:noProof/>
                <w:webHidden/>
              </w:rPr>
              <w:fldChar w:fldCharType="end"/>
            </w:r>
          </w:hyperlink>
        </w:p>
        <w:p w:rsidR="00A13070" w:rsidRDefault="00A13070">
          <w:pPr>
            <w:pStyle w:val="Inhopg3"/>
            <w:rPr>
              <w:noProof/>
              <w:sz w:val="22"/>
              <w:szCs w:val="22"/>
              <w:lang w:eastAsia="fr-BE"/>
            </w:rPr>
          </w:pPr>
          <w:hyperlink w:anchor="_Toc536609134" w:history="1">
            <w:r w:rsidRPr="00BA6CDB">
              <w:rPr>
                <w:rStyle w:val="Hyperlink"/>
                <w:noProof/>
                <w:lang w:val="fr-FR"/>
              </w:rPr>
              <w:t>Encodage via le fichier tableur</w:t>
            </w:r>
            <w:r>
              <w:rPr>
                <w:noProof/>
                <w:webHidden/>
              </w:rPr>
              <w:tab/>
            </w:r>
            <w:r>
              <w:rPr>
                <w:noProof/>
                <w:webHidden/>
              </w:rPr>
              <w:fldChar w:fldCharType="begin"/>
            </w:r>
            <w:r>
              <w:rPr>
                <w:noProof/>
                <w:webHidden/>
              </w:rPr>
              <w:instrText xml:space="preserve"> PAGEREF _Toc536609134 \h </w:instrText>
            </w:r>
            <w:r>
              <w:rPr>
                <w:noProof/>
                <w:webHidden/>
              </w:rPr>
            </w:r>
            <w:r>
              <w:rPr>
                <w:noProof/>
                <w:webHidden/>
              </w:rPr>
              <w:fldChar w:fldCharType="separate"/>
            </w:r>
            <w:r>
              <w:rPr>
                <w:noProof/>
                <w:webHidden/>
              </w:rPr>
              <w:t>10</w:t>
            </w:r>
            <w:r>
              <w:rPr>
                <w:noProof/>
                <w:webHidden/>
              </w:rPr>
              <w:fldChar w:fldCharType="end"/>
            </w:r>
          </w:hyperlink>
        </w:p>
        <w:p w:rsidR="00A13070" w:rsidRDefault="00A13070">
          <w:pPr>
            <w:pStyle w:val="Inhopg3"/>
            <w:rPr>
              <w:noProof/>
              <w:sz w:val="22"/>
              <w:szCs w:val="22"/>
              <w:lang w:eastAsia="fr-BE"/>
            </w:rPr>
          </w:pPr>
          <w:hyperlink w:anchor="_Toc536609135" w:history="1">
            <w:r w:rsidRPr="00BA6CDB">
              <w:rPr>
                <w:rStyle w:val="Hyperlink"/>
                <w:i/>
                <w:iCs/>
                <w:noProof/>
                <w:lang w:val="fr-FR"/>
              </w:rPr>
              <w:t>Récapitulatif</w:t>
            </w:r>
            <w:r>
              <w:rPr>
                <w:noProof/>
                <w:webHidden/>
              </w:rPr>
              <w:tab/>
            </w:r>
            <w:r>
              <w:rPr>
                <w:noProof/>
                <w:webHidden/>
              </w:rPr>
              <w:fldChar w:fldCharType="begin"/>
            </w:r>
            <w:r>
              <w:rPr>
                <w:noProof/>
                <w:webHidden/>
              </w:rPr>
              <w:instrText xml:space="preserve"> PAGEREF _Toc536609135 \h </w:instrText>
            </w:r>
            <w:r>
              <w:rPr>
                <w:noProof/>
                <w:webHidden/>
              </w:rPr>
            </w:r>
            <w:r>
              <w:rPr>
                <w:noProof/>
                <w:webHidden/>
              </w:rPr>
              <w:fldChar w:fldCharType="separate"/>
            </w:r>
            <w:r>
              <w:rPr>
                <w:noProof/>
                <w:webHidden/>
              </w:rPr>
              <w:t>10</w:t>
            </w:r>
            <w:r>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3E5132" w:rsidP="00F7151F">
      <w:pPr>
        <w:pStyle w:val="Stijl1"/>
      </w:pPr>
      <w:bookmarkStart w:id="1" w:name="_Toc536609124"/>
      <w:r>
        <w:lastRenderedPageBreak/>
        <w:t>Base légale</w:t>
      </w:r>
      <w:bookmarkEnd w:id="1"/>
      <w:r w:rsidR="00BD7A6E">
        <w:t xml:space="preserve"> </w:t>
      </w:r>
    </w:p>
    <w:p w:rsidR="0071340D" w:rsidRDefault="0071340D" w:rsidP="00EE3D72">
      <w:pPr>
        <w:spacing w:after="0"/>
        <w:rPr>
          <w:sz w:val="22"/>
          <w:szCs w:val="22"/>
          <w:lang w:val="nl-NL"/>
        </w:rPr>
      </w:pPr>
    </w:p>
    <w:p w:rsidR="00D741B1" w:rsidRPr="00D741B1" w:rsidRDefault="00D741B1" w:rsidP="00C526F0">
      <w:pPr>
        <w:spacing w:after="0" w:line="276" w:lineRule="auto"/>
        <w:jc w:val="both"/>
        <w:rPr>
          <w:sz w:val="22"/>
          <w:szCs w:val="22"/>
          <w:lang w:val="fr-FR"/>
        </w:rPr>
      </w:pPr>
      <w:r w:rsidRPr="00D741B1">
        <w:rPr>
          <w:sz w:val="22"/>
          <w:szCs w:val="22"/>
          <w:lang w:val="fr-FR"/>
        </w:rPr>
        <w:t>La subvention particulière pour les frais d’accompagnement et d’activation dans le cadre d'un projet individualisé d'intégration sociale (PIIS) est inscrite dans l’article 43/2 de la loi du 26 mai 2002 concernant le droit à l’intégration sociale ainsi que les articles 60/1 en 60/2 de l’arrêté royal du 11 juillet 2002 portant règlement général en matière de droit à l’intégration sociale.</w:t>
      </w:r>
    </w:p>
    <w:p w:rsidR="00D741B1" w:rsidRDefault="00D741B1"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La période couverte par la subvention s’étend du 1</w:t>
      </w:r>
      <w:r w:rsidRPr="00D741B1">
        <w:rPr>
          <w:sz w:val="22"/>
          <w:szCs w:val="22"/>
          <w:vertAlign w:val="superscript"/>
          <w:lang w:val="fr-FR"/>
        </w:rPr>
        <w:t>er</w:t>
      </w:r>
      <w:r w:rsidRPr="00D741B1">
        <w:rPr>
          <w:sz w:val="22"/>
          <w:szCs w:val="22"/>
          <w:lang w:val="fr-FR"/>
        </w:rPr>
        <w:t xml:space="preserve"> janvier de l’année en question au 31 décembre de la même année.</w:t>
      </w:r>
    </w:p>
    <w:p w:rsidR="0071340D" w:rsidRPr="00D741B1" w:rsidRDefault="0071340D" w:rsidP="00C526F0">
      <w:pPr>
        <w:spacing w:after="0" w:line="276" w:lineRule="auto"/>
        <w:jc w:val="both"/>
        <w:rPr>
          <w:sz w:val="22"/>
          <w:szCs w:val="22"/>
          <w:lang w:val="fr-FR"/>
        </w:rPr>
      </w:pPr>
    </w:p>
    <w:p w:rsidR="0071340D" w:rsidRPr="00494218" w:rsidRDefault="0071340D"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 xml:space="preserve">Il existe 4 situations dans laquelle on peut bénéficier de cette subvention particulière: </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n’a pas encore bénéficié d’un PIIS (première subvention)</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bénéficie d’un PIIS concernant des études de plein exercice (subvention-étudiant)</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a déjà bénéficié d’un PIIS, mais est particulièrement éloignée d’une intégration sociale et/ou socioprofessionnelle (subvention-prolongation)</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a déjà bénéficié d’un PIIS, mais est particulièrement vulnérable, nécessite une attention particulière de la part du CPAS et n’a pas bénéficié du droit à l’intégration sociale au cours des 12 derniers mois (subvention-2e chance).</w:t>
      </w:r>
    </w:p>
    <w:p w:rsidR="00D741B1" w:rsidRPr="00D741B1" w:rsidRDefault="00D741B1"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La subvention s’élève à 10% du montant du revenu d’intégration sociale octroyé.</w:t>
      </w:r>
    </w:p>
    <w:p w:rsidR="00D741B1" w:rsidRPr="00494218" w:rsidRDefault="00D741B1" w:rsidP="00C526F0">
      <w:pPr>
        <w:spacing w:after="0" w:line="276" w:lineRule="auto"/>
        <w:jc w:val="both"/>
        <w:rPr>
          <w:sz w:val="22"/>
          <w:szCs w:val="22"/>
          <w:lang w:val="fr-FR"/>
        </w:rPr>
      </w:pPr>
    </w:p>
    <w:p w:rsidR="00C526F0" w:rsidRPr="00C526F0" w:rsidRDefault="00C526F0" w:rsidP="00C526F0">
      <w:pPr>
        <w:spacing w:after="0" w:line="276" w:lineRule="auto"/>
        <w:jc w:val="both"/>
        <w:rPr>
          <w:sz w:val="22"/>
          <w:szCs w:val="22"/>
          <w:lang w:val="fr-FR"/>
        </w:rPr>
      </w:pPr>
      <w:r w:rsidRPr="00C526F0">
        <w:rPr>
          <w:sz w:val="22"/>
          <w:szCs w:val="22"/>
          <w:lang w:val="fr-FR"/>
        </w:rPr>
        <w:t>Pour plus d’information sur cette subvention particulière, voir la circulaire</w:t>
      </w:r>
      <w:r>
        <w:rPr>
          <w:sz w:val="22"/>
          <w:szCs w:val="22"/>
          <w:lang w:val="fr-FR"/>
        </w:rPr>
        <w:t xml:space="preserve"> générale concernant la loi du 26 mai 2002 concernant le droit à l’intégration sociale, point 8.1.2.</w:t>
      </w:r>
    </w:p>
    <w:p w:rsidR="00C526F0" w:rsidRDefault="00C526F0" w:rsidP="0079501E">
      <w:pPr>
        <w:spacing w:after="0" w:line="276" w:lineRule="auto"/>
        <w:rPr>
          <w:sz w:val="22"/>
          <w:szCs w:val="22"/>
          <w:lang w:val="fr-FR"/>
        </w:rPr>
      </w:pPr>
    </w:p>
    <w:p w:rsidR="00B25D5C" w:rsidRPr="00494218" w:rsidRDefault="00B25D5C" w:rsidP="0079501E">
      <w:pPr>
        <w:spacing w:after="0" w:line="276" w:lineRule="auto"/>
        <w:rPr>
          <w:sz w:val="22"/>
          <w:szCs w:val="22"/>
          <w:lang w:val="fr-FR"/>
        </w:rPr>
      </w:pPr>
    </w:p>
    <w:p w:rsidR="0071340D" w:rsidRPr="00494218" w:rsidRDefault="0071340D" w:rsidP="0079501E">
      <w:pPr>
        <w:spacing w:after="0" w:line="276" w:lineRule="auto"/>
        <w:rPr>
          <w:sz w:val="22"/>
          <w:szCs w:val="22"/>
          <w:lang w:val="fr-FR"/>
        </w:rPr>
      </w:pPr>
    </w:p>
    <w:p w:rsidR="008E2D46" w:rsidRDefault="001957C7" w:rsidP="00F7151F">
      <w:pPr>
        <w:pStyle w:val="Stijl1"/>
      </w:pPr>
      <w:bookmarkStart w:id="2" w:name="_Toc536609125"/>
      <w:r>
        <w:t>Objectif de la mesure</w:t>
      </w:r>
      <w:bookmarkEnd w:id="2"/>
      <w:r w:rsidR="00880B57">
        <w:t xml:space="preserve"> </w:t>
      </w:r>
    </w:p>
    <w:p w:rsidR="0071340D" w:rsidRDefault="0071340D" w:rsidP="00EE3D72">
      <w:pPr>
        <w:spacing w:after="0"/>
        <w:rPr>
          <w:rFonts w:eastAsia="Calibri"/>
          <w:sz w:val="22"/>
          <w:szCs w:val="22"/>
          <w:lang w:val="nl-NL"/>
        </w:rPr>
      </w:pPr>
    </w:p>
    <w:p w:rsidR="00C526F0" w:rsidRPr="00C526F0" w:rsidRDefault="00C526F0" w:rsidP="000A22E5">
      <w:pPr>
        <w:spacing w:after="0" w:line="276" w:lineRule="auto"/>
        <w:jc w:val="both"/>
        <w:rPr>
          <w:rFonts w:eastAsia="Calibri"/>
          <w:sz w:val="22"/>
          <w:szCs w:val="22"/>
          <w:lang w:val="fr-FR"/>
        </w:rPr>
      </w:pPr>
      <w:r w:rsidRPr="00C526F0">
        <w:rPr>
          <w:rFonts w:eastAsia="Calibri"/>
          <w:sz w:val="22"/>
          <w:szCs w:val="22"/>
          <w:lang w:val="fr-FR"/>
        </w:rPr>
        <w:t>Cette subvention est destinée à soutenir les CPAS à</w:t>
      </w:r>
      <w:r>
        <w:rPr>
          <w:rFonts w:eastAsia="Calibri"/>
          <w:sz w:val="22"/>
          <w:szCs w:val="22"/>
          <w:lang w:val="fr-FR"/>
        </w:rPr>
        <w:t xml:space="preserve"> </w:t>
      </w:r>
      <w:r w:rsidR="000A22E5">
        <w:rPr>
          <w:rFonts w:eastAsia="Calibri"/>
          <w:sz w:val="22"/>
          <w:szCs w:val="22"/>
          <w:lang w:val="fr-FR"/>
        </w:rPr>
        <w:t>rédiger et conclure des contrats individualisé pour l’intégration sociale. Ainsi, la subvention doit être utilisé pour remplir l’objectif pour lequel il a été créé, à savoir couvrir les frais d’accompagnement et d’activation dans le cadre du PIIS.</w:t>
      </w:r>
    </w:p>
    <w:p w:rsidR="00C526F0" w:rsidRDefault="00C526F0" w:rsidP="0079501E">
      <w:pPr>
        <w:spacing w:after="0" w:line="276" w:lineRule="auto"/>
        <w:rPr>
          <w:rFonts w:eastAsia="Calibri"/>
          <w:sz w:val="22"/>
          <w:szCs w:val="22"/>
          <w:lang w:val="fr-FR"/>
        </w:rPr>
      </w:pPr>
    </w:p>
    <w:p w:rsidR="00B25D5C" w:rsidRPr="000A22E5" w:rsidRDefault="00B25D5C" w:rsidP="0079501E">
      <w:pPr>
        <w:spacing w:after="0" w:line="276" w:lineRule="auto"/>
        <w:rPr>
          <w:rFonts w:eastAsia="Calibri"/>
          <w:sz w:val="22"/>
          <w:szCs w:val="22"/>
          <w:lang w:val="fr-FR"/>
        </w:rPr>
      </w:pPr>
    </w:p>
    <w:p w:rsidR="00501F92" w:rsidRPr="000A22E5" w:rsidRDefault="00501F92" w:rsidP="0079501E">
      <w:pPr>
        <w:spacing w:after="0" w:line="276" w:lineRule="auto"/>
        <w:rPr>
          <w:sz w:val="22"/>
          <w:szCs w:val="22"/>
          <w:lang w:val="fr-FR"/>
        </w:rPr>
      </w:pPr>
    </w:p>
    <w:p w:rsidR="00160E8D" w:rsidRPr="000A22E5" w:rsidRDefault="00160E8D" w:rsidP="0079501E">
      <w:pPr>
        <w:pStyle w:val="Lijstalinea"/>
        <w:spacing w:after="0" w:line="276" w:lineRule="auto"/>
        <w:ind w:left="0"/>
        <w:jc w:val="both"/>
        <w:rPr>
          <w:rFonts w:ascii="Calibri" w:eastAsia="Calibri" w:hAnsi="Calibri" w:cs="Times New Roman"/>
          <w:sz w:val="22"/>
          <w:szCs w:val="22"/>
          <w:lang w:val="fr-FR"/>
        </w:rPr>
      </w:pPr>
    </w:p>
    <w:p w:rsidR="00013D67" w:rsidRPr="000A22E5" w:rsidRDefault="00013D67">
      <w:pPr>
        <w:rPr>
          <w:rFonts w:ascii="Calibri" w:eastAsiaTheme="majorEastAsia" w:hAnsi="Calibri" w:cstheme="majorBidi"/>
          <w:b/>
          <w:iCs/>
          <w:caps/>
          <w:color w:val="000000" w:themeColor="text1"/>
          <w:sz w:val="24"/>
          <w:szCs w:val="40"/>
          <w:lang w:val="fr-FR"/>
        </w:rPr>
      </w:pPr>
      <w:r w:rsidRPr="000A22E5">
        <w:rPr>
          <w:lang w:val="fr-FR"/>
        </w:rPr>
        <w:br w:type="page"/>
      </w:r>
    </w:p>
    <w:p w:rsidR="00FE4A3B" w:rsidRDefault="003E5132" w:rsidP="00F7151F">
      <w:pPr>
        <w:pStyle w:val="Stijl1"/>
      </w:pPr>
      <w:bookmarkStart w:id="3" w:name="_Toc536609126"/>
      <w:r>
        <w:t>U</w:t>
      </w:r>
      <w:r w:rsidR="001957C7">
        <w:t>tilisation de la subvention</w:t>
      </w:r>
      <w:bookmarkEnd w:id="3"/>
      <w:r w:rsidR="001957C7">
        <w:t xml:space="preserve"> </w:t>
      </w:r>
    </w:p>
    <w:p w:rsidR="00693628" w:rsidRDefault="00693628" w:rsidP="0079501E">
      <w:pPr>
        <w:spacing w:after="0" w:line="276" w:lineRule="auto"/>
        <w:jc w:val="both"/>
        <w:rPr>
          <w:sz w:val="22"/>
          <w:szCs w:val="22"/>
          <w:lang w:val="nl-NL"/>
        </w:rPr>
      </w:pPr>
    </w:p>
    <w:p w:rsidR="00A4510F" w:rsidRDefault="00A4510F" w:rsidP="0079501E">
      <w:pPr>
        <w:spacing w:after="0" w:line="276" w:lineRule="auto"/>
        <w:rPr>
          <w:rFonts w:eastAsia="Calibri"/>
          <w:sz w:val="22"/>
          <w:szCs w:val="22"/>
          <w:lang w:val="nl-NL"/>
        </w:rPr>
      </w:pPr>
    </w:p>
    <w:p w:rsidR="00B07E9D" w:rsidRPr="00B07E9D" w:rsidRDefault="00B07E9D" w:rsidP="00E365CF">
      <w:pPr>
        <w:spacing w:after="0" w:line="276" w:lineRule="auto"/>
        <w:jc w:val="both"/>
        <w:rPr>
          <w:rFonts w:eastAsia="Calibri"/>
          <w:sz w:val="22"/>
          <w:szCs w:val="22"/>
          <w:lang w:val="fr-FR"/>
        </w:rPr>
      </w:pPr>
      <w:r w:rsidRPr="00B07E9D">
        <w:rPr>
          <w:rFonts w:eastAsia="Calibri"/>
          <w:sz w:val="22"/>
          <w:szCs w:val="22"/>
          <w:lang w:val="fr-FR"/>
        </w:rPr>
        <w:t>Les frais de personnel ainsi que les frais d’accompagnement peuvent être imputés sur le subside.</w:t>
      </w:r>
    </w:p>
    <w:p w:rsidR="00B07E9D" w:rsidRDefault="00B07E9D" w:rsidP="00E365CF">
      <w:pPr>
        <w:spacing w:after="0" w:line="276" w:lineRule="auto"/>
        <w:jc w:val="both"/>
        <w:rPr>
          <w:rFonts w:eastAsia="Calibri"/>
          <w:sz w:val="22"/>
          <w:szCs w:val="22"/>
          <w:lang w:val="fr-FR"/>
        </w:rPr>
      </w:pPr>
    </w:p>
    <w:p w:rsidR="00EC09AE" w:rsidRPr="00EC09AE" w:rsidRDefault="00B07E9D" w:rsidP="00E365CF">
      <w:pPr>
        <w:spacing w:after="0" w:line="276" w:lineRule="auto"/>
        <w:jc w:val="both"/>
        <w:rPr>
          <w:rFonts w:eastAsia="Calibri"/>
          <w:sz w:val="22"/>
          <w:szCs w:val="22"/>
          <w:lang w:val="fr-FR"/>
        </w:rPr>
      </w:pPr>
      <w:r w:rsidRPr="00EC09AE">
        <w:rPr>
          <w:rFonts w:eastAsia="Calibri"/>
          <w:sz w:val="22"/>
          <w:szCs w:val="22"/>
          <w:lang w:val="fr-FR"/>
        </w:rPr>
        <w:t>Le principe général: les coûts doivent être encourus en vue d’accompagner les ayants droit lors de l</w:t>
      </w:r>
      <w:r w:rsidR="00EC09AE">
        <w:rPr>
          <w:rFonts w:eastAsia="Calibri"/>
          <w:sz w:val="22"/>
          <w:szCs w:val="22"/>
          <w:lang w:val="fr-FR"/>
        </w:rPr>
        <w:t xml:space="preserve">’élaboration </w:t>
      </w:r>
      <w:r w:rsidR="00EC09AE" w:rsidRPr="00EC09AE">
        <w:rPr>
          <w:rFonts w:eastAsia="Calibri"/>
          <w:sz w:val="22"/>
          <w:szCs w:val="22"/>
          <w:lang w:val="fr-FR"/>
        </w:rPr>
        <w:t xml:space="preserve">du PIIS et lors de la réalisation des objectifs et des </w:t>
      </w:r>
      <w:r w:rsidR="00EC09AE">
        <w:rPr>
          <w:rFonts w:eastAsia="Calibri"/>
          <w:sz w:val="22"/>
          <w:szCs w:val="22"/>
          <w:lang w:val="fr-FR"/>
        </w:rPr>
        <w:t>ententes, comme repris dans le PIIS.</w:t>
      </w:r>
    </w:p>
    <w:p w:rsidR="00EC09AE" w:rsidRDefault="00230500" w:rsidP="00E365CF">
      <w:pPr>
        <w:spacing w:after="0" w:line="276" w:lineRule="auto"/>
        <w:jc w:val="both"/>
        <w:rPr>
          <w:rFonts w:eastAsia="Calibri"/>
          <w:sz w:val="22"/>
          <w:szCs w:val="22"/>
          <w:lang w:val="fr-FR"/>
        </w:rPr>
      </w:pPr>
      <w:r w:rsidRPr="00EC09AE">
        <w:rPr>
          <w:rFonts w:eastAsia="Calibri"/>
          <w:sz w:val="22"/>
          <w:szCs w:val="22"/>
          <w:lang w:val="fr-FR"/>
        </w:rPr>
        <w:t>Il devrait donc y avoir un lien direct entre les coûts et l’accompagnement dans le cadre des PIIS.</w:t>
      </w:r>
    </w:p>
    <w:p w:rsidR="00230500" w:rsidRDefault="00230500" w:rsidP="00E365CF">
      <w:pPr>
        <w:spacing w:after="0" w:line="276" w:lineRule="auto"/>
        <w:jc w:val="both"/>
        <w:rPr>
          <w:rFonts w:eastAsia="Calibri"/>
          <w:sz w:val="22"/>
          <w:szCs w:val="22"/>
          <w:lang w:val="fr-FR"/>
        </w:rPr>
      </w:pPr>
    </w:p>
    <w:p w:rsidR="00E365CF" w:rsidRDefault="00230500" w:rsidP="00E365CF">
      <w:pPr>
        <w:spacing w:after="0" w:line="276" w:lineRule="auto"/>
        <w:jc w:val="both"/>
        <w:rPr>
          <w:sz w:val="22"/>
          <w:szCs w:val="22"/>
          <w:lang w:val="fr-FR"/>
        </w:rPr>
      </w:pPr>
      <w:r w:rsidRPr="00E365CF">
        <w:rPr>
          <w:sz w:val="22"/>
          <w:szCs w:val="22"/>
          <w:lang w:val="fr-FR"/>
        </w:rPr>
        <w:t>Les coûts que le CPAS doit prendre en charge</w:t>
      </w:r>
      <w:r w:rsidR="00E365CF" w:rsidRPr="00E365CF">
        <w:rPr>
          <w:sz w:val="22"/>
          <w:szCs w:val="22"/>
          <w:lang w:val="fr-FR"/>
        </w:rPr>
        <w:t xml:space="preserve"> légalement</w:t>
      </w:r>
      <w:r w:rsidRPr="00E365CF">
        <w:rPr>
          <w:sz w:val="22"/>
          <w:szCs w:val="22"/>
          <w:lang w:val="fr-FR"/>
        </w:rPr>
        <w:t>, car ça fait partie de sa mission légale,</w:t>
      </w:r>
      <w:r w:rsidR="00E365CF" w:rsidRPr="00E365CF">
        <w:rPr>
          <w:sz w:val="22"/>
          <w:szCs w:val="22"/>
          <w:lang w:val="fr-FR"/>
        </w:rPr>
        <w:t xml:space="preserve"> n’entrent pas en ligne de compte pour la subvention particulière dans le cadre du PIIS.</w:t>
      </w:r>
    </w:p>
    <w:p w:rsidR="00E365CF" w:rsidRDefault="00E365CF" w:rsidP="00E365CF">
      <w:pPr>
        <w:spacing w:after="0" w:line="276" w:lineRule="auto"/>
        <w:jc w:val="both"/>
        <w:rPr>
          <w:sz w:val="22"/>
          <w:szCs w:val="22"/>
          <w:lang w:val="fr-FR"/>
        </w:rPr>
      </w:pPr>
    </w:p>
    <w:p w:rsidR="00E365CF" w:rsidRPr="00E365CF" w:rsidRDefault="00E365CF" w:rsidP="00E365CF">
      <w:pPr>
        <w:spacing w:after="0" w:line="276" w:lineRule="auto"/>
        <w:jc w:val="both"/>
        <w:rPr>
          <w:rFonts w:eastAsia="Calibri"/>
          <w:sz w:val="22"/>
          <w:szCs w:val="22"/>
          <w:lang w:val="fr-FR"/>
        </w:rPr>
      </w:pPr>
      <w:r w:rsidRPr="00E365CF">
        <w:rPr>
          <w:rFonts w:eastAsia="Calibri"/>
          <w:sz w:val="22"/>
          <w:szCs w:val="22"/>
          <w:lang w:val="fr-FR"/>
        </w:rPr>
        <w:t>Notez que</w:t>
      </w:r>
      <w:r>
        <w:rPr>
          <w:rFonts w:eastAsia="Calibri"/>
          <w:sz w:val="22"/>
          <w:szCs w:val="22"/>
          <w:lang w:val="fr-FR"/>
        </w:rPr>
        <w:t xml:space="preserve"> </w:t>
      </w:r>
      <w:r w:rsidRPr="00E365CF">
        <w:rPr>
          <w:rFonts w:eastAsia="Calibri"/>
          <w:sz w:val="22"/>
          <w:szCs w:val="22"/>
          <w:lang w:val="fr-FR"/>
        </w:rPr>
        <w:t xml:space="preserve">la subvention particulière qui a été reçu pour la personne X, ne doit pas nécessairement être dépensé au profit de la personne X. C’est bien la </w:t>
      </w:r>
      <w:r>
        <w:rPr>
          <w:rFonts w:eastAsia="Calibri"/>
          <w:sz w:val="22"/>
          <w:szCs w:val="22"/>
          <w:lang w:val="fr-FR"/>
        </w:rPr>
        <w:t xml:space="preserve"> somme totale qui doit être dépensée à l’accompagnement sous forme de frais de personnel et frais d’accompagnement.</w:t>
      </w:r>
    </w:p>
    <w:p w:rsidR="00E365CF" w:rsidRDefault="00E365CF" w:rsidP="0079501E">
      <w:pPr>
        <w:spacing w:after="0" w:line="276" w:lineRule="auto"/>
        <w:rPr>
          <w:rFonts w:eastAsia="Calibri"/>
          <w:sz w:val="22"/>
          <w:szCs w:val="22"/>
          <w:lang w:val="fr-FR"/>
        </w:rPr>
      </w:pPr>
    </w:p>
    <w:p w:rsidR="00013D67" w:rsidRPr="00494218" w:rsidRDefault="00013D67" w:rsidP="0079501E">
      <w:pPr>
        <w:spacing w:after="0" w:line="276" w:lineRule="auto"/>
        <w:rPr>
          <w:rFonts w:eastAsia="Calibri"/>
          <w:sz w:val="22"/>
          <w:szCs w:val="22"/>
          <w:lang w:val="fr-FR"/>
        </w:rPr>
      </w:pPr>
    </w:p>
    <w:p w:rsidR="000A3F29" w:rsidRPr="00494218" w:rsidRDefault="000A3F29" w:rsidP="0079501E">
      <w:pPr>
        <w:spacing w:after="0" w:line="276" w:lineRule="auto"/>
        <w:rPr>
          <w:rFonts w:eastAsia="Calibri"/>
          <w:sz w:val="22"/>
          <w:szCs w:val="22"/>
          <w:lang w:val="fr-FR"/>
        </w:rPr>
      </w:pPr>
    </w:p>
    <w:p w:rsidR="00013D67" w:rsidRPr="00964D82" w:rsidRDefault="001957C7" w:rsidP="0079501E">
      <w:pPr>
        <w:pStyle w:val="Kop3"/>
        <w:rPr>
          <w:rStyle w:val="Subtielebenadrukking"/>
          <w:lang w:val="fr-FR"/>
        </w:rPr>
      </w:pPr>
      <w:bookmarkStart w:id="4" w:name="_Toc536609127"/>
      <w:r w:rsidRPr="00964D82">
        <w:rPr>
          <w:rStyle w:val="Subtielebenadrukking"/>
          <w:lang w:val="fr-FR"/>
        </w:rPr>
        <w:t>Frais de personnel</w:t>
      </w:r>
      <w:bookmarkEnd w:id="4"/>
    </w:p>
    <w:p w:rsidR="006F1484" w:rsidRPr="00964D82" w:rsidRDefault="006F1484" w:rsidP="006F1484">
      <w:pPr>
        <w:spacing w:after="0" w:line="276" w:lineRule="auto"/>
        <w:rPr>
          <w:rFonts w:eastAsia="Calibri"/>
          <w:sz w:val="22"/>
          <w:szCs w:val="22"/>
          <w:lang w:val="fr-FR"/>
        </w:rPr>
      </w:pPr>
    </w:p>
    <w:p w:rsidR="006F1484" w:rsidRPr="00964D82" w:rsidRDefault="00964D82" w:rsidP="006F1484">
      <w:pPr>
        <w:spacing w:after="0" w:line="276" w:lineRule="auto"/>
        <w:rPr>
          <w:rFonts w:eastAsia="Calibri"/>
          <w:b/>
          <w:sz w:val="22"/>
          <w:szCs w:val="22"/>
          <w:lang w:val="fr-FR"/>
        </w:rPr>
      </w:pPr>
      <w:r w:rsidRPr="00964D82">
        <w:rPr>
          <w:rFonts w:eastAsia="Calibri"/>
          <w:b/>
          <w:sz w:val="22"/>
          <w:szCs w:val="22"/>
          <w:lang w:val="fr-FR"/>
        </w:rPr>
        <w:t xml:space="preserve">Entrent en ligne de compte pour le subvention particulière: </w:t>
      </w:r>
    </w:p>
    <w:p w:rsidR="00964D82" w:rsidRPr="00964D82" w:rsidRDefault="00964D82" w:rsidP="006F1484">
      <w:pPr>
        <w:pStyle w:val="Lijstalinea"/>
        <w:numPr>
          <w:ilvl w:val="0"/>
          <w:numId w:val="28"/>
        </w:numPr>
        <w:spacing w:after="0" w:line="276" w:lineRule="auto"/>
        <w:rPr>
          <w:rFonts w:eastAsia="Calibri"/>
          <w:sz w:val="22"/>
          <w:szCs w:val="22"/>
          <w:lang w:val="fr-FR"/>
        </w:rPr>
      </w:pPr>
      <w:r w:rsidRPr="00964D82">
        <w:rPr>
          <w:rFonts w:eastAsia="Calibri"/>
          <w:sz w:val="22"/>
          <w:szCs w:val="22"/>
          <w:lang w:val="fr-FR"/>
        </w:rPr>
        <w:t xml:space="preserve">Les frais de personnels des travailleurs sociaux qui prennent effectivement en charge l’accompagnement et l’activation des </w:t>
      </w:r>
      <w:r>
        <w:rPr>
          <w:rFonts w:eastAsia="Calibri"/>
          <w:sz w:val="22"/>
          <w:szCs w:val="22"/>
          <w:lang w:val="fr-FR"/>
        </w:rPr>
        <w:t xml:space="preserve">personnes </w:t>
      </w:r>
      <w:r w:rsidRPr="00964D82">
        <w:rPr>
          <w:rFonts w:eastAsia="Calibri"/>
          <w:sz w:val="22"/>
          <w:szCs w:val="22"/>
          <w:lang w:val="fr-FR"/>
        </w:rPr>
        <w:t>ayants</w:t>
      </w:r>
      <w:r>
        <w:rPr>
          <w:rFonts w:eastAsia="Calibri"/>
          <w:sz w:val="22"/>
          <w:szCs w:val="22"/>
          <w:lang w:val="fr-FR"/>
        </w:rPr>
        <w:t xml:space="preserve"> conclu un PIIS</w:t>
      </w:r>
    </w:p>
    <w:p w:rsidR="00964D82" w:rsidRPr="00964D82" w:rsidRDefault="00964D82" w:rsidP="006F1484">
      <w:pPr>
        <w:pStyle w:val="Lijstalinea"/>
        <w:numPr>
          <w:ilvl w:val="0"/>
          <w:numId w:val="28"/>
        </w:numPr>
        <w:spacing w:after="0" w:line="276" w:lineRule="auto"/>
        <w:rPr>
          <w:rFonts w:eastAsia="Calibri"/>
          <w:sz w:val="22"/>
          <w:szCs w:val="22"/>
          <w:lang w:val="fr-FR"/>
        </w:rPr>
      </w:pPr>
      <w:r w:rsidRPr="00964D82">
        <w:rPr>
          <w:rFonts w:eastAsia="Calibri"/>
          <w:sz w:val="22"/>
          <w:szCs w:val="22"/>
          <w:lang w:val="fr-FR"/>
        </w:rPr>
        <w:t xml:space="preserve">Les frais de formation des travailleurs sociaux pour autant que la formation </w:t>
      </w:r>
      <w:r>
        <w:rPr>
          <w:rFonts w:eastAsia="Calibri"/>
          <w:sz w:val="22"/>
          <w:szCs w:val="22"/>
          <w:lang w:val="fr-FR"/>
        </w:rPr>
        <w:t>est directement liée à l</w:t>
      </w:r>
      <w:r w:rsidRPr="00964D82">
        <w:rPr>
          <w:rFonts w:eastAsia="Calibri"/>
          <w:sz w:val="22"/>
          <w:szCs w:val="22"/>
          <w:lang w:val="fr-FR"/>
        </w:rPr>
        <w:t>’élaboration, le négociation et la conclusion d’un PIIS</w:t>
      </w:r>
    </w:p>
    <w:p w:rsidR="00964D82" w:rsidRPr="00964D82" w:rsidRDefault="00964D82" w:rsidP="00D2182E">
      <w:pPr>
        <w:pStyle w:val="Lijstalinea"/>
        <w:spacing w:after="0" w:line="276" w:lineRule="auto"/>
        <w:rPr>
          <w:rFonts w:eastAsia="Calibri"/>
          <w:sz w:val="22"/>
          <w:szCs w:val="22"/>
          <w:lang w:val="fr-FR"/>
        </w:rPr>
      </w:pPr>
    </w:p>
    <w:p w:rsidR="006F1484" w:rsidRPr="00494218" w:rsidRDefault="006F1484" w:rsidP="006F1484">
      <w:pPr>
        <w:spacing w:after="0" w:line="276" w:lineRule="auto"/>
        <w:rPr>
          <w:rFonts w:eastAsia="Calibri"/>
          <w:sz w:val="22"/>
          <w:szCs w:val="22"/>
          <w:lang w:val="fr-FR"/>
        </w:rPr>
      </w:pPr>
    </w:p>
    <w:p w:rsidR="006F1484" w:rsidRPr="008716AD" w:rsidRDefault="00D2182E" w:rsidP="006F1484">
      <w:pPr>
        <w:spacing w:after="0" w:line="276" w:lineRule="auto"/>
        <w:rPr>
          <w:rFonts w:eastAsia="Calibri"/>
          <w:b/>
          <w:sz w:val="22"/>
          <w:szCs w:val="22"/>
          <w:lang w:val="fr-FR"/>
        </w:rPr>
      </w:pPr>
      <w:r w:rsidRPr="008716AD">
        <w:rPr>
          <w:rFonts w:eastAsia="Calibri"/>
          <w:b/>
          <w:sz w:val="22"/>
          <w:szCs w:val="22"/>
          <w:lang w:val="fr-FR"/>
        </w:rPr>
        <w:t xml:space="preserve">N’entrent pas en </w:t>
      </w:r>
      <w:r w:rsidR="008716AD" w:rsidRPr="008716AD">
        <w:rPr>
          <w:rFonts w:eastAsia="Calibri"/>
          <w:b/>
          <w:sz w:val="22"/>
          <w:szCs w:val="22"/>
          <w:lang w:val="fr-FR"/>
        </w:rPr>
        <w:t xml:space="preserve">ligne de compte pour la subvention particulière: </w:t>
      </w:r>
    </w:p>
    <w:p w:rsidR="008716AD" w:rsidRPr="008716AD" w:rsidRDefault="008716AD" w:rsidP="00A4510F">
      <w:pPr>
        <w:pStyle w:val="Lijstalinea"/>
        <w:numPr>
          <w:ilvl w:val="0"/>
          <w:numId w:val="29"/>
        </w:numPr>
        <w:spacing w:after="0" w:line="276" w:lineRule="auto"/>
        <w:rPr>
          <w:rFonts w:eastAsia="Calibri"/>
          <w:sz w:val="22"/>
          <w:szCs w:val="22"/>
          <w:lang w:val="fr-FR"/>
        </w:rPr>
      </w:pPr>
      <w:r w:rsidRPr="008716AD">
        <w:rPr>
          <w:rFonts w:eastAsia="Calibri"/>
          <w:sz w:val="22"/>
          <w:szCs w:val="22"/>
          <w:lang w:val="fr-FR"/>
        </w:rPr>
        <w:t>Les frais de personnel du personnel administratif ou personnel cadre</w:t>
      </w:r>
    </w:p>
    <w:p w:rsidR="008716AD" w:rsidRDefault="008716AD" w:rsidP="00A4510F">
      <w:pPr>
        <w:pStyle w:val="Lijstalinea"/>
        <w:numPr>
          <w:ilvl w:val="0"/>
          <w:numId w:val="29"/>
        </w:numPr>
        <w:spacing w:after="0" w:line="276" w:lineRule="auto"/>
        <w:rPr>
          <w:rFonts w:eastAsia="Calibri"/>
          <w:sz w:val="22"/>
          <w:szCs w:val="22"/>
          <w:lang w:val="fr-FR"/>
        </w:rPr>
      </w:pPr>
      <w:r>
        <w:rPr>
          <w:rFonts w:eastAsia="Calibri"/>
          <w:sz w:val="22"/>
          <w:szCs w:val="22"/>
          <w:lang w:val="fr-FR"/>
        </w:rPr>
        <w:t>Les frais de personnel des travailleurs sociaux qui ne travaillent pas dans le cadre des PIIS</w:t>
      </w:r>
    </w:p>
    <w:p w:rsidR="0079501E" w:rsidRPr="00494218" w:rsidRDefault="0079501E" w:rsidP="0079501E">
      <w:pPr>
        <w:spacing w:after="0" w:line="276" w:lineRule="auto"/>
        <w:rPr>
          <w:rFonts w:eastAsia="Calibri"/>
          <w:sz w:val="22"/>
          <w:szCs w:val="22"/>
          <w:lang w:val="fr-FR"/>
        </w:rPr>
      </w:pPr>
    </w:p>
    <w:p w:rsidR="0079501E" w:rsidRPr="00494218" w:rsidRDefault="0079501E" w:rsidP="0079501E">
      <w:pPr>
        <w:spacing w:after="0" w:line="276" w:lineRule="auto"/>
        <w:rPr>
          <w:rFonts w:eastAsia="Calibri"/>
          <w:sz w:val="22"/>
          <w:szCs w:val="22"/>
          <w:lang w:val="fr-FR"/>
        </w:rPr>
      </w:pPr>
    </w:p>
    <w:p w:rsidR="00431B4C" w:rsidRDefault="00424B0A" w:rsidP="00424B0A">
      <w:pPr>
        <w:pStyle w:val="Kop3"/>
        <w:rPr>
          <w:rStyle w:val="Subtielebenadrukking"/>
          <w:lang w:val="fr-FR"/>
        </w:rPr>
      </w:pPr>
      <w:bookmarkStart w:id="5" w:name="_Toc536609128"/>
      <w:r>
        <w:rPr>
          <w:rStyle w:val="Subtielebenadrukking"/>
          <w:lang w:val="fr-FR"/>
        </w:rPr>
        <w:t>F</w:t>
      </w:r>
      <w:r w:rsidRPr="00424B0A">
        <w:rPr>
          <w:rStyle w:val="Subtielebenadrukking"/>
          <w:lang w:val="fr-FR"/>
        </w:rPr>
        <w:t>rais d’accompagnements dans le cadre du PIIS</w:t>
      </w:r>
      <w:bookmarkEnd w:id="5"/>
    </w:p>
    <w:p w:rsidR="00424B0A" w:rsidRPr="00424B0A" w:rsidRDefault="00424B0A" w:rsidP="00424B0A">
      <w:pPr>
        <w:rPr>
          <w:lang w:val="fr-FR"/>
        </w:rPr>
      </w:pPr>
    </w:p>
    <w:p w:rsidR="00D603A3" w:rsidRPr="00D603A3" w:rsidRDefault="00902A4A" w:rsidP="0079501E">
      <w:pPr>
        <w:spacing w:after="0" w:line="276" w:lineRule="auto"/>
        <w:rPr>
          <w:rFonts w:eastAsia="Calibri"/>
          <w:sz w:val="22"/>
          <w:szCs w:val="22"/>
          <w:lang w:val="fr-FR"/>
        </w:rPr>
      </w:pPr>
      <w:r w:rsidRPr="00D603A3">
        <w:rPr>
          <w:rFonts w:eastAsia="Calibri"/>
          <w:sz w:val="22"/>
          <w:szCs w:val="22"/>
          <w:lang w:val="fr-FR"/>
        </w:rPr>
        <w:t>Le principe général</w:t>
      </w:r>
      <w:r w:rsidR="00431B4C" w:rsidRPr="00D603A3">
        <w:rPr>
          <w:rFonts w:eastAsia="Calibri"/>
          <w:sz w:val="22"/>
          <w:szCs w:val="22"/>
          <w:lang w:val="fr-FR"/>
        </w:rPr>
        <w:t xml:space="preserve">: </w:t>
      </w:r>
      <w:r w:rsidRPr="00D603A3">
        <w:rPr>
          <w:rFonts w:eastAsia="Calibri"/>
          <w:sz w:val="22"/>
          <w:szCs w:val="22"/>
          <w:lang w:val="fr-FR"/>
        </w:rPr>
        <w:t xml:space="preserve">les frais qui contribuent </w:t>
      </w:r>
      <w:r w:rsidR="00D603A3" w:rsidRPr="00D603A3">
        <w:rPr>
          <w:rFonts w:eastAsia="Calibri"/>
          <w:sz w:val="22"/>
          <w:szCs w:val="22"/>
          <w:lang w:val="fr-FR"/>
        </w:rPr>
        <w:t>à la réalisation des ob</w:t>
      </w:r>
      <w:r w:rsidRPr="00D603A3">
        <w:rPr>
          <w:rFonts w:eastAsia="Calibri"/>
          <w:sz w:val="22"/>
          <w:szCs w:val="22"/>
          <w:lang w:val="fr-FR"/>
        </w:rPr>
        <w:t>j</w:t>
      </w:r>
      <w:r w:rsidR="00D603A3">
        <w:rPr>
          <w:rFonts w:eastAsia="Calibri"/>
          <w:sz w:val="22"/>
          <w:szCs w:val="22"/>
          <w:lang w:val="fr-FR"/>
        </w:rPr>
        <w:t>e</w:t>
      </w:r>
      <w:r w:rsidRPr="00D603A3">
        <w:rPr>
          <w:rFonts w:eastAsia="Calibri"/>
          <w:sz w:val="22"/>
          <w:szCs w:val="22"/>
          <w:lang w:val="fr-FR"/>
        </w:rPr>
        <w:t>ctifs</w:t>
      </w:r>
      <w:r w:rsidR="00D603A3" w:rsidRPr="00D603A3">
        <w:rPr>
          <w:rFonts w:eastAsia="Calibri"/>
          <w:sz w:val="22"/>
          <w:szCs w:val="22"/>
          <w:lang w:val="fr-FR"/>
        </w:rPr>
        <w:t xml:space="preserve"> et à respecter les engagements, repris dans l</w:t>
      </w:r>
      <w:r w:rsidR="00D603A3">
        <w:rPr>
          <w:rFonts w:eastAsia="Calibri"/>
          <w:sz w:val="22"/>
          <w:szCs w:val="22"/>
          <w:lang w:val="fr-FR"/>
        </w:rPr>
        <w:t>e</w:t>
      </w:r>
      <w:r w:rsidR="00D603A3" w:rsidRPr="00D603A3">
        <w:rPr>
          <w:rFonts w:eastAsia="Calibri"/>
          <w:sz w:val="22"/>
          <w:szCs w:val="22"/>
          <w:lang w:val="fr-FR"/>
        </w:rPr>
        <w:t xml:space="preserve"> PIIS</w:t>
      </w:r>
      <w:r w:rsidR="00D603A3">
        <w:rPr>
          <w:rFonts w:eastAsia="Calibri"/>
          <w:sz w:val="22"/>
          <w:szCs w:val="22"/>
          <w:lang w:val="fr-FR"/>
        </w:rPr>
        <w:t>.</w:t>
      </w:r>
    </w:p>
    <w:p w:rsidR="00431B4C" w:rsidRPr="00D603A3" w:rsidRDefault="00431B4C" w:rsidP="0079501E">
      <w:pPr>
        <w:spacing w:after="0" w:line="276" w:lineRule="auto"/>
        <w:rPr>
          <w:rFonts w:eastAsia="Calibri"/>
          <w:sz w:val="22"/>
          <w:szCs w:val="22"/>
          <w:lang w:val="fr-FR"/>
        </w:rPr>
      </w:pPr>
    </w:p>
    <w:p w:rsidR="00454E89" w:rsidRPr="00454E89" w:rsidRDefault="00454E89" w:rsidP="00A4510F">
      <w:pPr>
        <w:spacing w:after="0" w:line="276" w:lineRule="auto"/>
        <w:jc w:val="both"/>
        <w:rPr>
          <w:sz w:val="22"/>
          <w:szCs w:val="22"/>
          <w:lang w:val="fr-FR"/>
        </w:rPr>
      </w:pPr>
      <w:r>
        <w:rPr>
          <w:sz w:val="22"/>
          <w:szCs w:val="22"/>
          <w:lang w:val="fr-FR"/>
        </w:rPr>
        <w:t>Voir à cet égard l</w:t>
      </w:r>
      <w:r w:rsidRPr="00454E89">
        <w:rPr>
          <w:sz w:val="22"/>
          <w:szCs w:val="22"/>
          <w:lang w:val="fr-FR"/>
        </w:rPr>
        <w:t>’</w:t>
      </w:r>
      <w:r>
        <w:rPr>
          <w:sz w:val="22"/>
          <w:szCs w:val="22"/>
          <w:lang w:val="fr-FR"/>
        </w:rPr>
        <w:t>a</w:t>
      </w:r>
      <w:r w:rsidRPr="00454E89">
        <w:rPr>
          <w:sz w:val="22"/>
          <w:szCs w:val="22"/>
          <w:lang w:val="fr-FR"/>
        </w:rPr>
        <w:t xml:space="preserve">rticle 11, </w:t>
      </w:r>
      <w:r w:rsidR="00A4510F" w:rsidRPr="00454E89">
        <w:rPr>
          <w:sz w:val="22"/>
          <w:szCs w:val="22"/>
          <w:lang w:val="fr-FR"/>
        </w:rPr>
        <w:t xml:space="preserve">§ 3, </w:t>
      </w:r>
      <w:r w:rsidRPr="00454E89">
        <w:rPr>
          <w:sz w:val="22"/>
          <w:szCs w:val="22"/>
          <w:lang w:val="fr-FR"/>
        </w:rPr>
        <w:t>2</w:t>
      </w:r>
      <w:r w:rsidRPr="00454E89">
        <w:rPr>
          <w:sz w:val="22"/>
          <w:szCs w:val="22"/>
          <w:vertAlign w:val="superscript"/>
          <w:lang w:val="fr-FR"/>
        </w:rPr>
        <w:t>e</w:t>
      </w:r>
      <w:r w:rsidRPr="00454E89">
        <w:rPr>
          <w:sz w:val="22"/>
          <w:szCs w:val="22"/>
          <w:lang w:val="fr-FR"/>
        </w:rPr>
        <w:t xml:space="preserve"> alinéa de l’arrêté royale du 11 juillet 2002 portant règlement général en matière de droit à l’intégration sociale:</w:t>
      </w:r>
    </w:p>
    <w:p w:rsidR="00454E89" w:rsidRDefault="00454E89" w:rsidP="00A4510F">
      <w:pPr>
        <w:spacing w:after="0" w:line="276" w:lineRule="auto"/>
        <w:jc w:val="both"/>
        <w:rPr>
          <w:sz w:val="22"/>
          <w:szCs w:val="22"/>
          <w:lang w:val="fr-FR"/>
        </w:rPr>
      </w:pPr>
    </w:p>
    <w:p w:rsidR="00454E89" w:rsidRPr="00454E89" w:rsidRDefault="00A4510F" w:rsidP="00A4510F">
      <w:pPr>
        <w:spacing w:after="0" w:line="276" w:lineRule="auto"/>
        <w:jc w:val="both"/>
        <w:rPr>
          <w:sz w:val="22"/>
          <w:szCs w:val="22"/>
          <w:lang w:val="fr-FR"/>
        </w:rPr>
      </w:pPr>
      <w:r w:rsidRPr="00454E89">
        <w:rPr>
          <w:sz w:val="22"/>
          <w:szCs w:val="22"/>
          <w:lang w:val="fr-FR"/>
        </w:rPr>
        <w:t>“</w:t>
      </w:r>
      <w:r w:rsidR="00D603A3" w:rsidRPr="00454E89">
        <w:rPr>
          <w:sz w:val="22"/>
          <w:szCs w:val="22"/>
          <w:lang w:val="fr-FR"/>
        </w:rPr>
        <w:t>Le contrat détermine la mesure et les conditions dans lesquelles le centre octroie, le cas échéant, une prime d’encouragement comme aide sociale complémentaire</w:t>
      </w:r>
      <w:r w:rsidR="00454E89" w:rsidRPr="00454E89">
        <w:rPr>
          <w:sz w:val="22"/>
          <w:szCs w:val="22"/>
          <w:lang w:val="fr-FR"/>
        </w:rPr>
        <w:t xml:space="preserve"> </w:t>
      </w:r>
      <w:r w:rsidR="00D603A3" w:rsidRPr="00454E89">
        <w:rPr>
          <w:sz w:val="22"/>
          <w:szCs w:val="22"/>
          <w:lang w:val="fr-FR"/>
        </w:rPr>
        <w:t>à l’</w:t>
      </w:r>
      <w:r w:rsidR="00454E89" w:rsidRPr="00454E89">
        <w:rPr>
          <w:sz w:val="22"/>
          <w:szCs w:val="22"/>
          <w:lang w:val="fr-FR"/>
        </w:rPr>
        <w:t>intéressé</w:t>
      </w:r>
      <w:r w:rsidR="00D603A3" w:rsidRPr="00454E89">
        <w:rPr>
          <w:sz w:val="22"/>
          <w:szCs w:val="22"/>
          <w:lang w:val="fr-FR"/>
        </w:rPr>
        <w:t xml:space="preserve"> et prévoit qu’au moins les frais d’inscription, les assurances éventuelles, les frais de vêtements de travail adaptés et les frais de déplacement propre à une formation et/ou l’acquisition d’une expérience professionnelle soient couvert par le centre, sauf s’ils sont pris en c</w:t>
      </w:r>
      <w:r w:rsidR="00454E89">
        <w:rPr>
          <w:sz w:val="22"/>
          <w:szCs w:val="22"/>
          <w:lang w:val="fr-FR"/>
        </w:rPr>
        <w:t>h</w:t>
      </w:r>
      <w:r w:rsidR="00D603A3" w:rsidRPr="00454E89">
        <w:rPr>
          <w:sz w:val="22"/>
          <w:szCs w:val="22"/>
          <w:lang w:val="fr-FR"/>
        </w:rPr>
        <w:t>arge par un tiers.</w:t>
      </w:r>
      <w:r w:rsidR="00454E89" w:rsidRPr="00454E89">
        <w:rPr>
          <w:sz w:val="22"/>
          <w:szCs w:val="22"/>
          <w:lang w:val="fr-FR"/>
        </w:rPr>
        <w:t>”</w:t>
      </w:r>
    </w:p>
    <w:p w:rsidR="00A4510F" w:rsidRPr="00454E89" w:rsidRDefault="00A4510F" w:rsidP="00A4510F">
      <w:pPr>
        <w:spacing w:after="0" w:line="276" w:lineRule="auto"/>
        <w:jc w:val="both"/>
        <w:rPr>
          <w:sz w:val="22"/>
          <w:szCs w:val="22"/>
          <w:lang w:val="fr-FR"/>
        </w:rPr>
      </w:pPr>
    </w:p>
    <w:p w:rsidR="005B1F4E" w:rsidRDefault="00454E89" w:rsidP="00C165DB">
      <w:pPr>
        <w:spacing w:after="0" w:line="276" w:lineRule="auto"/>
        <w:jc w:val="both"/>
        <w:rPr>
          <w:sz w:val="22"/>
          <w:szCs w:val="22"/>
          <w:lang w:val="fr-FR"/>
        </w:rPr>
      </w:pPr>
      <w:r w:rsidRPr="005B1F4E">
        <w:rPr>
          <w:sz w:val="22"/>
          <w:szCs w:val="22"/>
          <w:lang w:val="fr-FR"/>
        </w:rPr>
        <w:t xml:space="preserve">En voici quelques catégories des frais avec l’explication pourquoi </w:t>
      </w:r>
      <w:r w:rsidR="005B1F4E" w:rsidRPr="005B1F4E">
        <w:rPr>
          <w:sz w:val="22"/>
          <w:szCs w:val="22"/>
          <w:lang w:val="fr-FR"/>
        </w:rPr>
        <w:t>un certain est admis dans le cadre de la subvention particulière pour couvrir les frais d’accompagement et d’activation dans le cadre des PIIS ou non</w:t>
      </w:r>
      <w:r w:rsidR="005B1F4E">
        <w:rPr>
          <w:sz w:val="22"/>
          <w:szCs w:val="22"/>
          <w:lang w:val="fr-FR"/>
        </w:rPr>
        <w:t xml:space="preserve">. Ceci pour cadrer la logique du système par rapport à l’utilisation du de la subvention. Il ne s’agit certainement </w:t>
      </w:r>
      <w:r w:rsidR="005B1F4E" w:rsidRPr="005B1F4E">
        <w:rPr>
          <w:sz w:val="22"/>
          <w:szCs w:val="22"/>
          <w:u w:val="single"/>
          <w:lang w:val="fr-FR"/>
        </w:rPr>
        <w:t>pas d’une liste exhaustive</w:t>
      </w:r>
      <w:r w:rsidR="005B1F4E">
        <w:rPr>
          <w:sz w:val="22"/>
          <w:szCs w:val="22"/>
          <w:lang w:val="fr-FR"/>
        </w:rPr>
        <w:t>.</w:t>
      </w:r>
    </w:p>
    <w:p w:rsidR="005B1F4E" w:rsidRDefault="005B1F4E" w:rsidP="00C165DB">
      <w:pPr>
        <w:spacing w:after="0" w:line="276" w:lineRule="auto"/>
        <w:jc w:val="both"/>
        <w:rPr>
          <w:sz w:val="22"/>
          <w:szCs w:val="22"/>
          <w:lang w:val="fr-FR"/>
        </w:rPr>
      </w:pPr>
    </w:p>
    <w:p w:rsidR="00C165DB" w:rsidRDefault="00C165DB" w:rsidP="00A4510F">
      <w:pPr>
        <w:spacing w:after="0" w:line="276" w:lineRule="auto"/>
        <w:jc w:val="both"/>
        <w:rPr>
          <w:sz w:val="22"/>
          <w:szCs w:val="22"/>
          <w:lang w:val="nl-NL"/>
        </w:rPr>
      </w:pPr>
    </w:p>
    <w:p w:rsidR="00227422" w:rsidRPr="005B1F4E" w:rsidRDefault="00227422" w:rsidP="00227422">
      <w:pPr>
        <w:pStyle w:val="Lijstalinea"/>
        <w:numPr>
          <w:ilvl w:val="0"/>
          <w:numId w:val="31"/>
        </w:numPr>
        <w:spacing w:after="0" w:line="276" w:lineRule="auto"/>
        <w:jc w:val="both"/>
        <w:rPr>
          <w:b/>
          <w:sz w:val="22"/>
          <w:szCs w:val="22"/>
          <w:lang w:val="fr-FR"/>
        </w:rPr>
      </w:pPr>
      <w:r w:rsidRPr="005B1F4E">
        <w:rPr>
          <w:b/>
          <w:sz w:val="22"/>
          <w:szCs w:val="22"/>
          <w:lang w:val="fr-FR"/>
        </w:rPr>
        <w:t>A</w:t>
      </w:r>
      <w:r w:rsidR="005B1F4E" w:rsidRPr="005B1F4E">
        <w:rPr>
          <w:b/>
          <w:sz w:val="22"/>
          <w:szCs w:val="22"/>
          <w:lang w:val="fr-FR"/>
        </w:rPr>
        <w:t>chat de matériel et des services</w:t>
      </w:r>
    </w:p>
    <w:p w:rsidR="00227422" w:rsidRPr="005B1F4E" w:rsidRDefault="00227422" w:rsidP="00227422">
      <w:pPr>
        <w:spacing w:after="0" w:line="276" w:lineRule="auto"/>
        <w:jc w:val="both"/>
        <w:rPr>
          <w:sz w:val="22"/>
          <w:szCs w:val="2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D7CA2" w:rsidRPr="007A2E4F" w:rsidTr="00FA1C54">
        <w:tc>
          <w:tcPr>
            <w:tcW w:w="4606" w:type="dxa"/>
            <w:tcBorders>
              <w:bottom w:val="single" w:sz="4" w:space="0" w:color="auto"/>
              <w:right w:val="single" w:sz="4" w:space="0" w:color="auto"/>
            </w:tcBorders>
          </w:tcPr>
          <w:p w:rsidR="006D7CA2" w:rsidRPr="007A2E4F" w:rsidRDefault="00AE5378" w:rsidP="00AE5378">
            <w:pPr>
              <w:rPr>
                <w:lang w:val="nl-BE"/>
              </w:rPr>
            </w:pPr>
            <w:r>
              <w:rPr>
                <w:rFonts w:eastAsia="Calibri"/>
                <w:b/>
                <w:lang w:val="nl-NL"/>
              </w:rPr>
              <w:t>OUI</w:t>
            </w:r>
          </w:p>
        </w:tc>
        <w:tc>
          <w:tcPr>
            <w:tcW w:w="4606" w:type="dxa"/>
            <w:tcBorders>
              <w:left w:val="single" w:sz="4" w:space="0" w:color="auto"/>
              <w:bottom w:val="single" w:sz="4" w:space="0" w:color="auto"/>
            </w:tcBorders>
          </w:tcPr>
          <w:p w:rsidR="006D7CA2" w:rsidRPr="007A2E4F" w:rsidRDefault="006D7CA2" w:rsidP="00AE5378">
            <w:pPr>
              <w:rPr>
                <w:lang w:val="nl-BE"/>
              </w:rPr>
            </w:pPr>
            <w:r>
              <w:rPr>
                <w:rFonts w:eastAsia="Calibri"/>
                <w:b/>
                <w:lang w:val="nl-NL"/>
              </w:rPr>
              <w:t>N</w:t>
            </w:r>
            <w:r w:rsidR="00AE5378">
              <w:rPr>
                <w:rFonts w:eastAsia="Calibri"/>
                <w:b/>
                <w:lang w:val="nl-NL"/>
              </w:rPr>
              <w:t>ON</w:t>
            </w:r>
          </w:p>
        </w:tc>
      </w:tr>
      <w:tr w:rsidR="006D7CA2" w:rsidRPr="00DF4ED5" w:rsidTr="00FA1C54">
        <w:tc>
          <w:tcPr>
            <w:tcW w:w="4606" w:type="dxa"/>
            <w:tcBorders>
              <w:top w:val="single" w:sz="4" w:space="0" w:color="auto"/>
              <w:right w:val="single" w:sz="4" w:space="0" w:color="auto"/>
            </w:tcBorders>
          </w:tcPr>
          <w:p w:rsidR="00AE5378" w:rsidRPr="00AE5378" w:rsidRDefault="00AE5378" w:rsidP="00C165DB">
            <w:pPr>
              <w:pStyle w:val="Lijstalinea"/>
              <w:numPr>
                <w:ilvl w:val="0"/>
                <w:numId w:val="30"/>
              </w:numPr>
              <w:jc w:val="both"/>
              <w:rPr>
                <w:lang w:val="fr-FR"/>
              </w:rPr>
            </w:pPr>
            <w:r w:rsidRPr="00AE5378">
              <w:rPr>
                <w:lang w:val="fr-FR"/>
              </w:rPr>
              <w:t xml:space="preserve">L’achat de logiciel spécifique pour la rédaction des PIIS et l’accompagnement </w:t>
            </w:r>
            <w:r>
              <w:rPr>
                <w:lang w:val="fr-FR"/>
              </w:rPr>
              <w:t xml:space="preserve">correspondant </w:t>
            </w:r>
            <w:r w:rsidRPr="00AE5378">
              <w:rPr>
                <w:lang w:val="fr-FR"/>
              </w:rPr>
              <w:t>des personnes ayants conclu un PIIS</w:t>
            </w:r>
          </w:p>
          <w:p w:rsidR="006D7CA2" w:rsidRPr="00494218" w:rsidRDefault="006D7CA2" w:rsidP="00AE5378">
            <w:pPr>
              <w:pStyle w:val="Lijstalinea"/>
              <w:ind w:left="360"/>
              <w:jc w:val="both"/>
              <w:rPr>
                <w:lang w:val="fr-FR"/>
              </w:rPr>
            </w:pPr>
          </w:p>
        </w:tc>
        <w:tc>
          <w:tcPr>
            <w:tcW w:w="4606" w:type="dxa"/>
            <w:tcBorders>
              <w:top w:val="single" w:sz="4" w:space="0" w:color="auto"/>
              <w:left w:val="single" w:sz="4" w:space="0" w:color="auto"/>
            </w:tcBorders>
          </w:tcPr>
          <w:p w:rsidR="00DF4ED5" w:rsidRDefault="00AE5378" w:rsidP="006D7CA2">
            <w:pPr>
              <w:pStyle w:val="Lijstalinea"/>
              <w:numPr>
                <w:ilvl w:val="0"/>
                <w:numId w:val="30"/>
              </w:numPr>
              <w:jc w:val="both"/>
              <w:rPr>
                <w:lang w:val="fr-FR"/>
              </w:rPr>
            </w:pPr>
            <w:r w:rsidRPr="00DF4ED5">
              <w:rPr>
                <w:lang w:val="fr-FR"/>
              </w:rPr>
              <w:t>Achat de logiciel</w:t>
            </w:r>
            <w:r w:rsidR="00DF4ED5" w:rsidRPr="00DF4ED5">
              <w:rPr>
                <w:lang w:val="fr-FR"/>
              </w:rPr>
              <w:t xml:space="preserve"> spécifique pour les demande</w:t>
            </w:r>
            <w:r w:rsidR="00DF4ED5">
              <w:rPr>
                <w:lang w:val="fr-FR"/>
              </w:rPr>
              <w:t>s</w:t>
            </w:r>
            <w:r w:rsidR="00DF4ED5" w:rsidRPr="00DF4ED5">
              <w:rPr>
                <w:lang w:val="fr-FR"/>
              </w:rPr>
              <w:t xml:space="preserve"> de remboursements </w:t>
            </w:r>
            <w:r w:rsidR="00DF4ED5">
              <w:rPr>
                <w:lang w:val="fr-FR"/>
              </w:rPr>
              <w:t>auprès de l’autorité fédérale de la subvention particulière pour les frais d’accompagnement et d’activation dans le cadre des PIIS</w:t>
            </w:r>
          </w:p>
          <w:p w:rsidR="006D7CA2" w:rsidRPr="00DF4ED5" w:rsidRDefault="00DF4ED5" w:rsidP="00DF4ED5">
            <w:pPr>
              <w:pStyle w:val="Lijstalinea"/>
              <w:numPr>
                <w:ilvl w:val="0"/>
                <w:numId w:val="30"/>
              </w:numPr>
              <w:jc w:val="both"/>
              <w:rPr>
                <w:lang w:val="fr-FR"/>
              </w:rPr>
            </w:pPr>
            <w:r w:rsidRPr="00DF4ED5">
              <w:rPr>
                <w:lang w:val="fr-FR"/>
              </w:rPr>
              <w:t xml:space="preserve">Matériel et ameublement de bureau, </w:t>
            </w:r>
            <w:r>
              <w:rPr>
                <w:lang w:val="fr-FR"/>
              </w:rPr>
              <w:t>location des salles,</w:t>
            </w:r>
            <w:r w:rsidR="006D7CA2" w:rsidRPr="00DF4ED5">
              <w:rPr>
                <w:lang w:val="fr-FR"/>
              </w:rPr>
              <w:t xml:space="preserve"> … </w:t>
            </w:r>
          </w:p>
        </w:tc>
      </w:tr>
    </w:tbl>
    <w:p w:rsidR="00227422" w:rsidRPr="00DF4ED5" w:rsidRDefault="00227422" w:rsidP="00227422">
      <w:pPr>
        <w:spacing w:after="0" w:line="276" w:lineRule="auto"/>
        <w:jc w:val="both"/>
        <w:rPr>
          <w:sz w:val="22"/>
          <w:szCs w:val="22"/>
          <w:lang w:val="fr-FR"/>
        </w:rPr>
      </w:pPr>
    </w:p>
    <w:p w:rsidR="00227422" w:rsidRDefault="00227422" w:rsidP="00227422">
      <w:pPr>
        <w:spacing w:after="0" w:line="276" w:lineRule="auto"/>
        <w:jc w:val="both"/>
        <w:rPr>
          <w:sz w:val="22"/>
          <w:szCs w:val="22"/>
          <w:lang w:val="fr-FR"/>
        </w:rPr>
      </w:pPr>
    </w:p>
    <w:p w:rsidR="000142A6" w:rsidRPr="00DF4ED5" w:rsidRDefault="000142A6" w:rsidP="00227422">
      <w:pPr>
        <w:spacing w:after="0" w:line="276" w:lineRule="auto"/>
        <w:jc w:val="both"/>
        <w:rPr>
          <w:sz w:val="22"/>
          <w:szCs w:val="22"/>
          <w:lang w:val="fr-FR"/>
        </w:rPr>
      </w:pPr>
    </w:p>
    <w:p w:rsidR="00227422" w:rsidRPr="00227422" w:rsidRDefault="005B1F4E" w:rsidP="00227422">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w:t>
      </w:r>
      <w:proofErr w:type="spellStart"/>
      <w:r>
        <w:rPr>
          <w:b/>
          <w:sz w:val="22"/>
          <w:szCs w:val="22"/>
          <w:lang w:val="nl-NL"/>
        </w:rPr>
        <w:t>médicaux</w:t>
      </w:r>
      <w:proofErr w:type="spellEnd"/>
      <w:r>
        <w:rPr>
          <w:b/>
          <w:sz w:val="22"/>
          <w:szCs w:val="22"/>
          <w:lang w:val="nl-NL"/>
        </w:rPr>
        <w:t xml:space="preserve"> et </w:t>
      </w:r>
      <w:proofErr w:type="spellStart"/>
      <w:r>
        <w:rPr>
          <w:b/>
          <w:sz w:val="22"/>
          <w:szCs w:val="22"/>
          <w:lang w:val="nl-NL"/>
        </w:rPr>
        <w:t>pharmaceutiques</w:t>
      </w:r>
      <w:proofErr w:type="spellEnd"/>
    </w:p>
    <w:p w:rsidR="00227422" w:rsidRDefault="00227422" w:rsidP="00227422">
      <w:pPr>
        <w:spacing w:after="0" w:line="276" w:lineRule="auto"/>
        <w:jc w:val="both"/>
        <w:rPr>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7422" w:rsidRPr="007A2E4F" w:rsidTr="006D7CA2">
        <w:tc>
          <w:tcPr>
            <w:tcW w:w="4606" w:type="dxa"/>
            <w:tcBorders>
              <w:bottom w:val="single" w:sz="4" w:space="0" w:color="auto"/>
              <w:right w:val="single" w:sz="4" w:space="0" w:color="auto"/>
            </w:tcBorders>
          </w:tcPr>
          <w:p w:rsidR="00227422" w:rsidRPr="007A2E4F" w:rsidRDefault="00DF4ED5" w:rsidP="00DF4ED5">
            <w:pPr>
              <w:rPr>
                <w:lang w:val="nl-BE"/>
              </w:rPr>
            </w:pPr>
            <w:r>
              <w:rPr>
                <w:rFonts w:eastAsia="Calibri"/>
                <w:b/>
                <w:lang w:val="nl-NL"/>
              </w:rPr>
              <w:t>OUI</w:t>
            </w:r>
          </w:p>
        </w:tc>
        <w:tc>
          <w:tcPr>
            <w:tcW w:w="4606" w:type="dxa"/>
            <w:tcBorders>
              <w:left w:val="single" w:sz="4" w:space="0" w:color="auto"/>
              <w:bottom w:val="single" w:sz="4" w:space="0" w:color="auto"/>
            </w:tcBorders>
          </w:tcPr>
          <w:p w:rsidR="00227422" w:rsidRPr="007A2E4F" w:rsidRDefault="00227422" w:rsidP="00DF4ED5">
            <w:pPr>
              <w:rPr>
                <w:lang w:val="nl-BE"/>
              </w:rPr>
            </w:pPr>
            <w:r>
              <w:rPr>
                <w:rFonts w:eastAsia="Calibri"/>
                <w:b/>
                <w:lang w:val="nl-NL"/>
              </w:rPr>
              <w:t>N</w:t>
            </w:r>
            <w:r w:rsidR="00DF4ED5">
              <w:rPr>
                <w:rFonts w:eastAsia="Calibri"/>
                <w:b/>
                <w:lang w:val="nl-NL"/>
              </w:rPr>
              <w:t>ON</w:t>
            </w:r>
          </w:p>
        </w:tc>
      </w:tr>
      <w:tr w:rsidR="00227422" w:rsidRPr="001957C7" w:rsidTr="006D7CA2">
        <w:tc>
          <w:tcPr>
            <w:tcW w:w="4606" w:type="dxa"/>
            <w:tcBorders>
              <w:top w:val="single" w:sz="4" w:space="0" w:color="auto"/>
              <w:right w:val="single" w:sz="4" w:space="0" w:color="auto"/>
            </w:tcBorders>
          </w:tcPr>
          <w:p w:rsidR="00227422" w:rsidRPr="00494218" w:rsidRDefault="00FA1C54" w:rsidP="00FA1C54">
            <w:pPr>
              <w:pStyle w:val="Lijstalinea"/>
              <w:numPr>
                <w:ilvl w:val="0"/>
                <w:numId w:val="30"/>
              </w:numPr>
              <w:jc w:val="both"/>
              <w:rPr>
                <w:lang w:val="fr-FR"/>
              </w:rPr>
            </w:pPr>
            <w:r w:rsidRPr="00494218">
              <w:rPr>
                <w:lang w:val="fr-FR"/>
              </w:rPr>
              <w:t xml:space="preserve">Accompagnement psychologique faisant partie des mesures à prendre du PIIS </w:t>
            </w:r>
          </w:p>
        </w:tc>
        <w:tc>
          <w:tcPr>
            <w:tcW w:w="4606" w:type="dxa"/>
            <w:tcBorders>
              <w:top w:val="single" w:sz="4" w:space="0" w:color="auto"/>
              <w:left w:val="single" w:sz="4" w:space="0" w:color="auto"/>
            </w:tcBorders>
          </w:tcPr>
          <w:p w:rsidR="00FA1C54" w:rsidRPr="00FA1C54" w:rsidRDefault="00FA1C54" w:rsidP="00227422">
            <w:pPr>
              <w:pStyle w:val="Lijstalinea"/>
              <w:numPr>
                <w:ilvl w:val="0"/>
                <w:numId w:val="30"/>
              </w:numPr>
              <w:jc w:val="both"/>
              <w:rPr>
                <w:lang w:val="fr-FR"/>
              </w:rPr>
            </w:pPr>
            <w:r w:rsidRPr="00FA1C54">
              <w:rPr>
                <w:lang w:val="fr-FR"/>
              </w:rPr>
              <w:t>Les frais mé</w:t>
            </w:r>
            <w:r>
              <w:rPr>
                <w:lang w:val="fr-FR"/>
              </w:rPr>
              <w:t>dicaux et ph</w:t>
            </w:r>
            <w:r w:rsidRPr="00FA1C54">
              <w:rPr>
                <w:lang w:val="fr-FR"/>
              </w:rPr>
              <w:t xml:space="preserve">armaceutiques </w:t>
            </w:r>
            <w:r>
              <w:rPr>
                <w:lang w:val="fr-FR"/>
              </w:rPr>
              <w:t xml:space="preserve">quand </w:t>
            </w:r>
            <w:r w:rsidRPr="00FA1C54">
              <w:rPr>
                <w:lang w:val="fr-FR"/>
              </w:rPr>
              <w:t>la prise en charge de ces frais fait partie des missions de base du CPAS</w:t>
            </w:r>
            <w:r>
              <w:rPr>
                <w:lang w:val="fr-FR"/>
              </w:rPr>
              <w:t xml:space="preserve">, ceci afin de </w:t>
            </w:r>
            <w:r w:rsidRPr="00FA1C54">
              <w:rPr>
                <w:lang w:val="fr-FR"/>
              </w:rPr>
              <w:t>permettre à l’usager de vivre conformément à la dignité humain</w:t>
            </w:r>
            <w:r>
              <w:rPr>
                <w:lang w:val="fr-FR"/>
              </w:rPr>
              <w:t xml:space="preserve"> – frais médicaux (urgents)</w:t>
            </w:r>
            <w:r w:rsidR="008F1634">
              <w:rPr>
                <w:lang w:val="fr-FR"/>
              </w:rPr>
              <w:t>, affiliation à une mutuelle, frais pharmaceutique, intervention pour des lunettes ou un appareil auditif,… ne sont pas autorisés pour la subvention PIIS</w:t>
            </w:r>
          </w:p>
          <w:p w:rsidR="00227422" w:rsidRPr="00494218" w:rsidRDefault="00227422" w:rsidP="008F1634">
            <w:pPr>
              <w:pStyle w:val="Lijstalinea"/>
              <w:ind w:left="360"/>
              <w:jc w:val="both"/>
              <w:rPr>
                <w:lang w:val="fr-FR"/>
              </w:rPr>
            </w:pPr>
          </w:p>
        </w:tc>
      </w:tr>
    </w:tbl>
    <w:p w:rsidR="00227422" w:rsidRDefault="00227422" w:rsidP="00227422">
      <w:pPr>
        <w:spacing w:after="0" w:line="276" w:lineRule="auto"/>
        <w:jc w:val="both"/>
        <w:rPr>
          <w:sz w:val="22"/>
          <w:szCs w:val="22"/>
          <w:lang w:val="fr-FR"/>
        </w:rPr>
      </w:pPr>
    </w:p>
    <w:p w:rsidR="000142A6" w:rsidRPr="00494218" w:rsidRDefault="000142A6" w:rsidP="00227422">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227422" w:rsidRPr="005B1F4E" w:rsidRDefault="005B1F4E" w:rsidP="00227422">
      <w:pPr>
        <w:pStyle w:val="Lijstalinea"/>
        <w:numPr>
          <w:ilvl w:val="0"/>
          <w:numId w:val="31"/>
        </w:numPr>
        <w:spacing w:after="0" w:line="276" w:lineRule="auto"/>
        <w:jc w:val="both"/>
        <w:rPr>
          <w:b/>
          <w:sz w:val="22"/>
          <w:szCs w:val="22"/>
          <w:lang w:val="fr-FR"/>
        </w:rPr>
      </w:pPr>
      <w:r w:rsidRPr="005B1F4E">
        <w:rPr>
          <w:b/>
          <w:sz w:val="22"/>
          <w:szCs w:val="22"/>
          <w:lang w:val="fr-FR"/>
        </w:rPr>
        <w:t xml:space="preserve">Frais d’hébergement, </w:t>
      </w:r>
      <w:r w:rsidR="0083328B">
        <w:rPr>
          <w:b/>
          <w:sz w:val="22"/>
          <w:szCs w:val="22"/>
          <w:lang w:val="fr-FR"/>
        </w:rPr>
        <w:t>d’</w:t>
      </w:r>
      <w:r w:rsidRPr="005B1F4E">
        <w:rPr>
          <w:b/>
          <w:sz w:val="22"/>
          <w:szCs w:val="22"/>
          <w:lang w:val="fr-FR"/>
        </w:rPr>
        <w:t xml:space="preserve">énergie et </w:t>
      </w:r>
      <w:r w:rsidR="0083328B">
        <w:rPr>
          <w:b/>
          <w:sz w:val="22"/>
          <w:szCs w:val="22"/>
          <w:lang w:val="fr-FR"/>
        </w:rPr>
        <w:t>d’</w:t>
      </w:r>
      <w:r w:rsidRPr="005B1F4E">
        <w:rPr>
          <w:b/>
          <w:sz w:val="22"/>
          <w:szCs w:val="22"/>
          <w:lang w:val="fr-FR"/>
        </w:rPr>
        <w:t xml:space="preserve">eau </w:t>
      </w:r>
    </w:p>
    <w:p w:rsidR="00227422" w:rsidRPr="005B1F4E" w:rsidRDefault="00227422" w:rsidP="00227422">
      <w:pPr>
        <w:spacing w:after="0" w:line="276" w:lineRule="auto"/>
        <w:jc w:val="both"/>
        <w:rPr>
          <w:sz w:val="22"/>
          <w:szCs w:val="22"/>
          <w:lang w:val="fr-FR"/>
        </w:rPr>
      </w:pPr>
    </w:p>
    <w:p w:rsidR="008F1634" w:rsidRPr="008F1634" w:rsidRDefault="008F1634" w:rsidP="00431B4C">
      <w:pPr>
        <w:spacing w:after="0" w:line="276" w:lineRule="auto"/>
        <w:jc w:val="both"/>
        <w:rPr>
          <w:sz w:val="22"/>
          <w:szCs w:val="22"/>
          <w:lang w:val="fr-FR"/>
        </w:rPr>
      </w:pPr>
      <w:r w:rsidRPr="008F1634">
        <w:rPr>
          <w:sz w:val="22"/>
          <w:szCs w:val="22"/>
          <w:lang w:val="fr-FR"/>
        </w:rPr>
        <w:t xml:space="preserve">Telles dépenses ne sont pas autorisés pour la subvention particulière, vue qu’elles cadrent dans la mission de base du CPAS (logement, droit à l’énergie et eau </w:t>
      </w:r>
      <w:r>
        <w:rPr>
          <w:sz w:val="22"/>
          <w:szCs w:val="22"/>
          <w:lang w:val="fr-FR"/>
        </w:rPr>
        <w:t>en tant qu’élément</w:t>
      </w:r>
      <w:r w:rsidR="00B01B0E">
        <w:rPr>
          <w:sz w:val="22"/>
          <w:szCs w:val="22"/>
          <w:lang w:val="fr-FR"/>
        </w:rPr>
        <w:t xml:space="preserve"> d’une existence digne). Donc pas de garantie locative, premier mois de loyer, arriérés de loyer,…</w:t>
      </w:r>
    </w:p>
    <w:p w:rsidR="008F1634" w:rsidRPr="008F1634" w:rsidRDefault="008F1634" w:rsidP="00431B4C">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0142A6" w:rsidRDefault="000142A6">
      <w:pPr>
        <w:rPr>
          <w:b/>
          <w:sz w:val="22"/>
          <w:szCs w:val="22"/>
          <w:lang w:val="nl-NL"/>
        </w:rPr>
      </w:pPr>
      <w:r>
        <w:rPr>
          <w:b/>
          <w:sz w:val="22"/>
          <w:szCs w:val="22"/>
          <w:lang w:val="nl-NL"/>
        </w:rPr>
        <w:br w:type="page"/>
      </w:r>
    </w:p>
    <w:p w:rsidR="00227422" w:rsidRPr="00227422" w:rsidRDefault="00AE5378" w:rsidP="00227422">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de </w:t>
      </w:r>
      <w:proofErr w:type="spellStart"/>
      <w:r>
        <w:rPr>
          <w:b/>
          <w:sz w:val="22"/>
          <w:szCs w:val="22"/>
          <w:lang w:val="nl-NL"/>
        </w:rPr>
        <w:t>vêtement</w:t>
      </w:r>
      <w:proofErr w:type="spellEnd"/>
    </w:p>
    <w:p w:rsidR="00227422" w:rsidRDefault="00227422" w:rsidP="00227422">
      <w:pPr>
        <w:spacing w:after="0" w:line="276" w:lineRule="auto"/>
        <w:jc w:val="both"/>
        <w:rPr>
          <w:sz w:val="22"/>
          <w:szCs w:val="22"/>
          <w:lang w:val="nl-NL"/>
        </w:rPr>
      </w:pPr>
    </w:p>
    <w:p w:rsidR="007C77FC" w:rsidRPr="007C77FC" w:rsidRDefault="00B01B0E" w:rsidP="002636AA">
      <w:pPr>
        <w:spacing w:after="0" w:line="276" w:lineRule="auto"/>
        <w:jc w:val="both"/>
        <w:rPr>
          <w:sz w:val="22"/>
          <w:szCs w:val="22"/>
          <w:lang w:val="fr-FR"/>
        </w:rPr>
      </w:pPr>
      <w:r w:rsidRPr="007C77FC">
        <w:rPr>
          <w:sz w:val="22"/>
          <w:szCs w:val="22"/>
          <w:lang w:val="fr-FR"/>
        </w:rPr>
        <w:t>Voir l’article 11, §3, 2</w:t>
      </w:r>
      <w:r w:rsidRPr="007C77FC">
        <w:rPr>
          <w:sz w:val="22"/>
          <w:szCs w:val="22"/>
          <w:vertAlign w:val="superscript"/>
          <w:lang w:val="fr-FR"/>
        </w:rPr>
        <w:t>e</w:t>
      </w:r>
      <w:r w:rsidRPr="007C77FC">
        <w:rPr>
          <w:sz w:val="22"/>
          <w:szCs w:val="22"/>
          <w:lang w:val="fr-FR"/>
        </w:rPr>
        <w:t xml:space="preserve"> alinéa </w:t>
      </w:r>
      <w:r w:rsidR="00BF4E1B">
        <w:rPr>
          <w:sz w:val="22"/>
          <w:szCs w:val="22"/>
          <w:lang w:val="fr-FR"/>
        </w:rPr>
        <w:t>du rè</w:t>
      </w:r>
      <w:r w:rsidRPr="007C77FC">
        <w:rPr>
          <w:sz w:val="22"/>
          <w:szCs w:val="22"/>
          <w:lang w:val="fr-FR"/>
        </w:rPr>
        <w:t xml:space="preserve">glement général précité:  </w:t>
      </w:r>
      <w:r w:rsidR="002636AA" w:rsidRPr="007C77FC">
        <w:rPr>
          <w:sz w:val="22"/>
          <w:szCs w:val="22"/>
          <w:lang w:val="fr-FR"/>
        </w:rPr>
        <w:t xml:space="preserve">: </w:t>
      </w:r>
      <w:r w:rsidRPr="007C77FC">
        <w:rPr>
          <w:sz w:val="22"/>
          <w:szCs w:val="22"/>
          <w:lang w:val="fr-FR"/>
        </w:rPr>
        <w:t xml:space="preserve">vêtements nécessaire pour les stages, les activités, </w:t>
      </w:r>
      <w:r w:rsidR="007C77FC" w:rsidRPr="007C77FC">
        <w:rPr>
          <w:sz w:val="22"/>
          <w:szCs w:val="22"/>
          <w:lang w:val="fr-FR"/>
        </w:rPr>
        <w:t xml:space="preserve">les </w:t>
      </w:r>
      <w:r w:rsidRPr="007C77FC">
        <w:rPr>
          <w:sz w:val="22"/>
          <w:szCs w:val="22"/>
          <w:lang w:val="fr-FR"/>
        </w:rPr>
        <w:t xml:space="preserve">formations, </w:t>
      </w:r>
      <w:r w:rsidR="007C77FC" w:rsidRPr="007C77FC">
        <w:rPr>
          <w:sz w:val="22"/>
          <w:szCs w:val="22"/>
          <w:lang w:val="fr-FR"/>
        </w:rPr>
        <w:t>…, en somme qui contribuent à la réalisation des objectifs qui sont repris dans le PIIS.</w:t>
      </w:r>
    </w:p>
    <w:p w:rsidR="007C77FC" w:rsidRDefault="007C77FC" w:rsidP="002636AA">
      <w:pPr>
        <w:spacing w:after="0" w:line="276" w:lineRule="auto"/>
        <w:jc w:val="both"/>
        <w:rPr>
          <w:sz w:val="22"/>
          <w:szCs w:val="22"/>
          <w:lang w:val="fr-FR"/>
        </w:rPr>
      </w:pPr>
    </w:p>
    <w:p w:rsidR="00227422" w:rsidRPr="00BF4E1B" w:rsidRDefault="00227422" w:rsidP="00227422">
      <w:pPr>
        <w:spacing w:after="0" w:line="276" w:lineRule="auto"/>
        <w:jc w:val="both"/>
        <w:rPr>
          <w:sz w:val="22"/>
          <w:szCs w:val="22"/>
          <w:lang w:val="fr-FR"/>
        </w:rPr>
      </w:pPr>
    </w:p>
    <w:p w:rsidR="00227422" w:rsidRPr="00227422" w:rsidRDefault="00AE5378" w:rsidP="00227422">
      <w:pPr>
        <w:pStyle w:val="Lijstalinea"/>
        <w:numPr>
          <w:ilvl w:val="0"/>
          <w:numId w:val="31"/>
        </w:numPr>
        <w:spacing w:after="0" w:line="276" w:lineRule="auto"/>
        <w:jc w:val="both"/>
        <w:rPr>
          <w:b/>
          <w:sz w:val="22"/>
          <w:szCs w:val="22"/>
          <w:lang w:val="nl-NL"/>
        </w:rPr>
      </w:pPr>
      <w:r>
        <w:rPr>
          <w:b/>
          <w:sz w:val="22"/>
          <w:szCs w:val="22"/>
          <w:lang w:val="nl-NL"/>
        </w:rPr>
        <w:t xml:space="preserve">Assurances </w:t>
      </w:r>
    </w:p>
    <w:p w:rsidR="00227422" w:rsidRDefault="00227422" w:rsidP="00227422">
      <w:pPr>
        <w:spacing w:after="0" w:line="276" w:lineRule="auto"/>
        <w:jc w:val="both"/>
        <w:rPr>
          <w:sz w:val="22"/>
          <w:szCs w:val="22"/>
          <w:lang w:val="nl-NL"/>
        </w:rPr>
      </w:pPr>
    </w:p>
    <w:p w:rsidR="007C77FC" w:rsidRPr="007C77FC" w:rsidRDefault="007C77FC" w:rsidP="00227422">
      <w:pPr>
        <w:spacing w:after="0" w:line="276" w:lineRule="auto"/>
        <w:jc w:val="both"/>
        <w:rPr>
          <w:sz w:val="22"/>
          <w:szCs w:val="22"/>
          <w:lang w:val="fr-FR"/>
        </w:rPr>
      </w:pPr>
      <w:r w:rsidRPr="007C77FC">
        <w:rPr>
          <w:sz w:val="22"/>
          <w:szCs w:val="22"/>
          <w:lang w:val="fr-FR"/>
        </w:rPr>
        <w:t>Idem, voir l’article 11, §3, 2</w:t>
      </w:r>
      <w:r w:rsidRPr="007C77FC">
        <w:rPr>
          <w:sz w:val="22"/>
          <w:szCs w:val="22"/>
          <w:vertAlign w:val="superscript"/>
          <w:lang w:val="fr-FR"/>
        </w:rPr>
        <w:t>e</w:t>
      </w:r>
      <w:r w:rsidRPr="007C77FC">
        <w:rPr>
          <w:sz w:val="22"/>
          <w:szCs w:val="22"/>
          <w:lang w:val="fr-FR"/>
        </w:rPr>
        <w:t xml:space="preserve"> alinéa du règlement général précité. </w:t>
      </w:r>
      <w:r>
        <w:rPr>
          <w:sz w:val="22"/>
          <w:szCs w:val="22"/>
          <w:lang w:val="fr-FR"/>
        </w:rPr>
        <w:t>Par conséquent, les assurances qui ne sont pas directement liées au PIIS comme assurance incendie, assurance maladie, responsabilité civile, cotisations de sécurité sociale, prime syndicale</w:t>
      </w:r>
      <w:r w:rsidR="008A23BC">
        <w:rPr>
          <w:sz w:val="22"/>
          <w:szCs w:val="22"/>
          <w:lang w:val="fr-FR"/>
        </w:rPr>
        <w:t>,… ne sont pas admis pour la subvention PIIS.</w:t>
      </w:r>
    </w:p>
    <w:p w:rsidR="007C77FC" w:rsidRDefault="007C77FC" w:rsidP="00227422">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227422" w:rsidRDefault="00AE5378" w:rsidP="00227422">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liés au </w:t>
      </w:r>
      <w:proofErr w:type="spellStart"/>
      <w:r>
        <w:rPr>
          <w:b/>
          <w:sz w:val="22"/>
          <w:szCs w:val="22"/>
          <w:lang w:val="nl-NL"/>
        </w:rPr>
        <w:t>surendettement</w:t>
      </w:r>
      <w:proofErr w:type="spellEnd"/>
      <w:r>
        <w:rPr>
          <w:b/>
          <w:sz w:val="22"/>
          <w:szCs w:val="22"/>
          <w:lang w:val="nl-NL"/>
        </w:rPr>
        <w:t xml:space="preserve"> </w:t>
      </w:r>
    </w:p>
    <w:p w:rsidR="000A3F29" w:rsidRPr="000A3F29" w:rsidRDefault="000A3F29" w:rsidP="000A3F29">
      <w:pPr>
        <w:spacing w:after="0" w:line="276" w:lineRule="auto"/>
        <w:jc w:val="both"/>
        <w:rPr>
          <w:b/>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7A2E4F" w:rsidTr="000A3F29">
        <w:tc>
          <w:tcPr>
            <w:tcW w:w="4606" w:type="dxa"/>
            <w:tcBorders>
              <w:bottom w:val="single" w:sz="4" w:space="0" w:color="auto"/>
              <w:right w:val="single" w:sz="4" w:space="0" w:color="auto"/>
            </w:tcBorders>
          </w:tcPr>
          <w:p w:rsidR="002636AA" w:rsidRPr="007A2E4F" w:rsidRDefault="008A23BC" w:rsidP="008A23BC">
            <w:pPr>
              <w:rPr>
                <w:lang w:val="nl-BE"/>
              </w:rPr>
            </w:pPr>
            <w:r>
              <w:rPr>
                <w:rFonts w:eastAsia="Calibri"/>
                <w:b/>
                <w:lang w:val="nl-NL"/>
              </w:rPr>
              <w:t>OUI</w:t>
            </w:r>
          </w:p>
        </w:tc>
        <w:tc>
          <w:tcPr>
            <w:tcW w:w="4606" w:type="dxa"/>
            <w:tcBorders>
              <w:left w:val="single" w:sz="4" w:space="0" w:color="auto"/>
              <w:bottom w:val="single" w:sz="4" w:space="0" w:color="auto"/>
            </w:tcBorders>
          </w:tcPr>
          <w:p w:rsidR="002636AA" w:rsidRPr="007A2E4F" w:rsidRDefault="002636AA" w:rsidP="008A23BC">
            <w:pPr>
              <w:rPr>
                <w:lang w:val="nl-BE"/>
              </w:rPr>
            </w:pPr>
            <w:r>
              <w:rPr>
                <w:rFonts w:eastAsia="Calibri"/>
                <w:b/>
                <w:lang w:val="nl-NL"/>
              </w:rPr>
              <w:t>N</w:t>
            </w:r>
            <w:r w:rsidR="008A23BC">
              <w:rPr>
                <w:rFonts w:eastAsia="Calibri"/>
                <w:b/>
                <w:lang w:val="nl-NL"/>
              </w:rPr>
              <w:t>ON</w:t>
            </w:r>
          </w:p>
        </w:tc>
      </w:tr>
      <w:tr w:rsidR="002636AA" w:rsidRPr="001957C7" w:rsidTr="000A3F29">
        <w:tc>
          <w:tcPr>
            <w:tcW w:w="4606" w:type="dxa"/>
            <w:tcBorders>
              <w:top w:val="single" w:sz="4" w:space="0" w:color="auto"/>
              <w:right w:val="single" w:sz="4" w:space="0" w:color="auto"/>
            </w:tcBorders>
          </w:tcPr>
          <w:p w:rsidR="008A23BC" w:rsidRPr="008A23BC" w:rsidRDefault="008A23BC" w:rsidP="002636AA">
            <w:pPr>
              <w:pStyle w:val="Lijstalinea"/>
              <w:numPr>
                <w:ilvl w:val="0"/>
                <w:numId w:val="30"/>
              </w:numPr>
              <w:jc w:val="both"/>
              <w:rPr>
                <w:lang w:val="fr-FR"/>
              </w:rPr>
            </w:pPr>
            <w:r w:rsidRPr="008A23BC">
              <w:rPr>
                <w:lang w:val="fr-FR"/>
              </w:rPr>
              <w:t>Les petits suppléments que la personne concernée ne peut pas se permettre en raison du surendettement, pour autant que ceux-ci sont liés aux conditions reprises dans le PIIS (frais de coiffeur, excursion avec une association locale ou le club de sport,…)</w:t>
            </w:r>
          </w:p>
          <w:p w:rsidR="000A3F29" w:rsidRPr="00494218" w:rsidRDefault="000A3F29" w:rsidP="008A23BC">
            <w:pPr>
              <w:pStyle w:val="Lijstalinea"/>
              <w:ind w:left="360"/>
              <w:jc w:val="both"/>
              <w:rPr>
                <w:lang w:val="fr-FR"/>
              </w:rPr>
            </w:pPr>
          </w:p>
        </w:tc>
        <w:tc>
          <w:tcPr>
            <w:tcW w:w="4606" w:type="dxa"/>
            <w:tcBorders>
              <w:top w:val="single" w:sz="4" w:space="0" w:color="auto"/>
              <w:left w:val="single" w:sz="4" w:space="0" w:color="auto"/>
            </w:tcBorders>
          </w:tcPr>
          <w:p w:rsidR="008A23BC" w:rsidRPr="008A23BC" w:rsidRDefault="008A23BC" w:rsidP="002636AA">
            <w:pPr>
              <w:pStyle w:val="Lijstalinea"/>
              <w:numPr>
                <w:ilvl w:val="0"/>
                <w:numId w:val="30"/>
              </w:numPr>
              <w:jc w:val="both"/>
              <w:rPr>
                <w:lang w:val="fr-FR"/>
              </w:rPr>
            </w:pPr>
            <w:r w:rsidRPr="008A23BC">
              <w:rPr>
                <w:lang w:val="fr-FR"/>
              </w:rPr>
              <w:t>Le paiement des frais d’huissier, frais liés à des procédures judiciaires, apurement de dettes fiscales,…</w:t>
            </w:r>
          </w:p>
          <w:p w:rsidR="002636AA" w:rsidRPr="00494218" w:rsidRDefault="002636AA" w:rsidP="00FA1C54">
            <w:pPr>
              <w:rPr>
                <w:lang w:val="fr-FR"/>
              </w:rPr>
            </w:pPr>
          </w:p>
        </w:tc>
      </w:tr>
    </w:tbl>
    <w:p w:rsidR="00227422" w:rsidRPr="00494218" w:rsidRDefault="00227422" w:rsidP="00227422">
      <w:pPr>
        <w:spacing w:after="0" w:line="276" w:lineRule="auto"/>
        <w:jc w:val="both"/>
        <w:rPr>
          <w:sz w:val="22"/>
          <w:szCs w:val="22"/>
          <w:lang w:val="fr-FR"/>
        </w:rPr>
      </w:pPr>
    </w:p>
    <w:p w:rsidR="000968AE" w:rsidRDefault="000968AE" w:rsidP="00227422">
      <w:pPr>
        <w:spacing w:after="0" w:line="276" w:lineRule="auto"/>
        <w:jc w:val="both"/>
        <w:rPr>
          <w:sz w:val="22"/>
          <w:szCs w:val="22"/>
          <w:lang w:val="fr-FR"/>
        </w:rPr>
      </w:pPr>
    </w:p>
    <w:p w:rsidR="000142A6" w:rsidRPr="00494218" w:rsidRDefault="000142A6" w:rsidP="00227422">
      <w:pPr>
        <w:spacing w:after="0" w:line="276" w:lineRule="auto"/>
        <w:jc w:val="both"/>
        <w:rPr>
          <w:sz w:val="22"/>
          <w:szCs w:val="22"/>
          <w:lang w:val="fr-FR"/>
        </w:rPr>
      </w:pPr>
    </w:p>
    <w:p w:rsidR="000968AE" w:rsidRPr="00227422" w:rsidRDefault="00AE5378" w:rsidP="000968AE">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de </w:t>
      </w:r>
      <w:proofErr w:type="spellStart"/>
      <w:r>
        <w:rPr>
          <w:b/>
          <w:sz w:val="22"/>
          <w:szCs w:val="22"/>
          <w:lang w:val="nl-NL"/>
        </w:rPr>
        <w:t>formation</w:t>
      </w:r>
      <w:proofErr w:type="spellEnd"/>
    </w:p>
    <w:p w:rsidR="000968AE" w:rsidRDefault="000968AE" w:rsidP="000968AE">
      <w:pPr>
        <w:spacing w:after="0" w:line="276" w:lineRule="auto"/>
        <w:jc w:val="both"/>
        <w:rPr>
          <w:sz w:val="22"/>
          <w:szCs w:val="22"/>
          <w:lang w:val="nl-NL"/>
        </w:rPr>
      </w:pPr>
    </w:p>
    <w:p w:rsidR="0017178B" w:rsidRPr="0017178B" w:rsidRDefault="008A23BC" w:rsidP="000968AE">
      <w:pPr>
        <w:spacing w:after="0" w:line="276" w:lineRule="auto"/>
        <w:jc w:val="both"/>
        <w:rPr>
          <w:sz w:val="22"/>
          <w:szCs w:val="22"/>
          <w:lang w:val="fr-FR"/>
        </w:rPr>
      </w:pPr>
      <w:r w:rsidRPr="0017178B">
        <w:rPr>
          <w:sz w:val="22"/>
          <w:szCs w:val="22"/>
          <w:lang w:val="fr-FR"/>
        </w:rPr>
        <w:t>Ces frais peuvent être imputés à la subvention, pour autant</w:t>
      </w:r>
      <w:r w:rsidR="0017178B" w:rsidRPr="0017178B">
        <w:rPr>
          <w:sz w:val="22"/>
          <w:szCs w:val="22"/>
          <w:lang w:val="fr-FR"/>
        </w:rPr>
        <w:t xml:space="preserve"> qu’ils correspondent aux objectifs et engagements repris dans le PIIS (frais d’inscription, matériel nécessaire à la formation, prime d’encouragement,…)</w:t>
      </w:r>
    </w:p>
    <w:p w:rsidR="0017178B" w:rsidRDefault="0017178B" w:rsidP="000968AE">
      <w:pPr>
        <w:spacing w:after="0" w:line="276" w:lineRule="auto"/>
        <w:jc w:val="both"/>
        <w:rPr>
          <w:sz w:val="22"/>
          <w:szCs w:val="22"/>
          <w:lang w:val="fr-FR"/>
        </w:rPr>
      </w:pPr>
    </w:p>
    <w:p w:rsidR="0017178B" w:rsidRPr="0017178B" w:rsidRDefault="000968AE" w:rsidP="000968AE">
      <w:pPr>
        <w:spacing w:after="0" w:line="276" w:lineRule="auto"/>
        <w:jc w:val="both"/>
        <w:rPr>
          <w:sz w:val="22"/>
          <w:szCs w:val="22"/>
          <w:lang w:val="fr-FR"/>
        </w:rPr>
      </w:pPr>
      <w:r w:rsidRPr="0017178B">
        <w:rPr>
          <w:sz w:val="22"/>
          <w:szCs w:val="22"/>
          <w:lang w:val="fr-FR"/>
        </w:rPr>
        <w:t xml:space="preserve">Idem </w:t>
      </w:r>
      <w:r w:rsidR="0017178B" w:rsidRPr="0017178B">
        <w:rPr>
          <w:sz w:val="22"/>
          <w:szCs w:val="22"/>
          <w:lang w:val="fr-FR"/>
        </w:rPr>
        <w:t xml:space="preserve">s’il s’agit d’un atelier </w:t>
      </w:r>
      <w:r w:rsidR="0017178B">
        <w:rPr>
          <w:sz w:val="22"/>
          <w:szCs w:val="22"/>
          <w:lang w:val="fr-FR"/>
        </w:rPr>
        <w:t xml:space="preserve">quelconque </w:t>
      </w:r>
      <w:r w:rsidR="0017178B" w:rsidRPr="0017178B">
        <w:rPr>
          <w:sz w:val="22"/>
          <w:szCs w:val="22"/>
          <w:lang w:val="fr-FR"/>
        </w:rPr>
        <w:t>qui cadre dans les objectifs et engagements du PIIS.</w:t>
      </w:r>
    </w:p>
    <w:p w:rsidR="0017178B" w:rsidRDefault="0017178B" w:rsidP="000968AE">
      <w:pPr>
        <w:spacing w:after="0" w:line="276" w:lineRule="auto"/>
        <w:jc w:val="both"/>
        <w:rPr>
          <w:sz w:val="22"/>
          <w:szCs w:val="22"/>
          <w:lang w:val="fr-FR"/>
        </w:rPr>
      </w:pPr>
    </w:p>
    <w:p w:rsidR="000968AE" w:rsidRPr="0017178B" w:rsidRDefault="000968AE" w:rsidP="000968AE">
      <w:pPr>
        <w:spacing w:after="0" w:line="276" w:lineRule="auto"/>
        <w:jc w:val="both"/>
        <w:rPr>
          <w:sz w:val="22"/>
          <w:szCs w:val="22"/>
          <w:lang w:val="fr-FR"/>
        </w:rPr>
      </w:pPr>
    </w:p>
    <w:p w:rsidR="000968AE" w:rsidRPr="00227422" w:rsidRDefault="00AE5378" w:rsidP="000968AE">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de garde des </w:t>
      </w:r>
      <w:proofErr w:type="spellStart"/>
      <w:r>
        <w:rPr>
          <w:b/>
          <w:sz w:val="22"/>
          <w:szCs w:val="22"/>
          <w:lang w:val="nl-NL"/>
        </w:rPr>
        <w:t>enfants</w:t>
      </w:r>
      <w:proofErr w:type="spellEnd"/>
    </w:p>
    <w:p w:rsidR="000968AE" w:rsidRDefault="000968AE" w:rsidP="000968AE">
      <w:pPr>
        <w:spacing w:after="0" w:line="276" w:lineRule="auto"/>
        <w:jc w:val="both"/>
        <w:rPr>
          <w:sz w:val="22"/>
          <w:szCs w:val="22"/>
          <w:lang w:val="nl-NL"/>
        </w:rPr>
      </w:pPr>
    </w:p>
    <w:p w:rsidR="008C0C4B" w:rsidRPr="008C0C4B" w:rsidRDefault="0017178B" w:rsidP="000968AE">
      <w:pPr>
        <w:spacing w:after="0" w:line="276" w:lineRule="auto"/>
        <w:jc w:val="both"/>
        <w:rPr>
          <w:sz w:val="22"/>
          <w:szCs w:val="22"/>
          <w:lang w:val="fr-FR"/>
        </w:rPr>
      </w:pPr>
      <w:r w:rsidRPr="008C0C4B">
        <w:rPr>
          <w:sz w:val="22"/>
          <w:szCs w:val="22"/>
          <w:lang w:val="fr-FR"/>
        </w:rPr>
        <w:t xml:space="preserve">Peuvent être acceptés pour autant qu’ils sont directement liés aux objectifs et engagements repris dans le PIIS (par exemple les frais de garderie d’enfants pendant les heures </w:t>
      </w:r>
      <w:r w:rsidR="008C0C4B" w:rsidRPr="008C0C4B">
        <w:rPr>
          <w:sz w:val="22"/>
          <w:szCs w:val="22"/>
          <w:lang w:val="fr-FR"/>
        </w:rPr>
        <w:t>durant lesquelles le parent suit un cours de langue)</w:t>
      </w:r>
    </w:p>
    <w:p w:rsidR="008C0C4B" w:rsidRDefault="008C0C4B" w:rsidP="000968AE">
      <w:pPr>
        <w:spacing w:after="0" w:line="276" w:lineRule="auto"/>
        <w:jc w:val="both"/>
        <w:rPr>
          <w:sz w:val="22"/>
          <w:szCs w:val="22"/>
          <w:lang w:val="fr-FR"/>
        </w:rPr>
      </w:pPr>
    </w:p>
    <w:p w:rsidR="008C0C4B" w:rsidRDefault="008C0C4B" w:rsidP="000968AE">
      <w:pPr>
        <w:spacing w:after="0" w:line="276" w:lineRule="auto"/>
        <w:jc w:val="both"/>
        <w:rPr>
          <w:sz w:val="22"/>
          <w:szCs w:val="22"/>
          <w:lang w:val="fr-FR"/>
        </w:rPr>
      </w:pPr>
    </w:p>
    <w:p w:rsidR="000A3F29" w:rsidRPr="00494218" w:rsidRDefault="000A3F29">
      <w:pPr>
        <w:rPr>
          <w:b/>
          <w:sz w:val="22"/>
          <w:szCs w:val="22"/>
          <w:lang w:val="fr-FR"/>
        </w:rPr>
      </w:pPr>
    </w:p>
    <w:p w:rsidR="000142A6" w:rsidRDefault="000142A6">
      <w:pPr>
        <w:rPr>
          <w:b/>
          <w:sz w:val="22"/>
          <w:szCs w:val="22"/>
          <w:lang w:val="nl-NL"/>
        </w:rPr>
      </w:pPr>
      <w:r>
        <w:rPr>
          <w:b/>
          <w:sz w:val="22"/>
          <w:szCs w:val="22"/>
          <w:lang w:val="nl-NL"/>
        </w:rPr>
        <w:br w:type="page"/>
      </w:r>
    </w:p>
    <w:p w:rsidR="00227422" w:rsidRPr="00227422" w:rsidRDefault="00AE5378" w:rsidP="00227422">
      <w:pPr>
        <w:pStyle w:val="Lijstalinea"/>
        <w:numPr>
          <w:ilvl w:val="0"/>
          <w:numId w:val="31"/>
        </w:numPr>
        <w:spacing w:after="0" w:line="276" w:lineRule="auto"/>
        <w:jc w:val="both"/>
        <w:rPr>
          <w:b/>
          <w:sz w:val="22"/>
          <w:szCs w:val="22"/>
          <w:lang w:val="nl-NL"/>
        </w:rPr>
      </w:pPr>
      <w:proofErr w:type="spellStart"/>
      <w:r>
        <w:rPr>
          <w:b/>
          <w:sz w:val="22"/>
          <w:szCs w:val="22"/>
          <w:lang w:val="nl-NL"/>
        </w:rPr>
        <w:t>Frais</w:t>
      </w:r>
      <w:proofErr w:type="spellEnd"/>
      <w:r>
        <w:rPr>
          <w:b/>
          <w:sz w:val="22"/>
          <w:szCs w:val="22"/>
          <w:lang w:val="nl-NL"/>
        </w:rPr>
        <w:t xml:space="preserve"> de transport </w:t>
      </w:r>
    </w:p>
    <w:p w:rsidR="00227422" w:rsidRDefault="00227422" w:rsidP="00227422">
      <w:pPr>
        <w:spacing w:after="0" w:line="276" w:lineRule="auto"/>
        <w:jc w:val="both"/>
        <w:rPr>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7A2E4F" w:rsidTr="000A3F29">
        <w:tc>
          <w:tcPr>
            <w:tcW w:w="4606" w:type="dxa"/>
            <w:tcBorders>
              <w:bottom w:val="single" w:sz="4" w:space="0" w:color="auto"/>
              <w:right w:val="single" w:sz="4" w:space="0" w:color="auto"/>
            </w:tcBorders>
          </w:tcPr>
          <w:p w:rsidR="002636AA" w:rsidRPr="007A2E4F" w:rsidRDefault="008C0C4B" w:rsidP="008C0C4B">
            <w:pPr>
              <w:rPr>
                <w:lang w:val="nl-BE"/>
              </w:rPr>
            </w:pPr>
            <w:r>
              <w:rPr>
                <w:rFonts w:eastAsia="Calibri"/>
                <w:b/>
                <w:lang w:val="nl-NL"/>
              </w:rPr>
              <w:t>OUI</w:t>
            </w:r>
          </w:p>
        </w:tc>
        <w:tc>
          <w:tcPr>
            <w:tcW w:w="4606" w:type="dxa"/>
            <w:tcBorders>
              <w:left w:val="single" w:sz="4" w:space="0" w:color="auto"/>
              <w:bottom w:val="single" w:sz="4" w:space="0" w:color="auto"/>
            </w:tcBorders>
          </w:tcPr>
          <w:p w:rsidR="002636AA" w:rsidRPr="007A2E4F" w:rsidRDefault="002636AA" w:rsidP="008C0C4B">
            <w:pPr>
              <w:rPr>
                <w:lang w:val="nl-BE"/>
              </w:rPr>
            </w:pPr>
            <w:r>
              <w:rPr>
                <w:rFonts w:eastAsia="Calibri"/>
                <w:b/>
                <w:lang w:val="nl-NL"/>
              </w:rPr>
              <w:t>N</w:t>
            </w:r>
            <w:r w:rsidR="008C0C4B">
              <w:rPr>
                <w:rFonts w:eastAsia="Calibri"/>
                <w:b/>
                <w:lang w:val="nl-NL"/>
              </w:rPr>
              <w:t>ON</w:t>
            </w:r>
          </w:p>
        </w:tc>
      </w:tr>
      <w:tr w:rsidR="002636AA" w:rsidRPr="001957C7" w:rsidTr="000A3F29">
        <w:tc>
          <w:tcPr>
            <w:tcW w:w="4606" w:type="dxa"/>
            <w:tcBorders>
              <w:top w:val="single" w:sz="4" w:space="0" w:color="auto"/>
              <w:right w:val="single" w:sz="4" w:space="0" w:color="auto"/>
            </w:tcBorders>
          </w:tcPr>
          <w:p w:rsidR="00872BF1" w:rsidRPr="00872BF1" w:rsidRDefault="008C0C4B" w:rsidP="00872BF1">
            <w:pPr>
              <w:pStyle w:val="Lijstalinea"/>
              <w:numPr>
                <w:ilvl w:val="0"/>
                <w:numId w:val="30"/>
              </w:numPr>
              <w:rPr>
                <w:lang w:val="fr-FR"/>
              </w:rPr>
            </w:pPr>
            <w:r w:rsidRPr="00872BF1">
              <w:rPr>
                <w:lang w:val="fr-FR"/>
              </w:rPr>
              <w:t xml:space="preserve">S’ils sont directement liés aux objectifs et engagements du PIIS – </w:t>
            </w:r>
            <w:r w:rsidR="00872BF1" w:rsidRPr="00872BF1">
              <w:rPr>
                <w:lang w:val="fr-FR"/>
              </w:rPr>
              <w:t>les coûts des transports publics et privés sont éligibles</w:t>
            </w:r>
          </w:p>
          <w:p w:rsidR="000A3F29" w:rsidRPr="00494218" w:rsidRDefault="000A3F29" w:rsidP="00872BF1">
            <w:pPr>
              <w:pStyle w:val="Lijstalinea"/>
              <w:ind w:left="360"/>
              <w:rPr>
                <w:lang w:val="fr-FR"/>
              </w:rPr>
            </w:pPr>
          </w:p>
        </w:tc>
        <w:tc>
          <w:tcPr>
            <w:tcW w:w="4606" w:type="dxa"/>
            <w:tcBorders>
              <w:top w:val="single" w:sz="4" w:space="0" w:color="auto"/>
              <w:left w:val="single" w:sz="4" w:space="0" w:color="auto"/>
            </w:tcBorders>
          </w:tcPr>
          <w:p w:rsidR="00872BF1" w:rsidRPr="00872BF1" w:rsidRDefault="00872BF1" w:rsidP="002636AA">
            <w:pPr>
              <w:pStyle w:val="Lijstalinea"/>
              <w:numPr>
                <w:ilvl w:val="0"/>
                <w:numId w:val="30"/>
              </w:numPr>
              <w:jc w:val="both"/>
              <w:rPr>
                <w:lang w:val="fr-FR"/>
              </w:rPr>
            </w:pPr>
            <w:r w:rsidRPr="00872BF1">
              <w:rPr>
                <w:lang w:val="fr-FR"/>
              </w:rPr>
              <w:t>Les frais de déplacement pour les collaborateurs du CPAS</w:t>
            </w:r>
          </w:p>
          <w:p w:rsidR="002636AA" w:rsidRPr="00494218" w:rsidRDefault="002636AA" w:rsidP="00872BF1">
            <w:pPr>
              <w:pStyle w:val="Lijstalinea"/>
              <w:ind w:left="360"/>
              <w:jc w:val="both"/>
              <w:rPr>
                <w:lang w:val="fr-FR"/>
              </w:rPr>
            </w:pPr>
          </w:p>
        </w:tc>
      </w:tr>
    </w:tbl>
    <w:p w:rsidR="00227422" w:rsidRPr="00494218" w:rsidRDefault="00227422" w:rsidP="00227422">
      <w:pPr>
        <w:spacing w:after="0" w:line="276" w:lineRule="auto"/>
        <w:jc w:val="both"/>
        <w:rPr>
          <w:sz w:val="22"/>
          <w:szCs w:val="22"/>
          <w:lang w:val="fr-FR"/>
        </w:rPr>
      </w:pPr>
    </w:p>
    <w:p w:rsidR="00227422" w:rsidRPr="00494218" w:rsidRDefault="00227422" w:rsidP="0079501E">
      <w:pPr>
        <w:spacing w:after="0" w:line="276" w:lineRule="auto"/>
        <w:jc w:val="both"/>
        <w:rPr>
          <w:sz w:val="22"/>
          <w:szCs w:val="22"/>
          <w:lang w:val="fr-FR"/>
        </w:rPr>
      </w:pPr>
    </w:p>
    <w:p w:rsidR="0079501E" w:rsidRPr="00C3531B" w:rsidRDefault="0079501E" w:rsidP="0079501E">
      <w:pPr>
        <w:pStyle w:val="Kop3"/>
        <w:rPr>
          <w:rStyle w:val="Subtielebenadrukking"/>
          <w:lang w:val="fr-FR"/>
        </w:rPr>
      </w:pPr>
      <w:bookmarkStart w:id="6" w:name="_Toc536609129"/>
      <w:r w:rsidRPr="00C3531B">
        <w:rPr>
          <w:rStyle w:val="Subtielebenadrukking"/>
          <w:lang w:val="fr-FR"/>
        </w:rPr>
        <w:t xml:space="preserve">Cumul </w:t>
      </w:r>
      <w:r w:rsidR="00424B0A" w:rsidRPr="00C3531B">
        <w:rPr>
          <w:rStyle w:val="Subtielebenadrukking"/>
          <w:lang w:val="fr-FR"/>
        </w:rPr>
        <w:t>avec d’autres subventions</w:t>
      </w:r>
      <w:bookmarkEnd w:id="6"/>
    </w:p>
    <w:p w:rsidR="0079501E" w:rsidRPr="00C3531B" w:rsidRDefault="0079501E" w:rsidP="0079501E">
      <w:pPr>
        <w:spacing w:after="0" w:line="276" w:lineRule="auto"/>
        <w:rPr>
          <w:lang w:val="fr-FR"/>
        </w:rPr>
      </w:pPr>
    </w:p>
    <w:p w:rsidR="00C3531B" w:rsidRPr="00C3531B" w:rsidRDefault="00C3531B" w:rsidP="0079501E">
      <w:pPr>
        <w:spacing w:after="0" w:line="276" w:lineRule="auto"/>
        <w:jc w:val="both"/>
        <w:rPr>
          <w:sz w:val="22"/>
          <w:szCs w:val="22"/>
          <w:lang w:val="fr-FR"/>
        </w:rPr>
      </w:pPr>
      <w:r w:rsidRPr="00C3531B">
        <w:rPr>
          <w:sz w:val="22"/>
          <w:szCs w:val="22"/>
          <w:lang w:val="fr-FR"/>
        </w:rPr>
        <w:t xml:space="preserve">Le cumul avec d’autres subventions est permis, mais pas de double subventionnement. </w:t>
      </w:r>
      <w:r w:rsidR="00F91434" w:rsidRPr="00C3531B">
        <w:rPr>
          <w:sz w:val="22"/>
          <w:szCs w:val="22"/>
          <w:lang w:val="fr-FR"/>
        </w:rPr>
        <w:t xml:space="preserve">Les coûts qui sont déjà imputés sur un autre canal de subvention (par exemple la subvention pour la participation et l’activation sociale, le FSE, </w:t>
      </w:r>
      <w:proofErr w:type="spellStart"/>
      <w:r w:rsidR="00F91434" w:rsidRPr="00C3531B">
        <w:rPr>
          <w:sz w:val="22"/>
          <w:szCs w:val="22"/>
          <w:lang w:val="fr-FR"/>
        </w:rPr>
        <w:t>Maribel</w:t>
      </w:r>
      <w:proofErr w:type="spellEnd"/>
      <w:r w:rsidR="00F91434" w:rsidRPr="00C3531B">
        <w:rPr>
          <w:sz w:val="22"/>
          <w:szCs w:val="22"/>
          <w:lang w:val="fr-FR"/>
        </w:rPr>
        <w:t>, …</w:t>
      </w:r>
      <w:r>
        <w:rPr>
          <w:sz w:val="22"/>
          <w:szCs w:val="22"/>
          <w:lang w:val="fr-FR"/>
        </w:rPr>
        <w:t xml:space="preserve">) ne </w:t>
      </w:r>
      <w:r w:rsidR="00F91434" w:rsidRPr="00C3531B">
        <w:rPr>
          <w:sz w:val="22"/>
          <w:szCs w:val="22"/>
          <w:lang w:val="fr-FR"/>
        </w:rPr>
        <w:t xml:space="preserve">peuvent pas de nouveau être imputés (une deuxième fois donc) sur la subvention particulière pour l’accompagnement et l’activation dans le cadre d’un PIIS car cela reviendrait </w:t>
      </w:r>
      <w:r w:rsidRPr="00C3531B">
        <w:rPr>
          <w:sz w:val="22"/>
          <w:szCs w:val="22"/>
          <w:lang w:val="fr-FR"/>
        </w:rPr>
        <w:t xml:space="preserve">à une double </w:t>
      </w:r>
      <w:r>
        <w:rPr>
          <w:sz w:val="22"/>
          <w:szCs w:val="22"/>
          <w:lang w:val="fr-FR"/>
        </w:rPr>
        <w:t xml:space="preserve">(deux fois) </w:t>
      </w:r>
      <w:r w:rsidRPr="00C3531B">
        <w:rPr>
          <w:sz w:val="22"/>
          <w:szCs w:val="22"/>
          <w:lang w:val="fr-FR"/>
        </w:rPr>
        <w:t>subventionnement d’un même coût.</w:t>
      </w:r>
    </w:p>
    <w:p w:rsidR="00C3531B" w:rsidRDefault="00C3531B" w:rsidP="0079501E">
      <w:pPr>
        <w:spacing w:after="0" w:line="276" w:lineRule="auto"/>
        <w:jc w:val="both"/>
        <w:rPr>
          <w:sz w:val="22"/>
          <w:szCs w:val="22"/>
          <w:lang w:val="fr-FR"/>
        </w:rPr>
      </w:pPr>
    </w:p>
    <w:p w:rsidR="0079501E" w:rsidRPr="00C3531B" w:rsidRDefault="0079501E" w:rsidP="0079501E">
      <w:pPr>
        <w:spacing w:after="0" w:line="276" w:lineRule="auto"/>
        <w:jc w:val="both"/>
        <w:rPr>
          <w:sz w:val="22"/>
          <w:szCs w:val="22"/>
          <w:lang w:val="fr-FR"/>
        </w:rPr>
      </w:pPr>
    </w:p>
    <w:p w:rsidR="006F1484" w:rsidRPr="00C3531B" w:rsidRDefault="006F1484" w:rsidP="0079501E">
      <w:pPr>
        <w:spacing w:after="0" w:line="276" w:lineRule="auto"/>
        <w:jc w:val="both"/>
        <w:rPr>
          <w:sz w:val="22"/>
          <w:szCs w:val="22"/>
          <w:lang w:val="fr-FR"/>
        </w:rPr>
      </w:pPr>
    </w:p>
    <w:p w:rsidR="00F7151F" w:rsidRPr="00C3531B" w:rsidRDefault="00F7151F">
      <w:pPr>
        <w:rPr>
          <w:rFonts w:ascii="Calibri" w:eastAsiaTheme="majorEastAsia" w:hAnsi="Calibri" w:cstheme="majorBidi"/>
          <w:b/>
          <w:iCs/>
          <w:caps/>
          <w:color w:val="000000" w:themeColor="text1"/>
          <w:sz w:val="24"/>
          <w:szCs w:val="40"/>
          <w:lang w:val="fr-FR"/>
        </w:rPr>
      </w:pPr>
    </w:p>
    <w:p w:rsidR="00332725" w:rsidRPr="00424B0A" w:rsidRDefault="00A13070" w:rsidP="00F7151F">
      <w:pPr>
        <w:pStyle w:val="Stijl1"/>
        <w:rPr>
          <w:lang w:val="fr-FR"/>
        </w:rPr>
      </w:pPr>
      <w:bookmarkStart w:id="7" w:name="_Toc536609130"/>
      <w:r>
        <w:rPr>
          <w:lang w:val="fr-FR"/>
        </w:rPr>
        <w:t>J</w:t>
      </w:r>
      <w:r w:rsidR="00424B0A" w:rsidRPr="00424B0A">
        <w:rPr>
          <w:lang w:val="fr-FR"/>
        </w:rPr>
        <w:t>ustification de la subvention via le rapport unique</w:t>
      </w:r>
      <w:bookmarkEnd w:id="7"/>
    </w:p>
    <w:p w:rsidR="004F65C7" w:rsidRPr="00424B0A" w:rsidRDefault="004F65C7" w:rsidP="004F65C7">
      <w:pPr>
        <w:spacing w:after="0"/>
        <w:jc w:val="both"/>
        <w:rPr>
          <w:sz w:val="22"/>
          <w:szCs w:val="22"/>
          <w:lang w:val="fr-FR"/>
        </w:rPr>
      </w:pPr>
    </w:p>
    <w:p w:rsidR="00705ED5" w:rsidRPr="00705ED5" w:rsidRDefault="00705ED5" w:rsidP="0079501E">
      <w:pPr>
        <w:spacing w:after="0" w:line="276" w:lineRule="auto"/>
        <w:jc w:val="both"/>
        <w:rPr>
          <w:sz w:val="22"/>
          <w:szCs w:val="22"/>
          <w:lang w:val="fr-FR"/>
        </w:rPr>
      </w:pPr>
      <w:r w:rsidRPr="00705ED5">
        <w:rPr>
          <w:sz w:val="22"/>
          <w:szCs w:val="22"/>
          <w:lang w:val="fr-FR"/>
        </w:rPr>
        <w:t>L’utilisation de la subvention particulière pour couvrir les frais d’accompagnement et d’activation dans le cadre d’un PIIS (10% du montant du revenu d’intégration octroyé) doit être prouvée via le rapport unique.</w:t>
      </w:r>
    </w:p>
    <w:p w:rsidR="00705ED5" w:rsidRDefault="00705ED5" w:rsidP="0079501E">
      <w:pPr>
        <w:spacing w:after="0" w:line="276" w:lineRule="auto"/>
        <w:jc w:val="both"/>
        <w:rPr>
          <w:sz w:val="22"/>
          <w:szCs w:val="22"/>
          <w:lang w:val="fr-FR"/>
        </w:rPr>
      </w:pPr>
    </w:p>
    <w:p w:rsidR="00705ED5" w:rsidRPr="00705ED5" w:rsidRDefault="00705ED5" w:rsidP="00705ED5">
      <w:pPr>
        <w:spacing w:after="0" w:line="276" w:lineRule="auto"/>
        <w:jc w:val="both"/>
        <w:rPr>
          <w:rFonts w:cs="Times New Roman"/>
          <w:sz w:val="22"/>
          <w:szCs w:val="22"/>
        </w:rPr>
      </w:pPr>
      <w:r w:rsidRPr="00705ED5">
        <w:rPr>
          <w:rFonts w:cs="Times New Roman"/>
          <w:sz w:val="22"/>
          <w:szCs w:val="22"/>
        </w:rPr>
        <w:t>Le formulaire PIIS est divisé en trois parties:</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t>Frais de personnel;</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t>Interventions concernant les mesures d'accompagnement;</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t>Total général.</w:t>
      </w:r>
    </w:p>
    <w:p w:rsidR="0079501E" w:rsidRPr="0079501E" w:rsidRDefault="0079501E" w:rsidP="0079501E">
      <w:pPr>
        <w:spacing w:after="0" w:line="276" w:lineRule="auto"/>
        <w:jc w:val="both"/>
        <w:rPr>
          <w:rFonts w:cs="Times New Roman"/>
          <w:sz w:val="22"/>
          <w:szCs w:val="22"/>
          <w:lang w:val="nl-NL"/>
        </w:rPr>
      </w:pPr>
    </w:p>
    <w:p w:rsidR="0079501E" w:rsidRDefault="0079501E" w:rsidP="009E6E42">
      <w:pPr>
        <w:spacing w:after="0" w:line="276" w:lineRule="auto"/>
        <w:jc w:val="both"/>
        <w:rPr>
          <w:sz w:val="22"/>
          <w:szCs w:val="22"/>
          <w:lang w:val="nl-NL"/>
        </w:rPr>
      </w:pPr>
    </w:p>
    <w:p w:rsidR="00C3531B" w:rsidRPr="00C3531B" w:rsidRDefault="00C3531B" w:rsidP="00C3531B">
      <w:pPr>
        <w:spacing w:after="0" w:line="276" w:lineRule="auto"/>
        <w:jc w:val="both"/>
        <w:rPr>
          <w:sz w:val="22"/>
          <w:szCs w:val="22"/>
          <w:lang w:val="fr-FR"/>
        </w:rPr>
      </w:pPr>
      <w:r w:rsidRPr="00C3531B">
        <w:rPr>
          <w:sz w:val="22"/>
          <w:szCs w:val="22"/>
          <w:lang w:val="fr-FR"/>
        </w:rPr>
        <w:t>Les instructions pour remplir le formulaire ‘</w:t>
      </w:r>
      <w:r>
        <w:rPr>
          <w:sz w:val="22"/>
          <w:szCs w:val="22"/>
          <w:lang w:val="fr-FR"/>
        </w:rPr>
        <w:t xml:space="preserve">PIIS’ dans le rapport unique </w:t>
      </w:r>
      <w:r w:rsidRPr="00C3531B">
        <w:rPr>
          <w:sz w:val="22"/>
          <w:szCs w:val="22"/>
          <w:lang w:val="fr-FR"/>
        </w:rPr>
        <w:t>se trouvent dans le manuel technique ‘</w:t>
      </w:r>
      <w:r w:rsidRPr="00C3531B">
        <w:rPr>
          <w:i/>
          <w:sz w:val="22"/>
          <w:szCs w:val="22"/>
          <w:lang w:val="fr-FR"/>
        </w:rPr>
        <w:t>Rapport unique. Manuel d’utilisation à l’usage des CPAS’</w:t>
      </w:r>
      <w:r w:rsidRPr="00C3531B">
        <w:rPr>
          <w:sz w:val="22"/>
          <w:szCs w:val="22"/>
          <w:lang w:val="fr-FR"/>
        </w:rPr>
        <w:t xml:space="preserve">. Ce manuel décrit tous les formulaires du rapport unique, </w:t>
      </w:r>
      <w:r>
        <w:rPr>
          <w:sz w:val="22"/>
          <w:szCs w:val="22"/>
          <w:lang w:val="fr-FR"/>
        </w:rPr>
        <w:t xml:space="preserve">aux pages </w:t>
      </w:r>
      <w:r w:rsidR="00095B45">
        <w:rPr>
          <w:sz w:val="22"/>
          <w:szCs w:val="22"/>
          <w:lang w:val="fr-FR"/>
        </w:rPr>
        <w:t>40 - 46</w:t>
      </w:r>
      <w:r w:rsidRPr="00C3531B">
        <w:rPr>
          <w:sz w:val="22"/>
          <w:szCs w:val="22"/>
          <w:lang w:val="fr-FR"/>
        </w:rPr>
        <w:t xml:space="preserve"> vous trouverez les instructions pour le formulaire ‘P</w:t>
      </w:r>
      <w:r>
        <w:rPr>
          <w:sz w:val="22"/>
          <w:szCs w:val="22"/>
          <w:lang w:val="fr-FR"/>
        </w:rPr>
        <w:t>IIS</w:t>
      </w:r>
      <w:r w:rsidRPr="00C3531B">
        <w:rPr>
          <w:sz w:val="22"/>
          <w:szCs w:val="22"/>
          <w:lang w:val="fr-FR"/>
        </w:rPr>
        <w:t>’. Vous pouvez le télécharger à partir de la page d’accueil du portail de la sécurité sociale :</w:t>
      </w:r>
    </w:p>
    <w:p w:rsidR="00C3531B" w:rsidRPr="00C3531B" w:rsidRDefault="00A13070" w:rsidP="00C3531B">
      <w:pPr>
        <w:spacing w:after="0" w:line="276" w:lineRule="auto"/>
        <w:jc w:val="both"/>
        <w:rPr>
          <w:sz w:val="22"/>
          <w:szCs w:val="22"/>
          <w:lang w:val="fr-FR"/>
        </w:rPr>
      </w:pPr>
      <w:hyperlink r:id="rId10" w:history="1">
        <w:r w:rsidR="00C3531B" w:rsidRPr="00C3531B">
          <w:rPr>
            <w:rStyle w:val="Hyperlink"/>
            <w:sz w:val="22"/>
            <w:szCs w:val="22"/>
            <w:lang w:val="fr-FR"/>
          </w:rPr>
          <w:t>https://professional.socialsecurity.be/site_fr/civilservant/Applics/ruspp/index.htm</w:t>
        </w:r>
      </w:hyperlink>
      <w:r w:rsidR="00C3531B" w:rsidRPr="00C3531B">
        <w:rPr>
          <w:sz w:val="22"/>
          <w:szCs w:val="22"/>
          <w:lang w:val="fr-FR"/>
        </w:rPr>
        <w:t>.</w:t>
      </w:r>
    </w:p>
    <w:p w:rsidR="005C499C" w:rsidRPr="00C3531B" w:rsidRDefault="005C499C" w:rsidP="009E6E42">
      <w:pPr>
        <w:spacing w:after="0" w:line="276" w:lineRule="auto"/>
        <w:jc w:val="both"/>
        <w:rPr>
          <w:sz w:val="22"/>
          <w:szCs w:val="22"/>
          <w:lang w:val="fr-FR"/>
        </w:rPr>
      </w:pPr>
    </w:p>
    <w:p w:rsidR="00C3531B" w:rsidRPr="00494218" w:rsidRDefault="00C3531B" w:rsidP="00B85013">
      <w:pPr>
        <w:pStyle w:val="Kop3"/>
        <w:rPr>
          <w:rStyle w:val="Subtielebenadrukking"/>
          <w:lang w:val="fr-FR"/>
        </w:rPr>
      </w:pPr>
      <w:bookmarkStart w:id="8" w:name="_Toc505092806"/>
      <w:bookmarkStart w:id="9" w:name="_Toc505343092"/>
    </w:p>
    <w:p w:rsidR="000142A6" w:rsidRDefault="000142A6">
      <w:pPr>
        <w:rPr>
          <w:rStyle w:val="Subtielebenadrukking"/>
          <w:rFonts w:asciiTheme="majorHAnsi" w:eastAsiaTheme="majorEastAsia" w:hAnsiTheme="majorHAnsi" w:cstheme="majorBidi"/>
          <w:sz w:val="32"/>
          <w:szCs w:val="32"/>
          <w:lang w:val="fr-FR"/>
        </w:rPr>
      </w:pPr>
      <w:r>
        <w:rPr>
          <w:rStyle w:val="Subtielebenadrukking"/>
          <w:lang w:val="fr-FR"/>
        </w:rPr>
        <w:br w:type="page"/>
      </w:r>
    </w:p>
    <w:p w:rsidR="0079501E" w:rsidRPr="00EC4DF5" w:rsidRDefault="0079501E" w:rsidP="00B85013">
      <w:pPr>
        <w:pStyle w:val="Kop3"/>
        <w:rPr>
          <w:rStyle w:val="Subtielebenadrukking"/>
          <w:lang w:val="fr-FR"/>
        </w:rPr>
      </w:pPr>
      <w:bookmarkStart w:id="10" w:name="_Toc536609131"/>
      <w:r w:rsidRPr="00EC4DF5">
        <w:rPr>
          <w:rStyle w:val="Subtielebenadrukking"/>
          <w:lang w:val="fr-FR"/>
        </w:rPr>
        <w:t>In</w:t>
      </w:r>
      <w:r w:rsidR="00424B0A" w:rsidRPr="00EC4DF5">
        <w:rPr>
          <w:rStyle w:val="Subtielebenadrukking"/>
          <w:lang w:val="fr-FR"/>
        </w:rPr>
        <w:t>troduire des frais de personnel</w:t>
      </w:r>
      <w:bookmarkEnd w:id="8"/>
      <w:bookmarkEnd w:id="9"/>
      <w:bookmarkEnd w:id="10"/>
      <w:r w:rsidRPr="00EC4DF5">
        <w:rPr>
          <w:rStyle w:val="Subtielebenadrukking"/>
          <w:lang w:val="fr-FR"/>
        </w:rPr>
        <w:t xml:space="preserve"> </w:t>
      </w:r>
    </w:p>
    <w:p w:rsidR="0079501E" w:rsidRPr="00EC4DF5" w:rsidRDefault="0079501E" w:rsidP="009E6E42">
      <w:pPr>
        <w:spacing w:after="0" w:line="276" w:lineRule="auto"/>
        <w:jc w:val="both"/>
        <w:rPr>
          <w:sz w:val="22"/>
          <w:szCs w:val="22"/>
          <w:lang w:val="fr-FR"/>
        </w:rPr>
      </w:pPr>
    </w:p>
    <w:p w:rsidR="00B85013" w:rsidRPr="00EC4DF5" w:rsidRDefault="00B85013" w:rsidP="009E6E42">
      <w:pPr>
        <w:spacing w:after="0" w:line="276" w:lineRule="auto"/>
        <w:jc w:val="both"/>
        <w:rPr>
          <w:sz w:val="22"/>
          <w:szCs w:val="22"/>
          <w:lang w:val="fr-FR"/>
        </w:rPr>
      </w:pPr>
    </w:p>
    <w:p w:rsidR="00534496" w:rsidRDefault="00705ED5" w:rsidP="009E6E42">
      <w:pPr>
        <w:spacing w:after="0" w:line="276" w:lineRule="auto"/>
        <w:jc w:val="both"/>
        <w:rPr>
          <w:sz w:val="22"/>
          <w:szCs w:val="22"/>
          <w:lang w:val="fr-FR"/>
        </w:rPr>
      </w:pPr>
      <w:r w:rsidRPr="00534496">
        <w:rPr>
          <w:sz w:val="22"/>
          <w:szCs w:val="22"/>
          <w:lang w:val="fr-FR"/>
        </w:rPr>
        <w:t xml:space="preserve">Les frais de personnel peuvent être </w:t>
      </w:r>
      <w:r w:rsidR="00534496" w:rsidRPr="00534496">
        <w:rPr>
          <w:sz w:val="22"/>
          <w:szCs w:val="22"/>
          <w:lang w:val="fr-FR"/>
        </w:rPr>
        <w:t xml:space="preserve">encodé </w:t>
      </w:r>
      <w:r w:rsidRPr="00534496">
        <w:rPr>
          <w:sz w:val="22"/>
          <w:szCs w:val="22"/>
          <w:lang w:val="fr-FR"/>
        </w:rPr>
        <w:t>uniquement via</w:t>
      </w:r>
      <w:r w:rsidR="00534496" w:rsidRPr="00534496">
        <w:rPr>
          <w:sz w:val="22"/>
          <w:szCs w:val="22"/>
          <w:lang w:val="fr-FR"/>
        </w:rPr>
        <w:t xml:space="preserve"> l’application (voire le formulaire ci-dessous).</w:t>
      </w:r>
    </w:p>
    <w:p w:rsidR="0079501E" w:rsidRPr="00494218" w:rsidRDefault="0079501E" w:rsidP="0079501E">
      <w:pPr>
        <w:spacing w:after="0" w:line="276" w:lineRule="auto"/>
        <w:rPr>
          <w:sz w:val="22"/>
          <w:szCs w:val="22"/>
          <w:lang w:val="fr-FR"/>
        </w:rPr>
      </w:pPr>
    </w:p>
    <w:p w:rsidR="00534496" w:rsidRPr="00494218" w:rsidRDefault="00534496" w:rsidP="0079501E">
      <w:pPr>
        <w:spacing w:after="0" w:line="276" w:lineRule="auto"/>
        <w:rPr>
          <w:sz w:val="22"/>
          <w:szCs w:val="22"/>
          <w:lang w:val="fr-FR"/>
        </w:rPr>
      </w:pP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82816" behindDoc="0" locked="0" layoutInCell="1" allowOverlap="1" wp14:anchorId="6CA365B4" wp14:editId="53819D54">
                <wp:simplePos x="0" y="0"/>
                <wp:positionH relativeFrom="margin">
                  <wp:posOffset>14605</wp:posOffset>
                </wp:positionH>
                <wp:positionV relativeFrom="paragraph">
                  <wp:posOffset>805180</wp:posOffset>
                </wp:positionV>
                <wp:extent cx="2371725" cy="2000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2371725" cy="2000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7C9422" id="Rectangle 12" o:spid="_x0000_s1026" style="position:absolute;margin-left:1.15pt;margin-top:63.4pt;width:186.75pt;height:15.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" filled="f" strokecolor="red" strokeweight="2.25pt">
                <w10:wrap anchorx="margin"/>
              </v:rect>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9744" behindDoc="0" locked="0" layoutInCell="1" allowOverlap="1" wp14:anchorId="4C7516A6" wp14:editId="42F2CD59">
                <wp:simplePos x="0" y="0"/>
                <wp:positionH relativeFrom="column">
                  <wp:posOffset>1805305</wp:posOffset>
                </wp:positionH>
                <wp:positionV relativeFrom="paragraph">
                  <wp:posOffset>1652905</wp:posOffset>
                </wp:positionV>
                <wp:extent cx="511810" cy="638175"/>
                <wp:effectExtent l="38100" t="38100" r="21590" b="285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511810" cy="6381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F101D2" id="_x0000_t32" coordsize="21600,21600" o:spt="32" o:oned="t" path="m,l21600,21600e" filled="f">
                <v:path arrowok="t" fillok="f" o:connecttype="none"/>
                <o:lock v:ext="edit" shapetype="t"/>
              </v:shapetype>
              <v:shape id="Connecteur droit avec flèche 7" o:spid="_x0000_s1026" type="#_x0000_t32" style="position:absolute;margin-left:142.15pt;margin-top:130.15pt;width:40.3pt;height:50.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5648" behindDoc="0" locked="0" layoutInCell="1" allowOverlap="1" wp14:anchorId="4F70D266" wp14:editId="3644761C">
                <wp:simplePos x="0" y="0"/>
                <wp:positionH relativeFrom="column">
                  <wp:posOffset>2272030</wp:posOffset>
                </wp:positionH>
                <wp:positionV relativeFrom="paragraph">
                  <wp:posOffset>1605280</wp:posOffset>
                </wp:positionV>
                <wp:extent cx="54610" cy="676275"/>
                <wp:effectExtent l="38100" t="38100" r="40640"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54610" cy="6762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A7B7B2" id="Connecteur droit avec flèche 8" o:spid="_x0000_s1026" type="#_x0000_t32" style="position:absolute;margin-left:178.9pt;margin-top:126.4pt;width:4.3pt;height:53.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0528" behindDoc="0" locked="0" layoutInCell="1" allowOverlap="1" wp14:anchorId="25269E9B" wp14:editId="559F7859">
                <wp:simplePos x="0" y="0"/>
                <wp:positionH relativeFrom="column">
                  <wp:posOffset>2367280</wp:posOffset>
                </wp:positionH>
                <wp:positionV relativeFrom="paragraph">
                  <wp:posOffset>1681480</wp:posOffset>
                </wp:positionV>
                <wp:extent cx="38100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381000" cy="609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D9AAD" id="Connecteur droit avec flèche 9" o:spid="_x0000_s1026" type="#_x0000_t32" style="position:absolute;margin-left:186.4pt;margin-top:132.4pt;width:30pt;height:4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w:drawing>
          <wp:anchor distT="0" distB="0" distL="114300" distR="114300" simplePos="0" relativeHeight="251657216" behindDoc="0" locked="0" layoutInCell="1" allowOverlap="1" wp14:anchorId="015A9867" wp14:editId="0B955760">
            <wp:simplePos x="0" y="0"/>
            <wp:positionH relativeFrom="margin">
              <wp:posOffset>0</wp:posOffset>
            </wp:positionH>
            <wp:positionV relativeFrom="paragraph">
              <wp:posOffset>199390</wp:posOffset>
            </wp:positionV>
            <wp:extent cx="6055532" cy="1981200"/>
            <wp:effectExtent l="0" t="0" r="2540" b="0"/>
            <wp:wrapSquare wrapText="bothSides"/>
            <wp:docPr id="4"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532"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496" w:rsidRPr="00494218" w:rsidRDefault="00534496" w:rsidP="0079501E">
      <w:pPr>
        <w:spacing w:after="0" w:line="276" w:lineRule="auto"/>
        <w:rPr>
          <w:sz w:val="22"/>
          <w:szCs w:val="22"/>
          <w:lang w:val="fr-FR"/>
        </w:rPr>
      </w:pPr>
      <w:r w:rsidRPr="00534496">
        <w:rPr>
          <w:rFonts w:ascii="Calibri" w:eastAsia="Calibri" w:hAnsi="Calibri" w:cs="Times New Roman"/>
          <w:noProof/>
          <w:sz w:val="22"/>
          <w:szCs w:val="22"/>
          <w:lang w:eastAsia="fr-BE"/>
        </w:rPr>
        <mc:AlternateContent>
          <mc:Choice Requires="wps">
            <w:drawing>
              <wp:anchor distT="0" distB="0" distL="114300" distR="114300" simplePos="0" relativeHeight="251664384" behindDoc="0" locked="0" layoutInCell="1" allowOverlap="1" wp14:anchorId="58A64A7A" wp14:editId="7E83FC97">
                <wp:simplePos x="0" y="0"/>
                <wp:positionH relativeFrom="column">
                  <wp:posOffset>1590675</wp:posOffset>
                </wp:positionH>
                <wp:positionV relativeFrom="paragraph">
                  <wp:posOffset>2090420</wp:posOffset>
                </wp:positionV>
                <wp:extent cx="1524000" cy="304800"/>
                <wp:effectExtent l="0" t="0" r="19050" b="19050"/>
                <wp:wrapNone/>
                <wp:docPr id="11"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19050">
                          <a:solidFill>
                            <a:prstClr val="black"/>
                          </a:solidFill>
                        </a:ln>
                        <a:effectLst/>
                      </wps:spPr>
                      <wps:txbx>
                        <w:txbxContent>
                          <w:p w:rsidR="00FA1C54" w:rsidRDefault="00FA1C54" w:rsidP="00534496">
                            <w:pPr>
                              <w:jc w:val="center"/>
                            </w:pPr>
                            <w:r>
                              <w:t>Menu déroulant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8A64A7A" id="Zone de texte 6" o:spid="_x0000_s1027" type="#_x0000_t202" style="position:absolute;margin-left:125.25pt;margin-top:164.6pt;width:12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" fillcolor="window" strokeweight="1.5pt">
                <v:textbox>
                  <w:txbxContent>
                    <w:p w:rsidR="00FA1C54" w:rsidRDefault="00FA1C54" w:rsidP="00534496">
                      <w:pPr>
                        <w:jc w:val="center"/>
                      </w:pPr>
                      <w:r>
                        <w:t>Menu déroulant</w:t>
                      </w:r>
                    </w:p>
                  </w:txbxContent>
                </v:textbox>
              </v:shape>
            </w:pict>
          </mc:Fallback>
        </mc:AlternateContent>
      </w:r>
    </w:p>
    <w:p w:rsidR="00534496" w:rsidRPr="00494218" w:rsidRDefault="00534496" w:rsidP="0079501E">
      <w:pPr>
        <w:spacing w:after="0" w:line="276" w:lineRule="auto"/>
        <w:rPr>
          <w:sz w:val="22"/>
          <w:szCs w:val="22"/>
          <w:lang w:val="fr-FR"/>
        </w:rPr>
      </w:pPr>
    </w:p>
    <w:p w:rsidR="0079501E" w:rsidRPr="00494218" w:rsidRDefault="0079501E" w:rsidP="0079501E">
      <w:pPr>
        <w:spacing w:after="0" w:line="276" w:lineRule="auto"/>
        <w:rPr>
          <w:sz w:val="22"/>
          <w:szCs w:val="22"/>
          <w:lang w:val="fr-FR"/>
        </w:rPr>
      </w:pPr>
    </w:p>
    <w:p w:rsidR="0079501E" w:rsidRPr="00494218" w:rsidRDefault="0079501E" w:rsidP="0079501E">
      <w:pPr>
        <w:tabs>
          <w:tab w:val="left" w:pos="1455"/>
        </w:tabs>
        <w:spacing w:after="0" w:line="276" w:lineRule="auto"/>
        <w:rPr>
          <w:sz w:val="22"/>
          <w:szCs w:val="22"/>
          <w:lang w:val="fr-FR"/>
        </w:rPr>
      </w:pPr>
    </w:p>
    <w:p w:rsidR="0079501E" w:rsidRPr="00494218" w:rsidRDefault="0079501E" w:rsidP="0079501E">
      <w:pPr>
        <w:tabs>
          <w:tab w:val="left" w:pos="1305"/>
        </w:tabs>
        <w:spacing w:after="0" w:line="276" w:lineRule="auto"/>
        <w:rPr>
          <w:sz w:val="22"/>
          <w:szCs w:val="22"/>
          <w:lang w:val="fr-FR"/>
        </w:rPr>
      </w:pPr>
    </w:p>
    <w:p w:rsidR="0079501E" w:rsidRPr="00534496" w:rsidRDefault="00534496" w:rsidP="00534496">
      <w:pPr>
        <w:pStyle w:val="Geenafstand"/>
        <w:rPr>
          <w:b/>
          <w:sz w:val="24"/>
          <w:szCs w:val="24"/>
          <w:lang w:val="fr-FR"/>
        </w:rPr>
      </w:pPr>
      <w:r w:rsidRPr="00534496">
        <w:rPr>
          <w:b/>
          <w:sz w:val="24"/>
          <w:szCs w:val="24"/>
          <w:lang w:val="fr-FR"/>
        </w:rPr>
        <w:t>Régime d’embauche</w:t>
      </w:r>
    </w:p>
    <w:p w:rsidR="0079501E" w:rsidRPr="00534496" w:rsidRDefault="0079501E" w:rsidP="0079501E">
      <w:pPr>
        <w:tabs>
          <w:tab w:val="left" w:pos="1305"/>
        </w:tabs>
        <w:spacing w:after="0" w:line="276" w:lineRule="auto"/>
        <w:rPr>
          <w:sz w:val="22"/>
          <w:szCs w:val="22"/>
          <w:lang w:val="fr-FR"/>
        </w:rPr>
      </w:pPr>
    </w:p>
    <w:p w:rsidR="00534496" w:rsidRPr="00534496" w:rsidRDefault="00534496" w:rsidP="00534496">
      <w:pPr>
        <w:spacing w:after="0" w:line="276" w:lineRule="auto"/>
        <w:jc w:val="both"/>
        <w:rPr>
          <w:rFonts w:cs="Times New Roman"/>
          <w:sz w:val="22"/>
          <w:szCs w:val="22"/>
          <w:lang w:val="fr-FR"/>
        </w:rPr>
      </w:pPr>
      <w:r w:rsidRPr="00534496">
        <w:rPr>
          <w:rFonts w:cs="Times New Roman"/>
          <w:sz w:val="22"/>
          <w:szCs w:val="22"/>
          <w:lang w:val="fr-FR"/>
        </w:rPr>
        <w:t xml:space="preserve">Le régime de mise au travail a trait au type de contrat par lequel le membre du personnel a été engagé dans le CPAS (à temps plein, à temps partiel, …) </w:t>
      </w:r>
    </w:p>
    <w:p w:rsidR="000142A6" w:rsidRDefault="000142A6" w:rsidP="00534496">
      <w:pPr>
        <w:spacing w:after="0" w:line="276" w:lineRule="auto"/>
        <w:jc w:val="both"/>
        <w:rPr>
          <w:rFonts w:cs="Times New Roman"/>
          <w:sz w:val="22"/>
          <w:szCs w:val="22"/>
          <w:lang w:val="fr-FR"/>
        </w:rPr>
      </w:pPr>
    </w:p>
    <w:p w:rsidR="00534496" w:rsidRPr="00534496" w:rsidRDefault="00534496" w:rsidP="00534496">
      <w:pPr>
        <w:spacing w:after="0" w:line="276" w:lineRule="auto"/>
        <w:jc w:val="both"/>
        <w:rPr>
          <w:rFonts w:cs="Times New Roman"/>
          <w:sz w:val="22"/>
          <w:szCs w:val="22"/>
          <w:lang w:val="fr-FR"/>
        </w:rPr>
      </w:pPr>
      <w:r w:rsidRPr="00534496">
        <w:rPr>
          <w:rFonts w:cs="Times New Roman"/>
          <w:sz w:val="22"/>
          <w:szCs w:val="22"/>
          <w:lang w:val="fr-FR"/>
        </w:rPr>
        <w:t>Le CPAS choisit au moyen de la barre déroulante le type de régime d’embauche. Lorsque le régime n’est pas repris dans la liste déroulante, il faut prendre le régime se rapprochant le plus, en choisissant le régime de travail le plus élevé.</w:t>
      </w:r>
    </w:p>
    <w:p w:rsidR="0079501E" w:rsidRPr="00534496" w:rsidRDefault="0079501E" w:rsidP="0079501E">
      <w:pPr>
        <w:spacing w:after="0" w:line="276" w:lineRule="auto"/>
        <w:rPr>
          <w:rFonts w:cs="Times New Roman"/>
          <w:sz w:val="22"/>
          <w:szCs w:val="22"/>
          <w:lang w:val="fr-FR"/>
        </w:rPr>
      </w:pPr>
    </w:p>
    <w:p w:rsidR="00B85013" w:rsidRPr="00494218" w:rsidRDefault="00B85013" w:rsidP="00B85013">
      <w:pPr>
        <w:rPr>
          <w:lang w:val="fr-FR"/>
        </w:rPr>
      </w:pPr>
      <w:bookmarkStart w:id="11" w:name="_Toc505092808"/>
      <w:bookmarkStart w:id="12" w:name="_Toc505343094"/>
    </w:p>
    <w:p w:rsidR="0079501E" w:rsidRPr="00534496" w:rsidRDefault="002443BF" w:rsidP="00B85013">
      <w:pPr>
        <w:pStyle w:val="Geenafstand"/>
        <w:rPr>
          <w:b/>
          <w:sz w:val="24"/>
          <w:szCs w:val="24"/>
          <w:lang w:val="fr-FR"/>
        </w:rPr>
      </w:pPr>
      <w:r w:rsidRPr="00534496">
        <w:rPr>
          <w:b/>
          <w:sz w:val="24"/>
          <w:szCs w:val="24"/>
          <w:lang w:val="fr-FR"/>
        </w:rPr>
        <w:t>T</w:t>
      </w:r>
      <w:r w:rsidR="00534496" w:rsidRPr="00534496">
        <w:rPr>
          <w:b/>
          <w:sz w:val="24"/>
          <w:szCs w:val="24"/>
          <w:lang w:val="fr-FR"/>
        </w:rPr>
        <w:t xml:space="preserve">aux d’affectation au projet </w:t>
      </w:r>
      <w:bookmarkEnd w:id="11"/>
      <w:bookmarkEnd w:id="12"/>
    </w:p>
    <w:p w:rsidR="00B85013" w:rsidRPr="00534496" w:rsidRDefault="00B85013" w:rsidP="0079501E">
      <w:pPr>
        <w:spacing w:after="0" w:line="276" w:lineRule="auto"/>
        <w:jc w:val="both"/>
        <w:rPr>
          <w:sz w:val="22"/>
          <w:szCs w:val="22"/>
          <w:lang w:val="fr-FR"/>
        </w:rPr>
      </w:pPr>
    </w:p>
    <w:p w:rsidR="00534496" w:rsidRPr="00534496" w:rsidRDefault="00534496" w:rsidP="00534496">
      <w:pPr>
        <w:spacing w:after="0" w:line="276" w:lineRule="auto"/>
        <w:jc w:val="both"/>
        <w:rPr>
          <w:sz w:val="22"/>
          <w:szCs w:val="22"/>
          <w:lang w:val="fr-FR"/>
        </w:rPr>
      </w:pPr>
      <w:r w:rsidRPr="00534496">
        <w:rPr>
          <w:sz w:val="22"/>
          <w:szCs w:val="22"/>
          <w:lang w:val="fr-FR"/>
        </w:rPr>
        <w:t xml:space="preserve">Le taux d’affectation concerne l'occupation quotidienne du membre du personnel. </w:t>
      </w:r>
    </w:p>
    <w:p w:rsidR="000142A6" w:rsidRDefault="000142A6" w:rsidP="00534496">
      <w:pPr>
        <w:spacing w:after="0" w:line="276" w:lineRule="auto"/>
        <w:jc w:val="both"/>
        <w:rPr>
          <w:sz w:val="22"/>
          <w:szCs w:val="22"/>
          <w:lang w:val="fr-FR"/>
        </w:rPr>
      </w:pPr>
    </w:p>
    <w:p w:rsidR="00534496" w:rsidRPr="00534496" w:rsidRDefault="00534496" w:rsidP="00534496">
      <w:pPr>
        <w:spacing w:after="0" w:line="276" w:lineRule="auto"/>
        <w:jc w:val="both"/>
        <w:rPr>
          <w:sz w:val="22"/>
          <w:szCs w:val="22"/>
          <w:lang w:val="fr-FR"/>
        </w:rPr>
      </w:pPr>
      <w:r w:rsidRPr="00534496">
        <w:rPr>
          <w:sz w:val="22"/>
          <w:szCs w:val="22"/>
          <w:lang w:val="fr-FR"/>
        </w:rPr>
        <w:t>Il  s’agit de déterminer la partie du temps de travail affecté à ces missions sur une période de référence d’un an.</w:t>
      </w:r>
    </w:p>
    <w:p w:rsidR="00B85013" w:rsidRDefault="00B85013" w:rsidP="0079501E">
      <w:pPr>
        <w:spacing w:after="0" w:line="276" w:lineRule="auto"/>
        <w:jc w:val="both"/>
        <w:rPr>
          <w:rFonts w:cs="Times New Roman"/>
          <w:sz w:val="22"/>
          <w:szCs w:val="22"/>
          <w:lang w:val="fr-FR"/>
        </w:rPr>
      </w:pPr>
    </w:p>
    <w:p w:rsidR="000142A6" w:rsidRPr="00494218" w:rsidRDefault="000142A6" w:rsidP="0079501E">
      <w:pPr>
        <w:spacing w:after="0" w:line="276" w:lineRule="auto"/>
        <w:jc w:val="both"/>
        <w:rPr>
          <w:rFonts w:cs="Times New Roman"/>
          <w:sz w:val="22"/>
          <w:szCs w:val="22"/>
          <w:lang w:val="fr-FR"/>
        </w:rPr>
      </w:pPr>
    </w:p>
    <w:p w:rsidR="0079501E" w:rsidRPr="00534496" w:rsidRDefault="0079501E" w:rsidP="00B85013">
      <w:pPr>
        <w:pStyle w:val="Geenafstand"/>
        <w:rPr>
          <w:b/>
          <w:sz w:val="24"/>
          <w:szCs w:val="24"/>
          <w:lang w:val="fr-FR"/>
        </w:rPr>
      </w:pPr>
      <w:bookmarkStart w:id="13" w:name="_Toc505092809"/>
      <w:bookmarkStart w:id="14" w:name="_Toc505343095"/>
      <w:r w:rsidRPr="00534496">
        <w:rPr>
          <w:b/>
          <w:sz w:val="24"/>
          <w:szCs w:val="24"/>
          <w:lang w:val="fr-FR"/>
        </w:rPr>
        <w:t>Du</w:t>
      </w:r>
      <w:r w:rsidR="00534496" w:rsidRPr="00534496">
        <w:rPr>
          <w:b/>
          <w:sz w:val="24"/>
          <w:szCs w:val="24"/>
          <w:lang w:val="fr-FR"/>
        </w:rPr>
        <w:t>rée</w:t>
      </w:r>
      <w:bookmarkEnd w:id="13"/>
      <w:bookmarkEnd w:id="14"/>
    </w:p>
    <w:p w:rsidR="0079501E" w:rsidRPr="00534496" w:rsidRDefault="0079501E" w:rsidP="0079501E">
      <w:pPr>
        <w:spacing w:after="0" w:line="276" w:lineRule="auto"/>
        <w:jc w:val="both"/>
        <w:rPr>
          <w:sz w:val="22"/>
          <w:szCs w:val="22"/>
          <w:lang w:val="fr-FR"/>
        </w:rPr>
      </w:pPr>
    </w:p>
    <w:p w:rsidR="000142A6" w:rsidRDefault="00534496" w:rsidP="000142A6">
      <w:pPr>
        <w:spacing w:after="0" w:line="276" w:lineRule="auto"/>
        <w:jc w:val="both"/>
        <w:rPr>
          <w:sz w:val="22"/>
          <w:szCs w:val="22"/>
          <w:lang w:val="fr-FR"/>
        </w:rPr>
      </w:pPr>
      <w:r w:rsidRPr="00534496">
        <w:rPr>
          <w:sz w:val="22"/>
          <w:szCs w:val="22"/>
          <w:lang w:val="fr-FR"/>
        </w:rPr>
        <w:t>La durée correspond au nombre de mois pendant lesquels la personne a travaillé dans le cadre de ce projet.</w:t>
      </w:r>
      <w:r w:rsidR="000142A6">
        <w:rPr>
          <w:sz w:val="22"/>
          <w:szCs w:val="22"/>
          <w:lang w:val="fr-FR"/>
        </w:rPr>
        <w:br w:type="page"/>
      </w:r>
    </w:p>
    <w:p w:rsidR="00534496" w:rsidRPr="00534496" w:rsidRDefault="00534496" w:rsidP="00534496">
      <w:pPr>
        <w:spacing w:after="0" w:line="276" w:lineRule="auto"/>
        <w:jc w:val="both"/>
        <w:rPr>
          <w:sz w:val="22"/>
          <w:szCs w:val="22"/>
          <w:lang w:val="fr-FR"/>
        </w:rPr>
      </w:pPr>
      <w:r w:rsidRPr="00534496">
        <w:rPr>
          <w:sz w:val="22"/>
          <w:szCs w:val="22"/>
          <w:lang w:val="fr-FR"/>
        </w:rPr>
        <w:t xml:space="preserve">Cette durée correspond à la charge financière prise en charge par le CPAS en tant qu’employeur. Lorsque la charge financière repose sur un autre organisme, la durée de cette prise en charge ne peut pas être imputée. </w:t>
      </w:r>
    </w:p>
    <w:p w:rsidR="00534496" w:rsidRDefault="00534496" w:rsidP="00534496">
      <w:pPr>
        <w:spacing w:after="0" w:line="276" w:lineRule="auto"/>
        <w:jc w:val="both"/>
        <w:rPr>
          <w:sz w:val="22"/>
          <w:szCs w:val="22"/>
          <w:lang w:val="fr-FR"/>
        </w:rPr>
      </w:pPr>
      <w:r w:rsidRPr="00534496">
        <w:rPr>
          <w:sz w:val="22"/>
          <w:szCs w:val="22"/>
          <w:lang w:val="fr-FR"/>
        </w:rPr>
        <w:t>Le CPAS choisit au moyen de la barre déroulante le nombre de mois. Lorsque le mois est commencé, il équivaut à un mois.</w:t>
      </w:r>
    </w:p>
    <w:p w:rsidR="00534496" w:rsidRDefault="00534496" w:rsidP="00534496">
      <w:pPr>
        <w:spacing w:after="0" w:line="276" w:lineRule="auto"/>
        <w:jc w:val="both"/>
        <w:rPr>
          <w:sz w:val="22"/>
          <w:szCs w:val="22"/>
          <w:lang w:val="fr-FR"/>
        </w:rPr>
      </w:pPr>
    </w:p>
    <w:p w:rsidR="000142A6" w:rsidRPr="00534496" w:rsidRDefault="000142A6" w:rsidP="00534496">
      <w:pPr>
        <w:spacing w:after="0" w:line="276" w:lineRule="auto"/>
        <w:jc w:val="both"/>
        <w:rPr>
          <w:sz w:val="22"/>
          <w:szCs w:val="22"/>
          <w:lang w:val="fr-FR"/>
        </w:rPr>
      </w:pPr>
    </w:p>
    <w:p w:rsidR="0079501E" w:rsidRPr="003E5132" w:rsidRDefault="003E5132" w:rsidP="00B85013">
      <w:pPr>
        <w:pStyle w:val="Geenafstand"/>
        <w:rPr>
          <w:b/>
          <w:sz w:val="24"/>
          <w:szCs w:val="24"/>
          <w:lang w:val="fr-FR"/>
        </w:rPr>
      </w:pPr>
      <w:bookmarkStart w:id="15" w:name="_Toc505092810"/>
      <w:bookmarkStart w:id="16" w:name="_Toc505343096"/>
      <w:r w:rsidRPr="003E5132">
        <w:rPr>
          <w:b/>
          <w:sz w:val="24"/>
          <w:szCs w:val="24"/>
          <w:lang w:val="fr-FR"/>
        </w:rPr>
        <w:t xml:space="preserve">Montant du salaire affecté au subside </w:t>
      </w:r>
      <w:bookmarkEnd w:id="15"/>
      <w:bookmarkEnd w:id="16"/>
    </w:p>
    <w:p w:rsidR="0079501E" w:rsidRPr="003E5132" w:rsidRDefault="0079501E" w:rsidP="00B85013">
      <w:pPr>
        <w:pStyle w:val="Geenafstand"/>
        <w:rPr>
          <w:b/>
          <w:lang w:val="fr-FR"/>
        </w:rPr>
      </w:pPr>
    </w:p>
    <w:p w:rsidR="003E5132" w:rsidRPr="003E5132" w:rsidRDefault="003E5132" w:rsidP="00A62D48">
      <w:pPr>
        <w:spacing w:after="0" w:line="276" w:lineRule="auto"/>
        <w:jc w:val="both"/>
        <w:rPr>
          <w:sz w:val="22"/>
          <w:szCs w:val="22"/>
          <w:lang w:val="fr-FR"/>
        </w:rPr>
      </w:pPr>
      <w:r w:rsidRPr="003E5132">
        <w:rPr>
          <w:sz w:val="22"/>
          <w:szCs w:val="22"/>
          <w:lang w:val="fr-FR"/>
        </w:rPr>
        <w:t>Le montant total du salaire brut affecté au subside.</w:t>
      </w:r>
    </w:p>
    <w:p w:rsidR="003E5132" w:rsidRDefault="003E5132" w:rsidP="00A62D48">
      <w:pPr>
        <w:spacing w:after="0" w:line="276" w:lineRule="auto"/>
        <w:jc w:val="both"/>
        <w:rPr>
          <w:sz w:val="22"/>
          <w:szCs w:val="22"/>
          <w:lang w:val="fr-FR"/>
        </w:rPr>
      </w:pPr>
    </w:p>
    <w:p w:rsidR="009C2F8E" w:rsidRPr="00494218" w:rsidRDefault="009C2F8E" w:rsidP="00B85013">
      <w:pPr>
        <w:pStyle w:val="Geenafstand"/>
        <w:rPr>
          <w:rFonts w:cs="Times New Roman"/>
          <w:sz w:val="22"/>
          <w:szCs w:val="22"/>
          <w:lang w:val="fr-FR"/>
        </w:rPr>
      </w:pPr>
    </w:p>
    <w:p w:rsidR="0079501E" w:rsidRPr="00424B0A" w:rsidRDefault="0079501E" w:rsidP="00B85013">
      <w:pPr>
        <w:pStyle w:val="Kop3"/>
        <w:rPr>
          <w:rStyle w:val="Subtielebenadrukking"/>
          <w:lang w:val="fr-FR"/>
        </w:rPr>
      </w:pPr>
      <w:bookmarkStart w:id="17" w:name="_Toc505092811"/>
      <w:bookmarkStart w:id="18" w:name="_Toc505343097"/>
      <w:bookmarkStart w:id="19" w:name="_Toc536609132"/>
      <w:r w:rsidRPr="00424B0A">
        <w:rPr>
          <w:rStyle w:val="Subtielebenadrukking"/>
          <w:lang w:val="fr-FR"/>
        </w:rPr>
        <w:t>In</w:t>
      </w:r>
      <w:r w:rsidR="00424B0A" w:rsidRPr="00424B0A">
        <w:rPr>
          <w:rStyle w:val="Subtielebenadrukking"/>
          <w:lang w:val="fr-FR"/>
        </w:rPr>
        <w:t>troduire des interventions concernant les mesures d’accompagnement</w:t>
      </w:r>
      <w:bookmarkEnd w:id="17"/>
      <w:bookmarkEnd w:id="18"/>
      <w:bookmarkEnd w:id="19"/>
    </w:p>
    <w:p w:rsidR="0079501E" w:rsidRPr="00424B0A" w:rsidRDefault="0079501E" w:rsidP="0079501E">
      <w:pPr>
        <w:spacing w:after="0" w:line="276" w:lineRule="auto"/>
        <w:rPr>
          <w:sz w:val="22"/>
          <w:szCs w:val="22"/>
          <w:lang w:val="fr-FR"/>
        </w:rPr>
      </w:pPr>
    </w:p>
    <w:p w:rsidR="00705ED5" w:rsidRDefault="00705ED5" w:rsidP="00705ED5">
      <w:pPr>
        <w:spacing w:after="0" w:line="276" w:lineRule="auto"/>
        <w:jc w:val="both"/>
        <w:rPr>
          <w:sz w:val="22"/>
          <w:szCs w:val="22"/>
        </w:rPr>
      </w:pPr>
      <w:r w:rsidRPr="00705ED5">
        <w:rPr>
          <w:sz w:val="22"/>
          <w:szCs w:val="22"/>
        </w:rPr>
        <w:t xml:space="preserve">Le CPAS peut encoder les données via l'application ou via un fichier </w:t>
      </w:r>
      <w:proofErr w:type="spellStart"/>
      <w:r w:rsidRPr="00705ED5">
        <w:rPr>
          <w:sz w:val="22"/>
          <w:szCs w:val="22"/>
        </w:rPr>
        <w:t>excel</w:t>
      </w:r>
      <w:proofErr w:type="spellEnd"/>
      <w:r w:rsidRPr="00705ED5">
        <w:rPr>
          <w:sz w:val="22"/>
          <w:szCs w:val="22"/>
        </w:rPr>
        <w:t xml:space="preserve"> (tableur).</w:t>
      </w:r>
    </w:p>
    <w:p w:rsidR="00705ED5" w:rsidRPr="00705ED5" w:rsidRDefault="00705ED5" w:rsidP="00705ED5">
      <w:pPr>
        <w:spacing w:after="0" w:line="276" w:lineRule="auto"/>
        <w:jc w:val="both"/>
        <w:rPr>
          <w:sz w:val="22"/>
          <w:szCs w:val="22"/>
        </w:rPr>
      </w:pPr>
    </w:p>
    <w:p w:rsidR="00705ED5" w:rsidRPr="00705ED5" w:rsidRDefault="00705ED5" w:rsidP="00705ED5">
      <w:pPr>
        <w:spacing w:after="0" w:line="276" w:lineRule="auto"/>
        <w:jc w:val="both"/>
        <w:rPr>
          <w:sz w:val="22"/>
          <w:szCs w:val="22"/>
        </w:rPr>
      </w:pPr>
      <w:r w:rsidRPr="00705ED5">
        <w:rPr>
          <w:sz w:val="22"/>
          <w:szCs w:val="22"/>
        </w:rPr>
        <w:t>Ce tableur est à privilégier si le CPAS a beaucoup de données à introduire. Par contre, si le CPAS a peu de données, il privilégiera l'encodage via l’application Web.</w:t>
      </w:r>
    </w:p>
    <w:p w:rsidR="000142A6" w:rsidRDefault="000142A6" w:rsidP="00705ED5">
      <w:pPr>
        <w:spacing w:after="0" w:line="276" w:lineRule="auto"/>
        <w:jc w:val="both"/>
        <w:rPr>
          <w:sz w:val="22"/>
          <w:szCs w:val="22"/>
        </w:rPr>
      </w:pPr>
    </w:p>
    <w:p w:rsidR="00705ED5" w:rsidRPr="00705ED5" w:rsidRDefault="00705ED5" w:rsidP="00705ED5">
      <w:pPr>
        <w:spacing w:after="0" w:line="276" w:lineRule="auto"/>
        <w:jc w:val="both"/>
        <w:rPr>
          <w:sz w:val="22"/>
          <w:szCs w:val="22"/>
        </w:rPr>
      </w:pPr>
      <w:r w:rsidRPr="00705ED5">
        <w:rPr>
          <w:sz w:val="22"/>
          <w:szCs w:val="22"/>
        </w:rPr>
        <w:t>Il n’est pas possible de compléter une partie au moyen de l’application et une autre partie au moyen du tableur.</w:t>
      </w:r>
      <w:r w:rsidRPr="00705ED5">
        <w:rPr>
          <w:sz w:val="22"/>
          <w:szCs w:val="22"/>
          <w:lang w:val="fr-FR"/>
        </w:rPr>
        <w:t xml:space="preserve">   </w:t>
      </w:r>
    </w:p>
    <w:p w:rsidR="005C499C" w:rsidRPr="00705ED5" w:rsidRDefault="005C499C" w:rsidP="005C499C">
      <w:pPr>
        <w:spacing w:after="0" w:line="276" w:lineRule="auto"/>
        <w:jc w:val="both"/>
        <w:rPr>
          <w:sz w:val="22"/>
          <w:szCs w:val="22"/>
        </w:rPr>
      </w:pPr>
    </w:p>
    <w:p w:rsidR="005C499C" w:rsidRPr="00705ED5" w:rsidRDefault="005C499C" w:rsidP="005C499C">
      <w:pPr>
        <w:pStyle w:val="Kop3"/>
        <w:rPr>
          <w:lang w:val="fr-FR"/>
        </w:rPr>
      </w:pPr>
      <w:bookmarkStart w:id="20" w:name="_Toc536609133"/>
      <w:r w:rsidRPr="00705ED5">
        <w:rPr>
          <w:lang w:val="fr-FR"/>
        </w:rPr>
        <w:t xml:space="preserve">Via </w:t>
      </w:r>
      <w:r w:rsidR="00424B0A" w:rsidRPr="00705ED5">
        <w:rPr>
          <w:lang w:val="fr-FR"/>
        </w:rPr>
        <w:t>l’application</w:t>
      </w:r>
      <w:bookmarkEnd w:id="20"/>
    </w:p>
    <w:p w:rsidR="005C499C" w:rsidRPr="00705ED5" w:rsidRDefault="005C499C" w:rsidP="0079501E">
      <w:pPr>
        <w:spacing w:after="0" w:line="276" w:lineRule="auto"/>
        <w:rPr>
          <w:sz w:val="22"/>
          <w:szCs w:val="22"/>
          <w:lang w:val="fr-FR"/>
        </w:rPr>
      </w:pPr>
    </w:p>
    <w:p w:rsidR="00705ED5" w:rsidRPr="00705ED5" w:rsidRDefault="00705ED5" w:rsidP="00705ED5">
      <w:pPr>
        <w:spacing w:after="0" w:line="276" w:lineRule="auto"/>
        <w:rPr>
          <w:sz w:val="22"/>
          <w:szCs w:val="22"/>
          <w:lang w:val="fr-FR"/>
        </w:rPr>
      </w:pPr>
      <w:r w:rsidRPr="00705ED5">
        <w:rPr>
          <w:sz w:val="22"/>
          <w:szCs w:val="22"/>
        </w:rPr>
        <w:t>L'encodage des frais d'accompagnement doit se faire via l'écran suivant:</w:t>
      </w:r>
    </w:p>
    <w:p w:rsidR="005C499C" w:rsidRPr="00494218" w:rsidRDefault="005C499C" w:rsidP="0079501E">
      <w:pPr>
        <w:spacing w:after="0" w:line="276" w:lineRule="auto"/>
        <w:rPr>
          <w:sz w:val="22"/>
          <w:szCs w:val="22"/>
          <w:lang w:val="fr-FR"/>
        </w:rPr>
      </w:pPr>
    </w:p>
    <w:p w:rsidR="000142A6" w:rsidRDefault="00705ED5" w:rsidP="000142A6">
      <w:pPr>
        <w:spacing w:after="0" w:line="276" w:lineRule="auto"/>
        <w:rPr>
          <w:sz w:val="22"/>
          <w:szCs w:val="22"/>
          <w:lang w:val="nl-NL"/>
        </w:rPr>
      </w:pPr>
      <w:r w:rsidRPr="00705ED5">
        <w:rPr>
          <w:rFonts w:ascii="DejaVu Sans" w:eastAsia="Times New Roman" w:hAnsi="DejaVu Sans" w:cs="DejaVu Sans"/>
          <w:noProof/>
          <w:sz w:val="20"/>
          <w:szCs w:val="20"/>
          <w:lang w:eastAsia="fr-BE"/>
        </w:rPr>
        <w:drawing>
          <wp:inline distT="0" distB="0" distL="0" distR="0" wp14:anchorId="1F0CE7A8" wp14:editId="4D1FDC4A">
            <wp:extent cx="5153025" cy="3267075"/>
            <wp:effectExtent l="0" t="0" r="9525" b="9525"/>
            <wp:docPr id="16" name="Image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3267075"/>
                    </a:xfrm>
                    <a:prstGeom prst="rect">
                      <a:avLst/>
                    </a:prstGeom>
                    <a:noFill/>
                    <a:ln>
                      <a:noFill/>
                    </a:ln>
                  </pic:spPr>
                </pic:pic>
              </a:graphicData>
            </a:graphic>
          </wp:inline>
        </w:drawing>
      </w:r>
      <w:r w:rsidR="000142A6">
        <w:rPr>
          <w:sz w:val="22"/>
          <w:szCs w:val="22"/>
          <w:lang w:val="nl-NL"/>
        </w:rPr>
        <w:br w:type="page"/>
      </w:r>
    </w:p>
    <w:p w:rsidR="0079501E" w:rsidRPr="00696426" w:rsidRDefault="00696426" w:rsidP="005C499C">
      <w:pPr>
        <w:pStyle w:val="Geenafstand"/>
        <w:rPr>
          <w:b/>
          <w:sz w:val="24"/>
          <w:szCs w:val="24"/>
          <w:lang w:val="fr-FR"/>
        </w:rPr>
      </w:pPr>
      <w:bookmarkStart w:id="21" w:name="_Toc505092812"/>
      <w:bookmarkStart w:id="22" w:name="_Toc505343098"/>
      <w:r w:rsidRPr="00696426">
        <w:rPr>
          <w:b/>
          <w:sz w:val="24"/>
          <w:szCs w:val="24"/>
          <w:lang w:val="fr-FR"/>
        </w:rPr>
        <w:t>Aide financière octroyée aux bénéficiaires</w:t>
      </w:r>
      <w:bookmarkEnd w:id="21"/>
      <w:bookmarkEnd w:id="22"/>
    </w:p>
    <w:p w:rsidR="0079501E" w:rsidRPr="00696426" w:rsidRDefault="0079501E" w:rsidP="0079501E">
      <w:pPr>
        <w:spacing w:after="0" w:line="276" w:lineRule="auto"/>
        <w:rPr>
          <w:rFonts w:cs="Times New Roman"/>
          <w:sz w:val="22"/>
          <w:szCs w:val="22"/>
          <w:lang w:val="fr-FR"/>
        </w:rPr>
      </w:pPr>
    </w:p>
    <w:p w:rsidR="00696426" w:rsidRPr="00696426" w:rsidRDefault="00696426" w:rsidP="00696426">
      <w:pPr>
        <w:spacing w:after="0" w:line="276" w:lineRule="auto"/>
        <w:jc w:val="both"/>
        <w:rPr>
          <w:sz w:val="22"/>
          <w:szCs w:val="22"/>
        </w:rPr>
      </w:pPr>
      <w:r w:rsidRPr="00696426">
        <w:rPr>
          <w:sz w:val="22"/>
          <w:szCs w:val="22"/>
        </w:rPr>
        <w:t>Pour chaque activité, les quatre cases doivent obligatoirement être complétées:</w:t>
      </w:r>
    </w:p>
    <w:p w:rsidR="00696426" w:rsidRPr="00696426" w:rsidRDefault="00696426" w:rsidP="00696426">
      <w:pPr>
        <w:numPr>
          <w:ilvl w:val="0"/>
          <w:numId w:val="24"/>
        </w:numPr>
        <w:spacing w:after="0" w:line="276" w:lineRule="auto"/>
        <w:jc w:val="both"/>
        <w:rPr>
          <w:sz w:val="22"/>
          <w:szCs w:val="22"/>
        </w:rPr>
      </w:pPr>
      <w:r w:rsidRPr="00696426">
        <w:rPr>
          <w:b/>
          <w:sz w:val="22"/>
          <w:szCs w:val="22"/>
        </w:rPr>
        <w:t>Date d’imputation</w:t>
      </w:r>
      <w:r w:rsidRPr="00696426">
        <w:rPr>
          <w:sz w:val="22"/>
          <w:szCs w:val="22"/>
        </w:rPr>
        <w:t xml:space="preserve">: c'est-à-dire la date à laquelle la dépense est imputée dans les livres comptables. </w:t>
      </w:r>
    </w:p>
    <w:p w:rsidR="00696426" w:rsidRPr="00696426" w:rsidRDefault="00696426" w:rsidP="00696426">
      <w:pPr>
        <w:numPr>
          <w:ilvl w:val="0"/>
          <w:numId w:val="24"/>
        </w:numPr>
        <w:spacing w:after="0" w:line="276" w:lineRule="auto"/>
        <w:jc w:val="both"/>
        <w:rPr>
          <w:sz w:val="22"/>
          <w:szCs w:val="22"/>
        </w:rPr>
      </w:pPr>
      <w:r w:rsidRPr="00696426">
        <w:rPr>
          <w:b/>
          <w:sz w:val="22"/>
          <w:szCs w:val="22"/>
        </w:rPr>
        <w:t>Motif de l'aide</w:t>
      </w:r>
      <w:r w:rsidRPr="00696426">
        <w:rPr>
          <w:sz w:val="22"/>
          <w:szCs w:val="22"/>
        </w:rPr>
        <w:t xml:space="preserve">: </w:t>
      </w:r>
      <w:r w:rsidRPr="00696426">
        <w:rPr>
          <w:sz w:val="22"/>
          <w:szCs w:val="22"/>
          <w:lang w:val="fr-FR"/>
        </w:rPr>
        <w:t>La description de l’aide doit être claire et complète. Il peut s'agir du même type d'aides octroyées dans le cadre de la mesure participation et activation sociale pour autant que le bénéficiaire ait signé un PIIS. Mais il faut être attentif à ne pas avoir un double subside pour la même activité.</w:t>
      </w:r>
    </w:p>
    <w:p w:rsidR="00696426" w:rsidRPr="00696426" w:rsidRDefault="00696426" w:rsidP="00696426">
      <w:pPr>
        <w:numPr>
          <w:ilvl w:val="0"/>
          <w:numId w:val="24"/>
        </w:numPr>
        <w:spacing w:after="0" w:line="276" w:lineRule="auto"/>
        <w:jc w:val="both"/>
        <w:rPr>
          <w:sz w:val="22"/>
          <w:szCs w:val="22"/>
        </w:rPr>
      </w:pPr>
      <w:r w:rsidRPr="00696426">
        <w:rPr>
          <w:b/>
          <w:sz w:val="22"/>
          <w:szCs w:val="22"/>
        </w:rPr>
        <w:t>Nombre de bénéficiaires</w:t>
      </w:r>
      <w:r w:rsidRPr="00696426">
        <w:rPr>
          <w:sz w:val="22"/>
          <w:szCs w:val="22"/>
        </w:rPr>
        <w:t>: Le CPAS est obligé d'indiquer un chiffre. Il n'est pas possible d'encoder une estimation comme par exemple: "entre 5 et 10 personnes".</w:t>
      </w:r>
    </w:p>
    <w:p w:rsidR="00696426" w:rsidRPr="00696426" w:rsidRDefault="00696426" w:rsidP="00696426">
      <w:pPr>
        <w:numPr>
          <w:ilvl w:val="0"/>
          <w:numId w:val="24"/>
        </w:numPr>
        <w:spacing w:after="0" w:line="276" w:lineRule="auto"/>
        <w:jc w:val="both"/>
        <w:rPr>
          <w:sz w:val="22"/>
          <w:szCs w:val="22"/>
        </w:rPr>
      </w:pPr>
      <w:r w:rsidRPr="00696426">
        <w:rPr>
          <w:b/>
          <w:sz w:val="22"/>
          <w:szCs w:val="22"/>
        </w:rPr>
        <w:t>Montant</w:t>
      </w:r>
      <w:r w:rsidRPr="00696426">
        <w:rPr>
          <w:sz w:val="22"/>
          <w:szCs w:val="22"/>
        </w:rPr>
        <w:t xml:space="preserve">: </w:t>
      </w:r>
      <w:r w:rsidRPr="00696426">
        <w:rPr>
          <w:sz w:val="22"/>
          <w:szCs w:val="22"/>
          <w:lang w:val="fr-FR"/>
        </w:rPr>
        <w:t>Seul le montant imputé pour l’activité doit être repris.</w:t>
      </w:r>
    </w:p>
    <w:p w:rsidR="0079501E" w:rsidRPr="00494218" w:rsidRDefault="0079501E" w:rsidP="0079501E">
      <w:pPr>
        <w:pStyle w:val="Lijstalinea"/>
        <w:spacing w:after="0" w:line="276" w:lineRule="auto"/>
        <w:jc w:val="both"/>
        <w:rPr>
          <w:rFonts w:cs="Times New Roman"/>
          <w:sz w:val="22"/>
          <w:szCs w:val="22"/>
          <w:lang w:val="fr-FR"/>
        </w:rPr>
      </w:pPr>
    </w:p>
    <w:p w:rsidR="009C2F8E" w:rsidRPr="00494218" w:rsidRDefault="009C2F8E" w:rsidP="0079501E">
      <w:pPr>
        <w:pStyle w:val="Lijstalinea"/>
        <w:spacing w:after="0" w:line="276" w:lineRule="auto"/>
        <w:jc w:val="both"/>
        <w:rPr>
          <w:rFonts w:cs="Times New Roman"/>
          <w:sz w:val="22"/>
          <w:szCs w:val="22"/>
          <w:lang w:val="fr-FR"/>
        </w:rPr>
      </w:pPr>
    </w:p>
    <w:p w:rsidR="0079501E" w:rsidRPr="00494218" w:rsidRDefault="00696426" w:rsidP="009C2F8E">
      <w:pPr>
        <w:pStyle w:val="Geenafstand"/>
        <w:rPr>
          <w:b/>
          <w:sz w:val="24"/>
          <w:szCs w:val="24"/>
          <w:lang w:val="fr-FR"/>
        </w:rPr>
      </w:pPr>
      <w:bookmarkStart w:id="23" w:name="_Toc505092813"/>
      <w:bookmarkStart w:id="24" w:name="_Toc505343099"/>
      <w:r w:rsidRPr="00494218">
        <w:rPr>
          <w:b/>
          <w:sz w:val="24"/>
          <w:szCs w:val="24"/>
          <w:lang w:val="fr-FR"/>
        </w:rPr>
        <w:t xml:space="preserve">Intervention financière octroyée à des tiers </w:t>
      </w:r>
      <w:bookmarkEnd w:id="23"/>
      <w:bookmarkEnd w:id="24"/>
    </w:p>
    <w:p w:rsidR="0079501E" w:rsidRPr="00494218" w:rsidRDefault="0079501E" w:rsidP="0079501E">
      <w:pPr>
        <w:spacing w:after="0" w:line="276" w:lineRule="auto"/>
        <w:rPr>
          <w:sz w:val="22"/>
          <w:szCs w:val="22"/>
          <w:lang w:val="fr-FR"/>
        </w:rPr>
      </w:pPr>
    </w:p>
    <w:p w:rsidR="00696426" w:rsidRPr="00696426" w:rsidRDefault="00696426" w:rsidP="00696426">
      <w:pPr>
        <w:numPr>
          <w:ilvl w:val="0"/>
          <w:numId w:val="25"/>
        </w:numPr>
        <w:spacing w:after="0" w:line="276" w:lineRule="auto"/>
        <w:rPr>
          <w:b/>
          <w:sz w:val="22"/>
          <w:szCs w:val="22"/>
        </w:rPr>
      </w:pPr>
      <w:r w:rsidRPr="00696426">
        <w:rPr>
          <w:b/>
          <w:sz w:val="22"/>
          <w:szCs w:val="22"/>
        </w:rPr>
        <w:t xml:space="preserve">Date d'imputation: </w:t>
      </w:r>
      <w:r w:rsidRPr="00FE5CC1">
        <w:rPr>
          <w:sz w:val="22"/>
          <w:szCs w:val="22"/>
        </w:rPr>
        <w:t>voir ci-dessus</w:t>
      </w:r>
    </w:p>
    <w:p w:rsidR="00696426" w:rsidRPr="00FE5CC1" w:rsidRDefault="00696426" w:rsidP="00696426">
      <w:pPr>
        <w:numPr>
          <w:ilvl w:val="0"/>
          <w:numId w:val="25"/>
        </w:numPr>
        <w:spacing w:after="0" w:line="276" w:lineRule="auto"/>
        <w:rPr>
          <w:sz w:val="22"/>
          <w:szCs w:val="22"/>
        </w:rPr>
      </w:pPr>
      <w:r w:rsidRPr="00696426">
        <w:rPr>
          <w:b/>
          <w:sz w:val="22"/>
          <w:szCs w:val="22"/>
        </w:rPr>
        <w:t xml:space="preserve">Motif de l'intervention financière: </w:t>
      </w:r>
      <w:r w:rsidRPr="00FE5CC1">
        <w:rPr>
          <w:sz w:val="22"/>
          <w:szCs w:val="22"/>
        </w:rPr>
        <w:t>toute activité organisée par un tiers dans le cadre d’une convention signée avec le CPAS ou toute prestation prise en charge par un tiers pour la réalisation des objectifs définis dans le PIIS.</w:t>
      </w:r>
    </w:p>
    <w:p w:rsidR="00696426" w:rsidRPr="00696426" w:rsidRDefault="00696426" w:rsidP="00696426">
      <w:pPr>
        <w:numPr>
          <w:ilvl w:val="0"/>
          <w:numId w:val="25"/>
        </w:numPr>
        <w:spacing w:after="0" w:line="276" w:lineRule="auto"/>
        <w:rPr>
          <w:b/>
          <w:sz w:val="22"/>
          <w:szCs w:val="22"/>
        </w:rPr>
      </w:pPr>
      <w:r w:rsidRPr="00696426">
        <w:rPr>
          <w:b/>
          <w:sz w:val="22"/>
          <w:szCs w:val="22"/>
        </w:rPr>
        <w:t xml:space="preserve">Tiers: </w:t>
      </w:r>
      <w:r w:rsidRPr="00FE5CC1">
        <w:rPr>
          <w:sz w:val="22"/>
          <w:szCs w:val="22"/>
        </w:rPr>
        <w:t>le tiers qui a pris en charge l’activité ou la prestation</w:t>
      </w:r>
    </w:p>
    <w:p w:rsidR="00FE5CC1" w:rsidRPr="00FE5CC1" w:rsidRDefault="00696426" w:rsidP="000111F4">
      <w:pPr>
        <w:numPr>
          <w:ilvl w:val="0"/>
          <w:numId w:val="25"/>
        </w:numPr>
        <w:spacing w:after="0" w:line="276" w:lineRule="auto"/>
        <w:rPr>
          <w:b/>
          <w:sz w:val="24"/>
          <w:szCs w:val="24"/>
        </w:rPr>
      </w:pPr>
      <w:r w:rsidRPr="00FE5CC1">
        <w:rPr>
          <w:b/>
          <w:sz w:val="22"/>
          <w:szCs w:val="22"/>
        </w:rPr>
        <w:t xml:space="preserve">Montant: </w:t>
      </w:r>
      <w:r w:rsidRPr="00FE5CC1">
        <w:rPr>
          <w:sz w:val="22"/>
          <w:szCs w:val="22"/>
        </w:rPr>
        <w:t>voir ci-dessus</w:t>
      </w:r>
      <w:bookmarkStart w:id="25" w:name="_Toc505092814"/>
      <w:bookmarkStart w:id="26" w:name="_Toc505343100"/>
    </w:p>
    <w:p w:rsidR="00FE5CC1" w:rsidRDefault="00FE5CC1" w:rsidP="00FE5CC1">
      <w:pPr>
        <w:spacing w:after="0" w:line="276" w:lineRule="auto"/>
        <w:ind w:left="720"/>
        <w:rPr>
          <w:b/>
          <w:sz w:val="24"/>
          <w:szCs w:val="24"/>
        </w:rPr>
      </w:pPr>
    </w:p>
    <w:p w:rsidR="00FE5CC1" w:rsidRDefault="00FE5CC1" w:rsidP="00FE5CC1">
      <w:pPr>
        <w:spacing w:after="0" w:line="276" w:lineRule="auto"/>
        <w:ind w:left="720"/>
        <w:rPr>
          <w:b/>
          <w:sz w:val="24"/>
          <w:szCs w:val="24"/>
        </w:rPr>
      </w:pPr>
    </w:p>
    <w:p w:rsidR="0079501E" w:rsidRPr="00FE5CC1" w:rsidRDefault="0079501E" w:rsidP="00FE5CC1">
      <w:pPr>
        <w:pStyle w:val="Geenafstand"/>
        <w:rPr>
          <w:b/>
          <w:sz w:val="24"/>
          <w:szCs w:val="24"/>
          <w:lang w:val="fr-FR"/>
        </w:rPr>
      </w:pPr>
      <w:r w:rsidRPr="00FE5CC1">
        <w:rPr>
          <w:b/>
          <w:sz w:val="24"/>
          <w:szCs w:val="24"/>
          <w:lang w:val="fr-FR"/>
        </w:rPr>
        <w:t>A</w:t>
      </w:r>
      <w:r w:rsidR="00696426" w:rsidRPr="00FE5CC1">
        <w:rPr>
          <w:b/>
          <w:sz w:val="24"/>
          <w:szCs w:val="24"/>
          <w:lang w:val="fr-FR"/>
        </w:rPr>
        <w:t xml:space="preserve">utres </w:t>
      </w:r>
      <w:bookmarkEnd w:id="25"/>
      <w:bookmarkEnd w:id="26"/>
    </w:p>
    <w:p w:rsidR="0079501E" w:rsidRPr="0079501E" w:rsidRDefault="0079501E" w:rsidP="0079501E">
      <w:pPr>
        <w:spacing w:after="0" w:line="276" w:lineRule="auto"/>
        <w:rPr>
          <w:sz w:val="22"/>
          <w:szCs w:val="22"/>
          <w:lang w:val="nl-NL"/>
        </w:rPr>
      </w:pP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Date d'imputation</w:t>
      </w:r>
      <w:r w:rsidRPr="00FE5CC1">
        <w:rPr>
          <w:sz w:val="22"/>
          <w:szCs w:val="22"/>
          <w:lang w:val="fr-FR"/>
        </w:rPr>
        <w:t>: voir ci-dessus.</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Motif de l'intervention financière</w:t>
      </w:r>
      <w:r w:rsidRPr="00FE5CC1">
        <w:rPr>
          <w:sz w:val="22"/>
          <w:szCs w:val="22"/>
          <w:lang w:val="fr-FR"/>
        </w:rPr>
        <w:t>: toutes interventions autres que celles reprises ci-dessus</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Bénéficiaires de l'intervention financière</w:t>
      </w:r>
      <w:r w:rsidRPr="00FE5CC1">
        <w:rPr>
          <w:sz w:val="22"/>
          <w:szCs w:val="22"/>
          <w:lang w:val="fr-FR"/>
        </w:rPr>
        <w:t>: le tiers ou l’organisation auquel (à laquelle) l’intervention est due.</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Montant</w:t>
      </w:r>
      <w:r w:rsidRPr="00FE5CC1">
        <w:rPr>
          <w:sz w:val="22"/>
          <w:szCs w:val="22"/>
          <w:lang w:val="fr-FR"/>
        </w:rPr>
        <w:t>: voir ci-dessus.</w:t>
      </w:r>
    </w:p>
    <w:p w:rsidR="0079501E" w:rsidRPr="0079501E" w:rsidRDefault="0079501E" w:rsidP="00696426">
      <w:pPr>
        <w:pStyle w:val="Lijstalinea"/>
        <w:spacing w:after="0" w:line="276" w:lineRule="auto"/>
        <w:rPr>
          <w:rFonts w:cs="Times New Roman"/>
          <w:b/>
          <w:sz w:val="22"/>
          <w:szCs w:val="22"/>
          <w:lang w:val="nl-NL"/>
        </w:rPr>
      </w:pPr>
    </w:p>
    <w:p w:rsidR="005C499C" w:rsidRDefault="005C499C" w:rsidP="005C499C">
      <w:pPr>
        <w:rPr>
          <w:rStyle w:val="Subtielebenadrukking"/>
          <w:lang w:val="nl-BE"/>
        </w:rPr>
      </w:pPr>
      <w:bookmarkStart w:id="27" w:name="_Toc505092815"/>
      <w:bookmarkStart w:id="28" w:name="_Toc505343101"/>
    </w:p>
    <w:p w:rsidR="000C3A57" w:rsidRDefault="000C3A57" w:rsidP="005C499C">
      <w:pPr>
        <w:rPr>
          <w:rStyle w:val="Subtielebenadrukking"/>
          <w:lang w:val="nl-BE"/>
        </w:rPr>
      </w:pPr>
    </w:p>
    <w:p w:rsidR="000142A6" w:rsidRDefault="000142A6">
      <w:pPr>
        <w:rPr>
          <w:rFonts w:asciiTheme="majorHAnsi" w:eastAsiaTheme="majorEastAsia" w:hAnsiTheme="majorHAnsi" w:cstheme="majorBidi"/>
          <w:sz w:val="32"/>
          <w:szCs w:val="32"/>
          <w:lang w:val="fr-FR"/>
        </w:rPr>
      </w:pPr>
      <w:bookmarkStart w:id="29" w:name="_Toc505092817"/>
      <w:bookmarkStart w:id="30" w:name="_Toc505343103"/>
      <w:bookmarkEnd w:id="27"/>
      <w:bookmarkEnd w:id="28"/>
      <w:r>
        <w:rPr>
          <w:lang w:val="fr-FR"/>
        </w:rPr>
        <w:br w:type="page"/>
      </w:r>
    </w:p>
    <w:p w:rsidR="005C499C" w:rsidRPr="00FE5CC1" w:rsidRDefault="00696426" w:rsidP="005C499C">
      <w:pPr>
        <w:pStyle w:val="Kop3"/>
        <w:rPr>
          <w:lang w:val="fr-FR"/>
        </w:rPr>
      </w:pPr>
      <w:bookmarkStart w:id="31" w:name="_Toc536609134"/>
      <w:r w:rsidRPr="00FE5CC1">
        <w:rPr>
          <w:lang w:val="fr-FR"/>
        </w:rPr>
        <w:t>Encodage via le fichier tableur</w:t>
      </w:r>
      <w:bookmarkEnd w:id="31"/>
      <w:r w:rsidRPr="00FE5CC1">
        <w:rPr>
          <w:lang w:val="fr-FR"/>
        </w:rPr>
        <w:t xml:space="preserve"> </w:t>
      </w:r>
    </w:p>
    <w:p w:rsidR="005C499C" w:rsidRPr="00FE5CC1" w:rsidRDefault="005C499C" w:rsidP="005C499C">
      <w:pPr>
        <w:rPr>
          <w:lang w:val="fr-FR"/>
        </w:rPr>
      </w:pPr>
    </w:p>
    <w:bookmarkEnd w:id="29"/>
    <w:bookmarkEnd w:id="30"/>
    <w:p w:rsidR="005C499C" w:rsidRPr="00FE5CC1" w:rsidRDefault="00FE5CC1" w:rsidP="009C2F8E">
      <w:pPr>
        <w:spacing w:after="0" w:line="276" w:lineRule="auto"/>
        <w:jc w:val="both"/>
        <w:rPr>
          <w:sz w:val="22"/>
          <w:szCs w:val="22"/>
          <w:lang w:val="fr-FR"/>
        </w:rPr>
      </w:pPr>
      <w:r w:rsidRPr="00FE5CC1">
        <w:rPr>
          <w:sz w:val="22"/>
          <w:szCs w:val="22"/>
        </w:rPr>
        <w:t>Ce tableur est à privilégier si le CPAS a beaucoup de données à introduire.</w:t>
      </w:r>
    </w:p>
    <w:p w:rsidR="00A866F3" w:rsidRPr="00FE5CC1" w:rsidRDefault="00A866F3" w:rsidP="009C2F8E">
      <w:pPr>
        <w:spacing w:after="0" w:line="276" w:lineRule="auto"/>
        <w:jc w:val="both"/>
        <w:rPr>
          <w:rFonts w:cs="Times New Roman"/>
          <w:sz w:val="22"/>
          <w:szCs w:val="22"/>
          <w:lang w:val="fr-FR"/>
        </w:rPr>
      </w:pPr>
    </w:p>
    <w:p w:rsidR="0079501E" w:rsidRPr="0079501E" w:rsidRDefault="00FE5CC1" w:rsidP="0079501E">
      <w:pPr>
        <w:spacing w:after="0" w:line="276" w:lineRule="auto"/>
        <w:rPr>
          <w:rFonts w:cs="Times New Roman"/>
          <w:sz w:val="22"/>
          <w:szCs w:val="22"/>
          <w:lang w:val="nl-NL"/>
        </w:rPr>
      </w:pPr>
      <w:r w:rsidRPr="00FE5CC1">
        <w:rPr>
          <w:rFonts w:ascii="Calibri" w:eastAsia="Calibri" w:hAnsi="Calibri" w:cs="Times New Roman"/>
          <w:noProof/>
          <w:sz w:val="22"/>
          <w:szCs w:val="22"/>
          <w:lang w:eastAsia="fr-BE"/>
        </w:rPr>
        <w:drawing>
          <wp:inline distT="0" distB="0" distL="0" distR="0" wp14:anchorId="41E449A8" wp14:editId="6DEA81FA">
            <wp:extent cx="5143500" cy="1600200"/>
            <wp:effectExtent l="0" t="0" r="0" b="0"/>
            <wp:docPr id="18" name="Image 1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inline>
        </w:drawing>
      </w:r>
    </w:p>
    <w:p w:rsidR="000C3A57" w:rsidRDefault="000C3A57">
      <w:pPr>
        <w:rPr>
          <w:rStyle w:val="Subtielebenadrukking"/>
          <w:rFonts w:asciiTheme="majorHAnsi" w:eastAsiaTheme="majorEastAsia" w:hAnsiTheme="majorHAnsi" w:cstheme="majorBidi"/>
          <w:i w:val="0"/>
          <w:sz w:val="32"/>
          <w:szCs w:val="32"/>
          <w:lang w:val="nl-BE"/>
        </w:rPr>
      </w:pPr>
    </w:p>
    <w:p w:rsidR="000142A6" w:rsidRPr="000C3A57" w:rsidRDefault="000142A6">
      <w:pPr>
        <w:rPr>
          <w:rStyle w:val="Subtielebenadrukking"/>
          <w:rFonts w:asciiTheme="majorHAnsi" w:eastAsiaTheme="majorEastAsia" w:hAnsiTheme="majorHAnsi" w:cstheme="majorBidi"/>
          <w:i w:val="0"/>
          <w:sz w:val="32"/>
          <w:szCs w:val="32"/>
          <w:lang w:val="nl-BE"/>
        </w:rPr>
      </w:pPr>
    </w:p>
    <w:p w:rsidR="000C3A57" w:rsidRPr="00696426" w:rsidRDefault="00696426" w:rsidP="000C3A57">
      <w:pPr>
        <w:pStyle w:val="Kop3"/>
        <w:rPr>
          <w:rStyle w:val="Subtielebenadrukking"/>
          <w:lang w:val="fr-FR"/>
        </w:rPr>
      </w:pPr>
      <w:bookmarkStart w:id="32" w:name="_Toc536609135"/>
      <w:r w:rsidRPr="00696426">
        <w:rPr>
          <w:rStyle w:val="Subtielebenadrukking"/>
          <w:lang w:val="fr-FR"/>
        </w:rPr>
        <w:t>Récapitulatif</w:t>
      </w:r>
      <w:bookmarkEnd w:id="32"/>
    </w:p>
    <w:p w:rsidR="000C3A57" w:rsidRPr="00696426" w:rsidRDefault="000C3A57" w:rsidP="000C3A57">
      <w:pPr>
        <w:spacing w:after="0" w:line="276" w:lineRule="auto"/>
        <w:jc w:val="both"/>
        <w:rPr>
          <w:sz w:val="22"/>
          <w:szCs w:val="22"/>
          <w:lang w:val="fr-FR"/>
        </w:rPr>
      </w:pPr>
    </w:p>
    <w:p w:rsidR="00696426" w:rsidRPr="00FE5CC1" w:rsidRDefault="00696426" w:rsidP="00696426">
      <w:pPr>
        <w:spacing w:line="259" w:lineRule="auto"/>
        <w:jc w:val="both"/>
        <w:rPr>
          <w:rFonts w:eastAsia="Calibri" w:cs="Times New Roman"/>
          <w:sz w:val="22"/>
          <w:szCs w:val="22"/>
        </w:rPr>
      </w:pPr>
      <w:r w:rsidRPr="00FE5CC1">
        <w:rPr>
          <w:rFonts w:eastAsia="Calibri" w:cs="Times New Roman"/>
          <w:sz w:val="22"/>
          <w:szCs w:val="22"/>
        </w:rPr>
        <w:t>Le dernier écran est la synthèse récapitulative des totaux du formulaire. Cette dernière partie vous donne le solde final dont vous disposez après encodage des différentes activités et des frais de personnel.</w:t>
      </w:r>
    </w:p>
    <w:p w:rsidR="00773A9C" w:rsidRPr="00696426" w:rsidRDefault="00773A9C" w:rsidP="000C3A57">
      <w:pPr>
        <w:spacing w:after="0" w:line="276" w:lineRule="auto"/>
        <w:jc w:val="both"/>
        <w:rPr>
          <w:sz w:val="22"/>
          <w:szCs w:val="22"/>
        </w:rPr>
      </w:pPr>
    </w:p>
    <w:p w:rsidR="00773A9C" w:rsidRDefault="00696426" w:rsidP="000C3A57">
      <w:pPr>
        <w:spacing w:after="0" w:line="276" w:lineRule="auto"/>
        <w:jc w:val="both"/>
        <w:rPr>
          <w:sz w:val="22"/>
          <w:szCs w:val="22"/>
          <w:lang w:val="nl-NL"/>
        </w:rPr>
      </w:pPr>
      <w:r w:rsidRPr="00696426">
        <w:rPr>
          <w:rFonts w:ascii="DejaVu Sans" w:eastAsia="Calibri" w:hAnsi="DejaVu Sans" w:cs="DejaVu Sans"/>
          <w:noProof/>
          <w:sz w:val="20"/>
          <w:szCs w:val="20"/>
          <w:lang w:eastAsia="fr-BE"/>
        </w:rPr>
        <w:drawing>
          <wp:inline distT="0" distB="0" distL="0" distR="0" wp14:anchorId="57EA47D2" wp14:editId="51D22C43">
            <wp:extent cx="5153025" cy="1524000"/>
            <wp:effectExtent l="0" t="0" r="9525" b="0"/>
            <wp:docPr id="17" name="Image 1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1524000"/>
                    </a:xfrm>
                    <a:prstGeom prst="rect">
                      <a:avLst/>
                    </a:prstGeom>
                    <a:noFill/>
                    <a:ln>
                      <a:noFill/>
                    </a:ln>
                  </pic:spPr>
                </pic:pic>
              </a:graphicData>
            </a:graphic>
          </wp:inline>
        </w:drawing>
      </w:r>
    </w:p>
    <w:p w:rsidR="001D286E" w:rsidRDefault="001D286E" w:rsidP="000C3A57">
      <w:pPr>
        <w:spacing w:after="0" w:line="276" w:lineRule="auto"/>
        <w:jc w:val="both"/>
        <w:rPr>
          <w:sz w:val="22"/>
          <w:szCs w:val="22"/>
          <w:lang w:val="nl-NL"/>
        </w:rPr>
      </w:pPr>
    </w:p>
    <w:p w:rsidR="001D286E" w:rsidRDefault="001D286E" w:rsidP="000C3A57">
      <w:pPr>
        <w:spacing w:after="0" w:line="276" w:lineRule="auto"/>
        <w:jc w:val="both"/>
        <w:rPr>
          <w:sz w:val="22"/>
          <w:szCs w:val="22"/>
          <w:lang w:val="nl-NL"/>
        </w:rPr>
      </w:pPr>
    </w:p>
    <w:p w:rsidR="00773A9C" w:rsidRDefault="00773A9C" w:rsidP="000C3A57">
      <w:pPr>
        <w:spacing w:after="0" w:line="276" w:lineRule="auto"/>
        <w:jc w:val="both"/>
        <w:rPr>
          <w:sz w:val="22"/>
          <w:szCs w:val="22"/>
          <w:lang w:val="nl-NL"/>
        </w:rPr>
      </w:pPr>
    </w:p>
    <w:sectPr w:rsidR="00773A9C" w:rsidSect="00BA7237">
      <w:footerReference w:type="default" r:id="rId15"/>
      <w:head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54" w:rsidRDefault="00FA1C54" w:rsidP="005E56A7">
      <w:pPr>
        <w:spacing w:after="0" w:line="240" w:lineRule="auto"/>
      </w:pPr>
      <w:r>
        <w:separator/>
      </w:r>
    </w:p>
  </w:endnote>
  <w:endnote w:type="continuationSeparator" w:id="0">
    <w:p w:rsidR="00FA1C54" w:rsidRDefault="00FA1C54"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panose1 w:val="020B0603030804020204"/>
    <w:charset w:val="00"/>
    <w:family w:val="swiss"/>
    <w:pitch w:val="variable"/>
    <w:sig w:usb0="E7003EFF" w:usb1="D200FDFF" w:usb2="0A246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9681"/>
      <w:docPartObj>
        <w:docPartGallery w:val="Page Numbers (Bottom of Page)"/>
        <w:docPartUnique/>
      </w:docPartObj>
    </w:sdtPr>
    <w:sdtEndPr/>
    <w:sdtContent>
      <w:p w:rsidR="00FA1C54" w:rsidRDefault="00FA1C54">
        <w:pPr>
          <w:pStyle w:val="Voettekst"/>
          <w:jc w:val="right"/>
        </w:pPr>
        <w:r>
          <w:fldChar w:fldCharType="begin"/>
        </w:r>
        <w:r>
          <w:instrText>PAGE   \* MERGEFORMAT</w:instrText>
        </w:r>
        <w:r>
          <w:fldChar w:fldCharType="separate"/>
        </w:r>
        <w:r w:rsidR="00A13070" w:rsidRPr="00A13070">
          <w:rPr>
            <w:noProof/>
            <w:lang w:val="nl-NL"/>
          </w:rPr>
          <w:t>1</w:t>
        </w:r>
        <w:r>
          <w:fldChar w:fldCharType="end"/>
        </w:r>
      </w:p>
    </w:sdtContent>
  </w:sdt>
  <w:p w:rsidR="00FA1C54" w:rsidRDefault="00FA1C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54" w:rsidRDefault="00FA1C54" w:rsidP="005E56A7">
      <w:pPr>
        <w:spacing w:after="0" w:line="240" w:lineRule="auto"/>
      </w:pPr>
      <w:r>
        <w:separator/>
      </w:r>
    </w:p>
  </w:footnote>
  <w:footnote w:type="continuationSeparator" w:id="0">
    <w:p w:rsidR="00FA1C54" w:rsidRDefault="00FA1C54" w:rsidP="005E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54" w:rsidRDefault="00FA1C54">
    <w:pPr>
      <w:pStyle w:val="Koptekst"/>
    </w:pPr>
    <w:r w:rsidRPr="001957C7">
      <w:rPr>
        <w:noProof/>
        <w:lang w:eastAsia="fr-BE"/>
      </w:rPr>
      <w:drawing>
        <wp:inline distT="0" distB="0" distL="0" distR="0">
          <wp:extent cx="5760720" cy="2532556"/>
          <wp:effectExtent l="0" t="0" r="0" b="1270"/>
          <wp:docPr id="3" name="Afbeelding 3" descr="C:\Users\chatt_rajae\AppData\Local\Temp\Temp1_logos_pod_mi.zip\mieuxvivreensemble_14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43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5325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3FA2E3F"/>
    <w:multiLevelType w:val="hybridMultilevel"/>
    <w:tmpl w:val="E822160A"/>
    <w:lvl w:ilvl="0" w:tplc="54CCA1A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4">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21433A28"/>
    <w:multiLevelType w:val="hybridMultilevel"/>
    <w:tmpl w:val="B11AA2C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8">
    <w:nsid w:val="2CA4575C"/>
    <w:multiLevelType w:val="hybridMultilevel"/>
    <w:tmpl w:val="5F9EAEA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3C0011C3"/>
    <w:multiLevelType w:val="hybridMultilevel"/>
    <w:tmpl w:val="3154CA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43362DE7"/>
    <w:multiLevelType w:val="hybridMultilevel"/>
    <w:tmpl w:val="AC56F382"/>
    <w:lvl w:ilvl="0" w:tplc="04130001">
      <w:start w:val="1"/>
      <w:numFmt w:val="bullet"/>
      <w:lvlText w:val=""/>
      <w:lvlJc w:val="left"/>
      <w:pPr>
        <w:ind w:left="360" w:hanging="360"/>
      </w:pPr>
      <w:rPr>
        <w:rFonts w:ascii="Symbol" w:hAnsi="Symbol" w:hint="default"/>
      </w:rPr>
    </w:lvl>
    <w:lvl w:ilvl="1" w:tplc="1916CDC4">
      <w:start w:val="1"/>
      <w:numFmt w:val="bullet"/>
      <w:lvlText w:val="—"/>
      <w:lvlJc w:val="left"/>
      <w:pPr>
        <w:ind w:left="1080" w:hanging="360"/>
      </w:pPr>
      <w:rPr>
        <w:rFonts w:ascii="Calibri" w:hAnsi="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4B40167E"/>
    <w:multiLevelType w:val="hybridMultilevel"/>
    <w:tmpl w:val="31DE7C0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B753EF"/>
    <w:multiLevelType w:val="hybridMultilevel"/>
    <w:tmpl w:val="642440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3241A34"/>
    <w:multiLevelType w:val="hybridMultilevel"/>
    <w:tmpl w:val="D880451A"/>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F2E0BCF"/>
    <w:multiLevelType w:val="hybridMultilevel"/>
    <w:tmpl w:val="F53C7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74E33D6"/>
    <w:multiLevelType w:val="hybridMultilevel"/>
    <w:tmpl w:val="F35EEE24"/>
    <w:lvl w:ilvl="0" w:tplc="EABCB928">
      <w:start w:val="1"/>
      <w:numFmt w:val="bullet"/>
      <w:lvlText w:val="▪"/>
      <w:lvlJc w:val="left"/>
      <w:pPr>
        <w:ind w:left="360" w:hanging="360"/>
      </w:pPr>
      <w:rPr>
        <w:rFonts w:ascii="Sylfaen" w:hAnsi="Sylfae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4"/>
  </w:num>
  <w:num w:numId="3">
    <w:abstractNumId w:val="14"/>
  </w:num>
  <w:num w:numId="4">
    <w:abstractNumId w:val="7"/>
  </w:num>
  <w:num w:numId="5">
    <w:abstractNumId w:val="9"/>
  </w:num>
  <w:num w:numId="6">
    <w:abstractNumId w:val="16"/>
  </w:num>
  <w:num w:numId="7">
    <w:abstractNumId w:val="21"/>
  </w:num>
  <w:num w:numId="8">
    <w:abstractNumId w:val="17"/>
  </w:num>
  <w:num w:numId="9">
    <w:abstractNumId w:val="19"/>
  </w:num>
  <w:num w:numId="10">
    <w:abstractNumId w:val="25"/>
  </w:num>
  <w:num w:numId="11">
    <w:abstractNumId w:val="1"/>
  </w:num>
  <w:num w:numId="12">
    <w:abstractNumId w:val="0"/>
  </w:num>
  <w:num w:numId="13">
    <w:abstractNumId w:val="3"/>
  </w:num>
  <w:num w:numId="14">
    <w:abstractNumId w:val="29"/>
  </w:num>
  <w:num w:numId="15">
    <w:abstractNumId w:val="10"/>
  </w:num>
  <w:num w:numId="16">
    <w:abstractNumId w:val="12"/>
  </w:num>
  <w:num w:numId="17">
    <w:abstractNumId w:val="28"/>
  </w:num>
  <w:num w:numId="18">
    <w:abstractNumId w:val="1"/>
  </w:num>
  <w:num w:numId="19">
    <w:abstractNumId w:val="1"/>
    <w:lvlOverride w:ilvl="0">
      <w:startOverride w:val="1"/>
    </w:lvlOverride>
  </w:num>
  <w:num w:numId="20">
    <w:abstractNumId w:val="13"/>
  </w:num>
  <w:num w:numId="21">
    <w:abstractNumId w:val="8"/>
  </w:num>
  <w:num w:numId="22">
    <w:abstractNumId w:val="18"/>
  </w:num>
  <w:num w:numId="23">
    <w:abstractNumId w:val="26"/>
  </w:num>
  <w:num w:numId="24">
    <w:abstractNumId w:val="22"/>
  </w:num>
  <w:num w:numId="25">
    <w:abstractNumId w:val="23"/>
  </w:num>
  <w:num w:numId="26">
    <w:abstractNumId w:val="20"/>
  </w:num>
  <w:num w:numId="27">
    <w:abstractNumId w:val="2"/>
  </w:num>
  <w:num w:numId="28">
    <w:abstractNumId w:val="24"/>
  </w:num>
  <w:num w:numId="29">
    <w:abstractNumId w:val="5"/>
  </w:num>
  <w:num w:numId="30">
    <w:abstractNumId w:val="27"/>
  </w:num>
  <w:num w:numId="31">
    <w:abstractNumId w:val="15"/>
  </w:num>
  <w:num w:numId="32">
    <w:abstractNumId w:val="1"/>
  </w:num>
  <w:num w:numId="33">
    <w:abstractNumId w:val="1"/>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686A"/>
    <w:rsid w:val="000115F9"/>
    <w:rsid w:val="000122FB"/>
    <w:rsid w:val="00013720"/>
    <w:rsid w:val="00013D67"/>
    <w:rsid w:val="000142A6"/>
    <w:rsid w:val="00016F45"/>
    <w:rsid w:val="0002030E"/>
    <w:rsid w:val="0002321A"/>
    <w:rsid w:val="000502B7"/>
    <w:rsid w:val="00065FAA"/>
    <w:rsid w:val="000711F4"/>
    <w:rsid w:val="00095B45"/>
    <w:rsid w:val="000968AE"/>
    <w:rsid w:val="000A22E5"/>
    <w:rsid w:val="000A3F29"/>
    <w:rsid w:val="000C38D4"/>
    <w:rsid w:val="000C3A57"/>
    <w:rsid w:val="000E01A3"/>
    <w:rsid w:val="000E3D99"/>
    <w:rsid w:val="000E4DA9"/>
    <w:rsid w:val="000F74E6"/>
    <w:rsid w:val="00123BD0"/>
    <w:rsid w:val="001267E8"/>
    <w:rsid w:val="00126E3B"/>
    <w:rsid w:val="00134B55"/>
    <w:rsid w:val="001357F9"/>
    <w:rsid w:val="00136E94"/>
    <w:rsid w:val="00140EBC"/>
    <w:rsid w:val="0014466B"/>
    <w:rsid w:val="00160E8D"/>
    <w:rsid w:val="0017178B"/>
    <w:rsid w:val="00174958"/>
    <w:rsid w:val="00177CAC"/>
    <w:rsid w:val="00181D6F"/>
    <w:rsid w:val="00193A58"/>
    <w:rsid w:val="001957C7"/>
    <w:rsid w:val="0019613A"/>
    <w:rsid w:val="00197583"/>
    <w:rsid w:val="001A0E7F"/>
    <w:rsid w:val="001A3245"/>
    <w:rsid w:val="001A4E65"/>
    <w:rsid w:val="001D286E"/>
    <w:rsid w:val="001E4B4B"/>
    <w:rsid w:val="002034C4"/>
    <w:rsid w:val="00205CA6"/>
    <w:rsid w:val="0021578E"/>
    <w:rsid w:val="00227422"/>
    <w:rsid w:val="00230500"/>
    <w:rsid w:val="002443BF"/>
    <w:rsid w:val="002602AD"/>
    <w:rsid w:val="002636AA"/>
    <w:rsid w:val="00266A40"/>
    <w:rsid w:val="002709FD"/>
    <w:rsid w:val="00271A3E"/>
    <w:rsid w:val="00273FA3"/>
    <w:rsid w:val="00282EEF"/>
    <w:rsid w:val="00283343"/>
    <w:rsid w:val="002A6700"/>
    <w:rsid w:val="002A7D3D"/>
    <w:rsid w:val="002B03DC"/>
    <w:rsid w:val="002C107C"/>
    <w:rsid w:val="002C2522"/>
    <w:rsid w:val="002C5169"/>
    <w:rsid w:val="002D47F5"/>
    <w:rsid w:val="002E5DF2"/>
    <w:rsid w:val="002F5ACA"/>
    <w:rsid w:val="00301320"/>
    <w:rsid w:val="00303DC9"/>
    <w:rsid w:val="00323D2F"/>
    <w:rsid w:val="00327A75"/>
    <w:rsid w:val="00332725"/>
    <w:rsid w:val="0034619E"/>
    <w:rsid w:val="003577E6"/>
    <w:rsid w:val="003638C4"/>
    <w:rsid w:val="003860BA"/>
    <w:rsid w:val="003B525C"/>
    <w:rsid w:val="003C70C9"/>
    <w:rsid w:val="003E5132"/>
    <w:rsid w:val="003F2184"/>
    <w:rsid w:val="003F6CF5"/>
    <w:rsid w:val="00424B0A"/>
    <w:rsid w:val="00431B4C"/>
    <w:rsid w:val="00441039"/>
    <w:rsid w:val="00442058"/>
    <w:rsid w:val="00454E89"/>
    <w:rsid w:val="00455D2C"/>
    <w:rsid w:val="00455F47"/>
    <w:rsid w:val="00460027"/>
    <w:rsid w:val="00481691"/>
    <w:rsid w:val="004930AD"/>
    <w:rsid w:val="00494218"/>
    <w:rsid w:val="004B4460"/>
    <w:rsid w:val="004B5D1F"/>
    <w:rsid w:val="004D311A"/>
    <w:rsid w:val="004F65C7"/>
    <w:rsid w:val="00501F92"/>
    <w:rsid w:val="00534496"/>
    <w:rsid w:val="0053665C"/>
    <w:rsid w:val="00550A5A"/>
    <w:rsid w:val="005512BB"/>
    <w:rsid w:val="0055294B"/>
    <w:rsid w:val="00562F11"/>
    <w:rsid w:val="00570C25"/>
    <w:rsid w:val="0058602A"/>
    <w:rsid w:val="0059710F"/>
    <w:rsid w:val="005B1F4E"/>
    <w:rsid w:val="005C499C"/>
    <w:rsid w:val="005D2145"/>
    <w:rsid w:val="005D4E0F"/>
    <w:rsid w:val="005D6718"/>
    <w:rsid w:val="005E56A7"/>
    <w:rsid w:val="00603E3D"/>
    <w:rsid w:val="00613859"/>
    <w:rsid w:val="00620227"/>
    <w:rsid w:val="00623DFF"/>
    <w:rsid w:val="0064186B"/>
    <w:rsid w:val="00661503"/>
    <w:rsid w:val="0066285D"/>
    <w:rsid w:val="00664C15"/>
    <w:rsid w:val="0067032A"/>
    <w:rsid w:val="0069039A"/>
    <w:rsid w:val="00691615"/>
    <w:rsid w:val="00693628"/>
    <w:rsid w:val="00696426"/>
    <w:rsid w:val="00696432"/>
    <w:rsid w:val="006A5ABC"/>
    <w:rsid w:val="006B1417"/>
    <w:rsid w:val="006B2F85"/>
    <w:rsid w:val="006C3D19"/>
    <w:rsid w:val="006C4C79"/>
    <w:rsid w:val="006D0949"/>
    <w:rsid w:val="006D73EE"/>
    <w:rsid w:val="006D7CA2"/>
    <w:rsid w:val="006E4A6C"/>
    <w:rsid w:val="006F1484"/>
    <w:rsid w:val="006F5079"/>
    <w:rsid w:val="00703648"/>
    <w:rsid w:val="00705ED5"/>
    <w:rsid w:val="00713200"/>
    <w:rsid w:val="0071340D"/>
    <w:rsid w:val="00713E02"/>
    <w:rsid w:val="00730FBC"/>
    <w:rsid w:val="00734B79"/>
    <w:rsid w:val="00742B32"/>
    <w:rsid w:val="00754756"/>
    <w:rsid w:val="00773A9C"/>
    <w:rsid w:val="00783413"/>
    <w:rsid w:val="0079501E"/>
    <w:rsid w:val="007C2CCE"/>
    <w:rsid w:val="007C77FC"/>
    <w:rsid w:val="007E2834"/>
    <w:rsid w:val="007E2FC9"/>
    <w:rsid w:val="007E3A87"/>
    <w:rsid w:val="007F03FD"/>
    <w:rsid w:val="0081021A"/>
    <w:rsid w:val="00830F91"/>
    <w:rsid w:val="0083328B"/>
    <w:rsid w:val="00847C34"/>
    <w:rsid w:val="008716AD"/>
    <w:rsid w:val="00872BF1"/>
    <w:rsid w:val="00874544"/>
    <w:rsid w:val="00877203"/>
    <w:rsid w:val="00880B57"/>
    <w:rsid w:val="0088394C"/>
    <w:rsid w:val="0089015A"/>
    <w:rsid w:val="008A23BC"/>
    <w:rsid w:val="008C0C4B"/>
    <w:rsid w:val="008D0975"/>
    <w:rsid w:val="008D63B2"/>
    <w:rsid w:val="008E2D46"/>
    <w:rsid w:val="008F1634"/>
    <w:rsid w:val="00902A4A"/>
    <w:rsid w:val="00914BAE"/>
    <w:rsid w:val="009231A0"/>
    <w:rsid w:val="0094143D"/>
    <w:rsid w:val="0094157D"/>
    <w:rsid w:val="00947CB7"/>
    <w:rsid w:val="00964D82"/>
    <w:rsid w:val="00974C86"/>
    <w:rsid w:val="009A0E48"/>
    <w:rsid w:val="009B1B34"/>
    <w:rsid w:val="009C2F8E"/>
    <w:rsid w:val="009E6E42"/>
    <w:rsid w:val="00A0406C"/>
    <w:rsid w:val="00A13070"/>
    <w:rsid w:val="00A17723"/>
    <w:rsid w:val="00A216BB"/>
    <w:rsid w:val="00A2633C"/>
    <w:rsid w:val="00A4510F"/>
    <w:rsid w:val="00A605E2"/>
    <w:rsid w:val="00A62D48"/>
    <w:rsid w:val="00A76F34"/>
    <w:rsid w:val="00A82EB1"/>
    <w:rsid w:val="00A866F3"/>
    <w:rsid w:val="00AA00B9"/>
    <w:rsid w:val="00AC76B2"/>
    <w:rsid w:val="00AE030F"/>
    <w:rsid w:val="00AE5378"/>
    <w:rsid w:val="00AF21C1"/>
    <w:rsid w:val="00B01B0E"/>
    <w:rsid w:val="00B05EDE"/>
    <w:rsid w:val="00B07132"/>
    <w:rsid w:val="00B07E9D"/>
    <w:rsid w:val="00B16238"/>
    <w:rsid w:val="00B25D5C"/>
    <w:rsid w:val="00B32FA4"/>
    <w:rsid w:val="00B34BB8"/>
    <w:rsid w:val="00B4229E"/>
    <w:rsid w:val="00B42E77"/>
    <w:rsid w:val="00B56251"/>
    <w:rsid w:val="00B57445"/>
    <w:rsid w:val="00B7222F"/>
    <w:rsid w:val="00B723A2"/>
    <w:rsid w:val="00B74463"/>
    <w:rsid w:val="00B84881"/>
    <w:rsid w:val="00B85013"/>
    <w:rsid w:val="00B94302"/>
    <w:rsid w:val="00B95CFC"/>
    <w:rsid w:val="00B969BD"/>
    <w:rsid w:val="00BA205F"/>
    <w:rsid w:val="00BA47FD"/>
    <w:rsid w:val="00BA524B"/>
    <w:rsid w:val="00BA7237"/>
    <w:rsid w:val="00BC7C71"/>
    <w:rsid w:val="00BD7A6E"/>
    <w:rsid w:val="00BF1ACF"/>
    <w:rsid w:val="00BF4E1B"/>
    <w:rsid w:val="00C165DB"/>
    <w:rsid w:val="00C31D0B"/>
    <w:rsid w:val="00C3531B"/>
    <w:rsid w:val="00C43F2F"/>
    <w:rsid w:val="00C526F0"/>
    <w:rsid w:val="00C56F01"/>
    <w:rsid w:val="00C61B13"/>
    <w:rsid w:val="00C71993"/>
    <w:rsid w:val="00C8773F"/>
    <w:rsid w:val="00CA001F"/>
    <w:rsid w:val="00CA69AB"/>
    <w:rsid w:val="00CB61C2"/>
    <w:rsid w:val="00CD5722"/>
    <w:rsid w:val="00CD7099"/>
    <w:rsid w:val="00CE1097"/>
    <w:rsid w:val="00CE6330"/>
    <w:rsid w:val="00D011F5"/>
    <w:rsid w:val="00D03B8D"/>
    <w:rsid w:val="00D0617B"/>
    <w:rsid w:val="00D2182E"/>
    <w:rsid w:val="00D458EC"/>
    <w:rsid w:val="00D5520B"/>
    <w:rsid w:val="00D603A3"/>
    <w:rsid w:val="00D60AD3"/>
    <w:rsid w:val="00D705B7"/>
    <w:rsid w:val="00D741B1"/>
    <w:rsid w:val="00D94E67"/>
    <w:rsid w:val="00DA7244"/>
    <w:rsid w:val="00DE6400"/>
    <w:rsid w:val="00DF146D"/>
    <w:rsid w:val="00DF4ED5"/>
    <w:rsid w:val="00E2075E"/>
    <w:rsid w:val="00E20B4B"/>
    <w:rsid w:val="00E22082"/>
    <w:rsid w:val="00E365CF"/>
    <w:rsid w:val="00E40A06"/>
    <w:rsid w:val="00E438E4"/>
    <w:rsid w:val="00E44AAA"/>
    <w:rsid w:val="00E54658"/>
    <w:rsid w:val="00E842D5"/>
    <w:rsid w:val="00E93FD4"/>
    <w:rsid w:val="00EA781A"/>
    <w:rsid w:val="00EB31D2"/>
    <w:rsid w:val="00EC09AE"/>
    <w:rsid w:val="00EC4DF5"/>
    <w:rsid w:val="00EC5D8D"/>
    <w:rsid w:val="00EC75A5"/>
    <w:rsid w:val="00ED098F"/>
    <w:rsid w:val="00EE3D72"/>
    <w:rsid w:val="00EF1512"/>
    <w:rsid w:val="00EF7EBE"/>
    <w:rsid w:val="00F05358"/>
    <w:rsid w:val="00F12E2D"/>
    <w:rsid w:val="00F16B49"/>
    <w:rsid w:val="00F23FD2"/>
    <w:rsid w:val="00F311C7"/>
    <w:rsid w:val="00F64C84"/>
    <w:rsid w:val="00F7151F"/>
    <w:rsid w:val="00F715FD"/>
    <w:rsid w:val="00F81628"/>
    <w:rsid w:val="00F91434"/>
    <w:rsid w:val="00F93480"/>
    <w:rsid w:val="00FA1C54"/>
    <w:rsid w:val="00FA5129"/>
    <w:rsid w:val="00FA6F89"/>
    <w:rsid w:val="00FC159D"/>
    <w:rsid w:val="00FC4C96"/>
    <w:rsid w:val="00FD5A2F"/>
    <w:rsid w:val="00FD7F71"/>
    <w:rsid w:val="00FE4A3B"/>
    <w:rsid w:val="00FE5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1D286E"/>
    <w:pPr>
      <w:tabs>
        <w:tab w:val="left" w:pos="709"/>
        <w:tab w:val="right" w:leader="dot" w:pos="9062"/>
      </w:tabs>
      <w:spacing w:after="100"/>
      <w:ind w:left="420"/>
    </w:pPr>
  </w:style>
  <w:style w:type="paragraph" w:styleId="Inhopg2">
    <w:name w:val="toc 2"/>
    <w:basedOn w:val="Standaard"/>
    <w:next w:val="Standaard"/>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Standaard"/>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Tabelraster">
    <w:name w:val="Table Grid"/>
    <w:basedOn w:val="Standaardtabe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1D286E"/>
    <w:pPr>
      <w:tabs>
        <w:tab w:val="left" w:pos="709"/>
        <w:tab w:val="right" w:leader="dot" w:pos="9062"/>
      </w:tabs>
      <w:spacing w:after="100"/>
      <w:ind w:left="420"/>
    </w:pPr>
  </w:style>
  <w:style w:type="paragraph" w:styleId="Inhopg2">
    <w:name w:val="toc 2"/>
    <w:basedOn w:val="Standaard"/>
    <w:next w:val="Standaard"/>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Standaard"/>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Tabelraster">
    <w:name w:val="Table Grid"/>
    <w:basedOn w:val="Standaardtabe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1818185075">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professional.socialsecurity.be/site_fr/civilservant/Applics/ruspp/index.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110BD-26F8-46D0-98AA-145DD45B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2157</Words>
  <Characters>11865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Toelage ter bevordering van de participatie en de sociale activering van OCMW-gebruikers</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SPP Intégration Sociale </dc:subject>
  <dc:creator>Chatt Rajae</dc:creator>
  <cp:lastModifiedBy>Dewulf Jacqueline</cp:lastModifiedBy>
  <cp:revision>13</cp:revision>
  <cp:lastPrinted>2019-01-23T11:06:00Z</cp:lastPrinted>
  <dcterms:created xsi:type="dcterms:W3CDTF">2019-01-28T12:45:00Z</dcterms:created>
  <dcterms:modified xsi:type="dcterms:W3CDTF">2019-01-30T10:04:00Z</dcterms:modified>
</cp:coreProperties>
</file>