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C4" w:rsidRPr="00467AFB" w:rsidRDefault="00044254" w:rsidP="00523D16">
      <w:pPr>
        <w:pStyle w:val="Titel"/>
        <w:jc w:val="right"/>
        <w:rPr>
          <w:lang w:val="nl-NL"/>
        </w:rPr>
      </w:pPr>
      <w:r w:rsidRPr="00467AFB">
        <w:rPr>
          <w:noProof/>
          <w:lang w:bidi="ar-SA"/>
        </w:rPr>
        <w:drawing>
          <wp:anchor distT="0" distB="0" distL="114300" distR="114300" simplePos="0" relativeHeight="251657216" behindDoc="0" locked="0" layoutInCell="1" allowOverlap="1" wp14:anchorId="776ED0E6" wp14:editId="7151086E">
            <wp:simplePos x="0" y="0"/>
            <wp:positionH relativeFrom="column">
              <wp:posOffset>0</wp:posOffset>
            </wp:positionH>
            <wp:positionV relativeFrom="paragraph">
              <wp:posOffset>-342900</wp:posOffset>
            </wp:positionV>
            <wp:extent cx="2171700" cy="1120775"/>
            <wp:effectExtent l="0" t="0" r="0" b="3175"/>
            <wp:wrapTopAndBottom/>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OD_k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1120775"/>
                    </a:xfrm>
                    <a:prstGeom prst="rect">
                      <a:avLst/>
                    </a:prstGeom>
                    <a:noFill/>
                  </pic:spPr>
                </pic:pic>
              </a:graphicData>
            </a:graphic>
            <wp14:sizeRelH relativeFrom="page">
              <wp14:pctWidth>0</wp14:pctWidth>
            </wp14:sizeRelH>
            <wp14:sizeRelV relativeFrom="page">
              <wp14:pctHeight>0</wp14:pctHeight>
            </wp14:sizeRelV>
          </wp:anchor>
        </w:drawing>
      </w:r>
      <w:r w:rsidRPr="00467AFB">
        <w:rPr>
          <w:lang w:val="nl-NL"/>
        </w:rPr>
        <w:t>MEDIPRIMA</w:t>
      </w:r>
    </w:p>
    <w:p w:rsidR="00B3371E" w:rsidRPr="00467AFB" w:rsidRDefault="001856C4" w:rsidP="00523D16">
      <w:pPr>
        <w:pStyle w:val="Titel"/>
        <w:jc w:val="right"/>
        <w:rPr>
          <w:lang w:val="nl-NL"/>
        </w:rPr>
      </w:pPr>
      <w:r w:rsidRPr="00467AFB">
        <w:rPr>
          <w:lang w:val="nl-NL"/>
        </w:rPr>
        <w:t xml:space="preserve">Gebruik van de </w:t>
      </w:r>
      <w:r w:rsidR="00395108">
        <w:rPr>
          <w:lang w:val="nl-NL"/>
        </w:rPr>
        <w:t>commentaarvelden</w:t>
      </w:r>
      <w:r w:rsidRPr="00467AFB">
        <w:rPr>
          <w:lang w:val="nl-NL"/>
        </w:rPr>
        <w:t>: goede praktijken</w:t>
      </w:r>
    </w:p>
    <w:p w:rsidR="008C5D65" w:rsidRPr="00467AFB" w:rsidRDefault="00006C09" w:rsidP="00006C09">
      <w:pPr>
        <w:rPr>
          <w:lang w:val="nl-NL"/>
        </w:rPr>
      </w:pPr>
      <w:r w:rsidRPr="00467AFB">
        <w:rPr>
          <w:lang w:val="nl-NL"/>
        </w:rPr>
        <w:t xml:space="preserve">Dit document </w:t>
      </w:r>
      <w:r w:rsidR="00395108">
        <w:rPr>
          <w:lang w:val="nl-NL"/>
        </w:rPr>
        <w:t>doet</w:t>
      </w:r>
      <w:r w:rsidRPr="00467AFB">
        <w:rPr>
          <w:lang w:val="nl-NL"/>
        </w:rPr>
        <w:t xml:space="preserve">, op basis van de praktijken die momenteel worden vastgesteld, bepaalde aanbevelingen of </w:t>
      </w:r>
      <w:r w:rsidR="00395108">
        <w:rPr>
          <w:lang w:val="nl-NL"/>
        </w:rPr>
        <w:t xml:space="preserve">stelt </w:t>
      </w:r>
      <w:r w:rsidRPr="00467AFB">
        <w:rPr>
          <w:lang w:val="nl-NL"/>
        </w:rPr>
        <w:t xml:space="preserve">goede praktijken </w:t>
      </w:r>
      <w:r w:rsidR="00395108">
        <w:rPr>
          <w:lang w:val="nl-NL"/>
        </w:rPr>
        <w:t xml:space="preserve">voor </w:t>
      </w:r>
      <w:r w:rsidRPr="00467AFB">
        <w:rPr>
          <w:lang w:val="nl-NL"/>
        </w:rPr>
        <w:t xml:space="preserve">om de verschillende </w:t>
      </w:r>
      <w:r w:rsidR="00395108">
        <w:rPr>
          <w:lang w:val="nl-NL"/>
        </w:rPr>
        <w:t>comm</w:t>
      </w:r>
      <w:bookmarkStart w:id="0" w:name="_GoBack"/>
      <w:bookmarkEnd w:id="0"/>
      <w:r w:rsidR="00395108">
        <w:rPr>
          <w:lang w:val="nl-NL"/>
        </w:rPr>
        <w:t>entaarv</w:t>
      </w:r>
      <w:r w:rsidRPr="00467AFB">
        <w:rPr>
          <w:lang w:val="nl-NL"/>
        </w:rPr>
        <w:t xml:space="preserve">elden te gebruiken die toegang kunnen geven tot de vrije tekst in de elektronische beslissingen tot tenlasteneming van het programma MediPrima. </w:t>
      </w:r>
    </w:p>
    <w:p w:rsidR="00A10BE6" w:rsidRPr="00467AFB" w:rsidRDefault="00A10BE6" w:rsidP="00E24AD5">
      <w:pPr>
        <w:pStyle w:val="Kop1"/>
        <w:rPr>
          <w:lang w:val="nl-NL"/>
        </w:rPr>
      </w:pPr>
      <w:r w:rsidRPr="00467AFB">
        <w:rPr>
          <w:lang w:val="nl-NL"/>
        </w:rPr>
        <w:t>Waarover gaat het?</w:t>
      </w:r>
    </w:p>
    <w:p w:rsidR="008C5D65" w:rsidRPr="00467AFB" w:rsidRDefault="00A10BE6" w:rsidP="001856C4">
      <w:pPr>
        <w:rPr>
          <w:lang w:val="nl-NL"/>
        </w:rPr>
      </w:pPr>
      <w:r w:rsidRPr="00467AFB">
        <w:rPr>
          <w:lang w:val="nl-NL"/>
        </w:rPr>
        <w:t>Via de commentaarvelden in MediPrima kunnen de OCMW's in een vrij formaat de teksten invoeren die be</w:t>
      </w:r>
      <w:r w:rsidR="00395108">
        <w:rPr>
          <w:lang w:val="nl-NL"/>
        </w:rPr>
        <w:t>doeld</w:t>
      </w:r>
      <w:r w:rsidRPr="00467AFB">
        <w:rPr>
          <w:lang w:val="nl-NL"/>
        </w:rPr>
        <w:t xml:space="preserve"> zijn voor de verstrekkers. De OCMW's kunnen ze gebruiken om beperkingen of voorwaarden voor hun tenlasteneming in te voeren.</w:t>
      </w:r>
    </w:p>
    <w:p w:rsidR="00A10BE6" w:rsidRPr="00467AFB" w:rsidRDefault="00A10BE6" w:rsidP="00E24AD5">
      <w:pPr>
        <w:pStyle w:val="Kop1"/>
        <w:rPr>
          <w:lang w:val="nl-NL"/>
        </w:rPr>
      </w:pPr>
      <w:r w:rsidRPr="00467AFB">
        <w:rPr>
          <w:lang w:val="nl-NL"/>
        </w:rPr>
        <w:t>Waar verschijnen de commentaarvelden?</w:t>
      </w:r>
    </w:p>
    <w:p w:rsidR="00A10BE6" w:rsidRPr="00467AFB" w:rsidRDefault="001856C4" w:rsidP="001856C4">
      <w:pPr>
        <w:rPr>
          <w:lang w:val="nl-NL"/>
        </w:rPr>
      </w:pPr>
      <w:r w:rsidRPr="00467AFB">
        <w:rPr>
          <w:lang w:val="nl-NL"/>
        </w:rPr>
        <w:t xml:space="preserve">In de beslissing tot tenlasteneming vinden we de commentaarvelden terug die betrekking hebben op de volgende thema's: </w:t>
      </w:r>
    </w:p>
    <w:p w:rsidR="00AB1E1A" w:rsidRPr="00467AFB" w:rsidRDefault="005A179A" w:rsidP="001856C4">
      <w:pPr>
        <w:pStyle w:val="Lijstalinea"/>
        <w:numPr>
          <w:ilvl w:val="0"/>
          <w:numId w:val="6"/>
        </w:numPr>
        <w:rPr>
          <w:lang w:val="nl-NL"/>
        </w:rPr>
      </w:pPr>
      <w:r w:rsidRPr="00467AFB">
        <w:rPr>
          <w:b/>
          <w:szCs w:val="24"/>
          <w:lang w:val="nl-NL"/>
        </w:rPr>
        <w:t>Beschrijving</w:t>
      </w:r>
      <w:r w:rsidRPr="00467AFB">
        <w:rPr>
          <w:lang w:val="nl-NL"/>
        </w:rPr>
        <w:t>: de voorwaarden die door het OCMW zijn opgelegd voor de tenlasteneming wanneer het OCMW heeft aangegeven dat zij "gedeeltelijk" is,</w:t>
      </w:r>
    </w:p>
    <w:p w:rsidR="00AB1E1A" w:rsidRPr="00467AFB" w:rsidRDefault="005A179A" w:rsidP="001856C4">
      <w:pPr>
        <w:pStyle w:val="Lijstalinea"/>
        <w:numPr>
          <w:ilvl w:val="0"/>
          <w:numId w:val="6"/>
        </w:numPr>
        <w:rPr>
          <w:lang w:val="nl-NL"/>
        </w:rPr>
      </w:pPr>
      <w:r w:rsidRPr="00467AFB">
        <w:rPr>
          <w:b/>
          <w:lang w:val="nl-NL"/>
        </w:rPr>
        <w:t>Supplementen</w:t>
      </w:r>
      <w:r w:rsidRPr="00467AFB">
        <w:rPr>
          <w:lang w:val="nl-NL"/>
        </w:rPr>
        <w:t xml:space="preserve">: de prestaties buiten ZIV die het OCMW ten laste neemt / weigert ten laste te nemen, </w:t>
      </w:r>
    </w:p>
    <w:p w:rsidR="00A95637" w:rsidRPr="00467AFB" w:rsidRDefault="00E24AD5" w:rsidP="001856C4">
      <w:pPr>
        <w:pStyle w:val="Lijstalinea"/>
        <w:numPr>
          <w:ilvl w:val="0"/>
          <w:numId w:val="6"/>
        </w:numPr>
        <w:rPr>
          <w:lang w:val="nl-NL"/>
        </w:rPr>
      </w:pPr>
      <w:r w:rsidRPr="00467AFB">
        <w:rPr>
          <w:lang w:val="nl-NL"/>
        </w:rPr>
        <w:t xml:space="preserve">Voor de rubrieken "hospitalisatie" en "ambulante zorgen": </w:t>
      </w:r>
    </w:p>
    <w:p w:rsidR="00DF2C25" w:rsidRPr="00467AFB" w:rsidRDefault="005A179A" w:rsidP="00A95637">
      <w:pPr>
        <w:pStyle w:val="Lijstalinea"/>
        <w:numPr>
          <w:ilvl w:val="1"/>
          <w:numId w:val="6"/>
        </w:numPr>
        <w:rPr>
          <w:lang w:val="nl-NL"/>
        </w:rPr>
      </w:pPr>
      <w:r w:rsidRPr="00467AFB">
        <w:rPr>
          <w:b/>
          <w:lang w:val="nl-NL"/>
        </w:rPr>
        <w:t>Geneesmiddelen</w:t>
      </w:r>
      <w:r w:rsidRPr="00467AFB">
        <w:rPr>
          <w:lang w:val="nl-NL"/>
        </w:rPr>
        <w:t>: de geneesmiddelen die het OCMW ten laste neemt / niet ten laste neemt.</w:t>
      </w:r>
    </w:p>
    <w:p w:rsidR="00AB1E1A" w:rsidRPr="00467AFB" w:rsidRDefault="005A179A" w:rsidP="00A95637">
      <w:pPr>
        <w:pStyle w:val="Lijstalinea"/>
        <w:numPr>
          <w:ilvl w:val="1"/>
          <w:numId w:val="6"/>
        </w:numPr>
        <w:rPr>
          <w:lang w:val="nl-NL"/>
        </w:rPr>
      </w:pPr>
      <w:r w:rsidRPr="000C6846">
        <w:rPr>
          <w:b/>
          <w:szCs w:val="24"/>
          <w:lang w:val="nl-NL"/>
        </w:rPr>
        <w:t>Dienst</w:t>
      </w:r>
      <w:r w:rsidRPr="00467AFB">
        <w:rPr>
          <w:lang w:val="nl-NL"/>
        </w:rPr>
        <w:t xml:space="preserve">: de beschrijving van de dienst die gemachtigd is om </w:t>
      </w:r>
      <w:r w:rsidR="00467AFB">
        <w:rPr>
          <w:lang w:val="nl-NL"/>
        </w:rPr>
        <w:t>de patiënt ten laste te nemen.</w:t>
      </w:r>
    </w:p>
    <w:p w:rsidR="00A10BE6" w:rsidRPr="00467AFB" w:rsidRDefault="00DF2C25" w:rsidP="00E24AD5">
      <w:pPr>
        <w:pStyle w:val="Kop1"/>
        <w:rPr>
          <w:lang w:val="nl-NL"/>
        </w:rPr>
      </w:pPr>
      <w:r w:rsidRPr="00467AFB">
        <w:rPr>
          <w:lang w:val="nl-NL"/>
        </w:rPr>
        <w:lastRenderedPageBreak/>
        <w:t>Waar</w:t>
      </w:r>
      <w:r w:rsidR="000C6846">
        <w:rPr>
          <w:lang w:val="nl-NL"/>
        </w:rPr>
        <w:t xml:space="preserve">voor moeten zij </w:t>
      </w:r>
      <w:r w:rsidRPr="00467AFB">
        <w:rPr>
          <w:lang w:val="nl-NL"/>
        </w:rPr>
        <w:t xml:space="preserve">dienen? </w:t>
      </w:r>
    </w:p>
    <w:p w:rsidR="002C6FD8" w:rsidRPr="00467AFB" w:rsidRDefault="008C5D65" w:rsidP="001856C4">
      <w:pPr>
        <w:rPr>
          <w:lang w:val="nl-NL"/>
        </w:rPr>
      </w:pPr>
      <w:r w:rsidRPr="00467AFB">
        <w:rPr>
          <w:lang w:val="nl-NL"/>
        </w:rPr>
        <w:t xml:space="preserve">De in de commentaren ingevoerde teksten moeten voorwaarden overnemen die duidelijk en objectiveerbaar zijn voor de verstrekker, voorwaarden </w:t>
      </w:r>
      <w:r w:rsidR="000C6846">
        <w:rPr>
          <w:lang w:val="nl-NL"/>
        </w:rPr>
        <w:t>die werden opg</w:t>
      </w:r>
      <w:r w:rsidRPr="00467AFB">
        <w:rPr>
          <w:lang w:val="nl-NL"/>
        </w:rPr>
        <w:t>elegd door de OCMW's in verband met hun terugbetaling van de medische kosten gemaakt door de verstrekkers.</w:t>
      </w:r>
    </w:p>
    <w:p w:rsidR="00A95637" w:rsidRPr="00467AFB" w:rsidRDefault="00A95637" w:rsidP="00523D16">
      <w:pPr>
        <w:pStyle w:val="Kop2"/>
        <w:rPr>
          <w:lang w:val="nl-NL"/>
        </w:rPr>
      </w:pPr>
      <w:r w:rsidRPr="00467AFB">
        <w:rPr>
          <w:lang w:val="nl-NL"/>
        </w:rPr>
        <w:t>Wanneer kunnen we ze gebruiken?</w:t>
      </w:r>
    </w:p>
    <w:p w:rsidR="00A95637" w:rsidRPr="00467AFB" w:rsidRDefault="00A95637" w:rsidP="00A95637">
      <w:pPr>
        <w:rPr>
          <w:lang w:val="nl-NL"/>
        </w:rPr>
      </w:pPr>
      <w:r w:rsidRPr="00467AFB">
        <w:rPr>
          <w:lang w:val="nl-NL"/>
        </w:rPr>
        <w:t>De commentaren mogen enkel gebruikt worden door een OCMW wanneer dit beslist om hulp toe te kennen bovenop de tussenkomst van de Staat. Het gedeelte van de tussenkomst van het OCMW is immers steeds residuair.</w:t>
      </w:r>
    </w:p>
    <w:p w:rsidR="00E24AD5" w:rsidRPr="00467AFB" w:rsidRDefault="00E24AD5" w:rsidP="00523D16">
      <w:pPr>
        <w:pStyle w:val="Kop2"/>
        <w:rPr>
          <w:lang w:val="nl-NL"/>
        </w:rPr>
      </w:pPr>
      <w:r w:rsidRPr="00467AFB">
        <w:rPr>
          <w:lang w:val="nl-NL"/>
        </w:rPr>
        <w:t xml:space="preserve">Effecten van de commentaren: </w:t>
      </w:r>
    </w:p>
    <w:p w:rsidR="00E24AD5" w:rsidRPr="00467AFB" w:rsidRDefault="00E24AD5" w:rsidP="00A95637">
      <w:pPr>
        <w:rPr>
          <w:lang w:val="nl-NL"/>
        </w:rPr>
      </w:pPr>
      <w:r w:rsidRPr="00467AFB">
        <w:rPr>
          <w:lang w:val="nl-NL"/>
        </w:rPr>
        <w:t xml:space="preserve">De voorwaarden opgelegd door het OCMW </w:t>
      </w:r>
      <w:r w:rsidR="009F059A">
        <w:rPr>
          <w:lang w:val="nl-NL"/>
        </w:rPr>
        <w:t xml:space="preserve">bij </w:t>
      </w:r>
      <w:r w:rsidRPr="00467AFB">
        <w:rPr>
          <w:lang w:val="nl-NL"/>
        </w:rPr>
        <w:t xml:space="preserve">haar tenlasteneming zullen een effect hebben op de terugbetaling van de medische kosten door het OCMW: zij zullen door </w:t>
      </w:r>
      <w:r w:rsidR="009F059A">
        <w:rPr>
          <w:lang w:val="nl-NL"/>
        </w:rPr>
        <w:t xml:space="preserve">het OCMW </w:t>
      </w:r>
      <w:r w:rsidRPr="00467AFB">
        <w:rPr>
          <w:lang w:val="nl-NL"/>
        </w:rPr>
        <w:t xml:space="preserve">worden toegepast wanneer het de facturen controleert die werden opgesteld door de zorgverstrekker. </w:t>
      </w:r>
    </w:p>
    <w:p w:rsidR="00A95637" w:rsidRPr="00467AFB" w:rsidRDefault="00E24AD5" w:rsidP="00A95637">
      <w:pPr>
        <w:rPr>
          <w:lang w:val="nl-NL"/>
        </w:rPr>
      </w:pPr>
      <w:r w:rsidRPr="00467AFB">
        <w:rPr>
          <w:lang w:val="nl-NL"/>
        </w:rPr>
        <w:t>De kosten die niet voldoen aan de voorwaarden opgelegd door het OCMW zullen door het OCMW kunnen worden geweigerd: de patiënt zal de rest van de factuur ten laste nemen.</w:t>
      </w:r>
    </w:p>
    <w:p w:rsidR="00425E94" w:rsidRPr="00467AFB" w:rsidRDefault="00425E94" w:rsidP="00523D16">
      <w:pPr>
        <w:pStyle w:val="Kop2"/>
        <w:rPr>
          <w:lang w:val="nl-NL"/>
        </w:rPr>
      </w:pPr>
      <w:r w:rsidRPr="00467AFB">
        <w:rPr>
          <w:lang w:val="nl-NL"/>
        </w:rPr>
        <w:t>Hoe worden de commentaren momenteel gebruikt?</w:t>
      </w:r>
    </w:p>
    <w:p w:rsidR="00A10BE6" w:rsidRPr="00467AFB" w:rsidRDefault="00A10BE6" w:rsidP="001856C4">
      <w:pPr>
        <w:rPr>
          <w:lang w:val="nl-NL"/>
        </w:rPr>
      </w:pPr>
      <w:r w:rsidRPr="00467AFB">
        <w:rPr>
          <w:lang w:val="nl-NL"/>
        </w:rPr>
        <w:t xml:space="preserve">In de praktijk hebben de OCMW's deze commentaarvelden gebruikt om allerlei informatie in te voeren. Dit gebruik zorgt voor problemen bij de andere betrokkenen: </w:t>
      </w:r>
    </w:p>
    <w:p w:rsidR="00A10BE6" w:rsidRPr="00467AFB" w:rsidRDefault="00A10BE6" w:rsidP="001856C4">
      <w:pPr>
        <w:pStyle w:val="Lijstalinea"/>
        <w:numPr>
          <w:ilvl w:val="0"/>
          <w:numId w:val="4"/>
        </w:numPr>
        <w:rPr>
          <w:lang w:val="nl-NL"/>
        </w:rPr>
      </w:pPr>
      <w:r w:rsidRPr="00467AFB">
        <w:rPr>
          <w:lang w:val="nl-NL"/>
        </w:rPr>
        <w:t xml:space="preserve">leesbaarheid en </w:t>
      </w:r>
      <w:r w:rsidR="001F52AB">
        <w:rPr>
          <w:lang w:val="nl-NL"/>
        </w:rPr>
        <w:t>duidelijkheid</w:t>
      </w:r>
      <w:r w:rsidRPr="00467AFB">
        <w:rPr>
          <w:lang w:val="nl-NL"/>
        </w:rPr>
        <w:t xml:space="preserve"> van de informa</w:t>
      </w:r>
      <w:r w:rsidR="00467AFB">
        <w:rPr>
          <w:lang w:val="nl-NL"/>
        </w:rPr>
        <w:t>tie (cf. probleem van de taal)</w:t>
      </w:r>
    </w:p>
    <w:p w:rsidR="00A10BE6" w:rsidRPr="00467AFB" w:rsidRDefault="00A10BE6" w:rsidP="001856C4">
      <w:pPr>
        <w:pStyle w:val="Lijstalinea"/>
        <w:numPr>
          <w:ilvl w:val="0"/>
          <w:numId w:val="4"/>
        </w:numPr>
        <w:rPr>
          <w:lang w:val="nl-NL"/>
        </w:rPr>
      </w:pPr>
      <w:r w:rsidRPr="00467AFB">
        <w:rPr>
          <w:lang w:val="nl-NL"/>
        </w:rPr>
        <w:t xml:space="preserve">geen automatisering mogelijk van de voorwaarden in de ziekenhuisfacturatie - de informatie is niet automatisch "bruikbaar". </w:t>
      </w:r>
    </w:p>
    <w:p w:rsidR="00A10BE6" w:rsidRPr="00467AFB" w:rsidRDefault="00A10BE6" w:rsidP="001856C4">
      <w:pPr>
        <w:pStyle w:val="Lijstalinea"/>
        <w:numPr>
          <w:ilvl w:val="0"/>
          <w:numId w:val="4"/>
        </w:numPr>
        <w:rPr>
          <w:lang w:val="nl-NL"/>
        </w:rPr>
      </w:pPr>
      <w:r w:rsidRPr="00467AFB">
        <w:rPr>
          <w:lang w:val="nl-NL"/>
        </w:rPr>
        <w:t xml:space="preserve">Er wordt geen rekening mee gehouden </w:t>
      </w:r>
      <w:r w:rsidR="001F52AB">
        <w:rPr>
          <w:lang w:val="nl-NL"/>
        </w:rPr>
        <w:t xml:space="preserve">bij </w:t>
      </w:r>
      <w:r w:rsidRPr="00467AFB">
        <w:rPr>
          <w:lang w:val="nl-NL"/>
        </w:rPr>
        <w:t xml:space="preserve">de controles van de HZIV: enkel het gedeelte ten laste van het OCMW heeft een impact op de beperkingen door de OCMW's op de beslissing tot tenlasteneming. </w:t>
      </w:r>
    </w:p>
    <w:p w:rsidR="00E24AD5" w:rsidRPr="00467AFB" w:rsidRDefault="00E24AD5" w:rsidP="00E24AD5">
      <w:pPr>
        <w:pStyle w:val="Lijstalinea"/>
        <w:rPr>
          <w:lang w:val="nl-NL"/>
        </w:rPr>
      </w:pPr>
    </w:p>
    <w:p w:rsidR="00A10BE6" w:rsidRPr="00467AFB" w:rsidRDefault="00A10BE6" w:rsidP="00E24AD5">
      <w:pPr>
        <w:pStyle w:val="Kop1"/>
        <w:rPr>
          <w:lang w:val="nl-NL"/>
        </w:rPr>
      </w:pPr>
      <w:r w:rsidRPr="00467AFB">
        <w:rPr>
          <w:lang w:val="nl-NL"/>
        </w:rPr>
        <w:t>H</w:t>
      </w:r>
      <w:r w:rsidR="00467AFB">
        <w:rPr>
          <w:lang w:val="nl-NL"/>
        </w:rPr>
        <w:t>oe deze velden invullen?</w:t>
      </w:r>
    </w:p>
    <w:p w:rsidR="001E21FE" w:rsidRPr="00467AFB" w:rsidRDefault="001E21FE" w:rsidP="00523D16">
      <w:pPr>
        <w:pStyle w:val="Kop2"/>
        <w:rPr>
          <w:lang w:val="nl-NL"/>
        </w:rPr>
      </w:pPr>
      <w:r w:rsidRPr="00467AFB">
        <w:rPr>
          <w:lang w:val="nl-NL"/>
        </w:rPr>
        <w:t>Draagwijdte van de voorwaarden weergegeven in de commentaarvelden:</w:t>
      </w:r>
    </w:p>
    <w:p w:rsidR="005F7B71" w:rsidRPr="00467AFB" w:rsidRDefault="005F7B71" w:rsidP="005A179A">
      <w:pPr>
        <w:rPr>
          <w:lang w:val="nl-NL"/>
        </w:rPr>
      </w:pPr>
      <w:r w:rsidRPr="00467AFB">
        <w:rPr>
          <w:lang w:val="nl-NL"/>
        </w:rPr>
        <w:t>De tussenkomst van het OCMW is steeds residuair ten aanzien van de tussenkomst van de POD MI.</w:t>
      </w:r>
    </w:p>
    <w:p w:rsidR="00A10BE6" w:rsidRPr="00467AFB" w:rsidRDefault="00A4528D" w:rsidP="00E24AD5">
      <w:pPr>
        <w:pStyle w:val="Lijstalinea"/>
        <w:numPr>
          <w:ilvl w:val="0"/>
          <w:numId w:val="11"/>
        </w:numPr>
        <w:rPr>
          <w:lang w:val="nl-NL"/>
        </w:rPr>
      </w:pPr>
      <w:r w:rsidRPr="00467AFB">
        <w:rPr>
          <w:lang w:val="nl-NL"/>
        </w:rPr>
        <w:lastRenderedPageBreak/>
        <w:t>Hieruit vloeit voort dat de commentaarvelden enkel mogen gebruikt worden om de toekenningsvoorwaarden te vermelden voor het gedeelte van de medische koste dat ten laste wordt genomen door de OCMW's, dus wat buiten de tussenkomst van de Staat (van de P</w:t>
      </w:r>
      <w:r w:rsidR="001F52AB">
        <w:rPr>
          <w:lang w:val="nl-NL"/>
        </w:rPr>
        <w:t>OD MI) valt.</w:t>
      </w:r>
    </w:p>
    <w:p w:rsidR="007A1C1D" w:rsidRPr="00467AFB" w:rsidRDefault="00A10BE6" w:rsidP="00E24AD5">
      <w:pPr>
        <w:pStyle w:val="Lijstalinea"/>
        <w:numPr>
          <w:ilvl w:val="0"/>
          <w:numId w:val="11"/>
        </w:numPr>
        <w:rPr>
          <w:lang w:val="nl-NL"/>
        </w:rPr>
      </w:pPr>
      <w:r w:rsidRPr="00467AFB">
        <w:rPr>
          <w:lang w:val="nl-NL"/>
        </w:rPr>
        <w:t>Zij mogen enkel gebruikt worden wanneer het OCMW beslist om een gedeelte van de kosten ten laste te nemen - zij zijn dus niet van toepassing wanneer het OCMW niets of alles ten laste neemt.</w:t>
      </w:r>
    </w:p>
    <w:p w:rsidR="00506410" w:rsidRPr="00467AFB" w:rsidRDefault="00506410" w:rsidP="00523D16">
      <w:pPr>
        <w:pStyle w:val="Kop3"/>
        <w:rPr>
          <w:lang w:val="nl-NL"/>
        </w:rPr>
      </w:pPr>
      <w:r w:rsidRPr="00467AFB">
        <w:rPr>
          <w:lang w:val="nl-NL"/>
        </w:rPr>
        <w:t>Gebruik door de zorgverstrekkers:</w:t>
      </w:r>
    </w:p>
    <w:p w:rsidR="00506410" w:rsidRPr="00467AFB" w:rsidRDefault="00506410" w:rsidP="001856C4">
      <w:pPr>
        <w:rPr>
          <w:lang w:val="nl-NL"/>
        </w:rPr>
      </w:pPr>
      <w:r w:rsidRPr="00467AFB">
        <w:rPr>
          <w:lang w:val="nl-NL"/>
        </w:rPr>
        <w:t>Opgelet: zolang de commentaren geen gestructureerde vorm hebben, kunnen de ziekenhuizen ze niet gebruiken om automatisch facturen te maken die overeenkomen met de commentaren.</w:t>
      </w:r>
    </w:p>
    <w:p w:rsidR="001E21FE" w:rsidRPr="00467AFB" w:rsidRDefault="001E21FE" w:rsidP="00523D16">
      <w:pPr>
        <w:pStyle w:val="Kop2"/>
        <w:rPr>
          <w:lang w:val="nl-NL"/>
        </w:rPr>
      </w:pPr>
      <w:r w:rsidRPr="00467AFB">
        <w:rPr>
          <w:lang w:val="nl-NL"/>
        </w:rPr>
        <w:t xml:space="preserve">Bepaalde voorwaarden kunnen niet worden gecontroleerd door de HZIV: </w:t>
      </w:r>
    </w:p>
    <w:p w:rsidR="001E21FE" w:rsidRPr="00467AFB" w:rsidRDefault="00AB1E1A" w:rsidP="001E21FE">
      <w:pPr>
        <w:pStyle w:val="Geenafstand"/>
        <w:spacing w:before="120"/>
        <w:jc w:val="both"/>
        <w:rPr>
          <w:sz w:val="24"/>
          <w:szCs w:val="24"/>
          <w:lang w:val="nl-NL"/>
        </w:rPr>
      </w:pPr>
      <w:r w:rsidRPr="00467AFB">
        <w:rPr>
          <w:sz w:val="24"/>
          <w:lang w:val="nl-NL"/>
        </w:rPr>
        <w:t>Je moet, bijvoorbeeld, weten dat de voorwaarden die het bestaan veronderstellen van een voorgeschiedenis van de patiënt</w:t>
      </w:r>
      <w:r w:rsidR="001F52AB">
        <w:rPr>
          <w:sz w:val="24"/>
          <w:lang w:val="nl-NL"/>
        </w:rPr>
        <w:t xml:space="preserve">, </w:t>
      </w:r>
      <w:r w:rsidRPr="00467AFB">
        <w:rPr>
          <w:sz w:val="24"/>
          <w:lang w:val="nl-NL"/>
        </w:rPr>
        <w:t>een maximum aantal sessies, enz.</w:t>
      </w:r>
      <w:r w:rsidR="001F52AB">
        <w:rPr>
          <w:sz w:val="24"/>
          <w:lang w:val="nl-NL"/>
        </w:rPr>
        <w:t>,</w:t>
      </w:r>
      <w:r w:rsidRPr="00467AFB">
        <w:rPr>
          <w:sz w:val="24"/>
          <w:lang w:val="nl-NL"/>
        </w:rPr>
        <w:t xml:space="preserve"> niet kunnen worden gecontroleerd door de HZIV. Die houdt immers geen </w:t>
      </w:r>
      <w:r w:rsidR="001F52AB">
        <w:rPr>
          <w:sz w:val="24"/>
          <w:lang w:val="nl-NL"/>
        </w:rPr>
        <w:t xml:space="preserve">bewijzen </w:t>
      </w:r>
      <w:r w:rsidRPr="00467AFB">
        <w:rPr>
          <w:sz w:val="24"/>
          <w:lang w:val="nl-NL"/>
        </w:rPr>
        <w:t>bij van de betalingen die reeds werden uitgevoerd voor dezelfde begunstigde in een ander ziekenhuis of in een factuur die vooraf werd opgesteld door hetzelfde ziekenhuis.</w:t>
      </w:r>
    </w:p>
    <w:p w:rsidR="00A4528D" w:rsidRPr="00467AFB" w:rsidRDefault="00A4528D" w:rsidP="001E21FE">
      <w:pPr>
        <w:pStyle w:val="Geenafstand"/>
        <w:spacing w:before="120"/>
        <w:jc w:val="both"/>
        <w:rPr>
          <w:sz w:val="24"/>
          <w:szCs w:val="24"/>
          <w:lang w:val="nl-NL"/>
        </w:rPr>
      </w:pPr>
      <w:r w:rsidRPr="00467AFB">
        <w:rPr>
          <w:sz w:val="24"/>
          <w:lang w:val="nl-NL"/>
        </w:rPr>
        <w:t xml:space="preserve">Het OCMW moet in dat geval zelf deze voorwaarde controleren. </w:t>
      </w:r>
    </w:p>
    <w:p w:rsidR="00A10BE6" w:rsidRPr="00467AFB" w:rsidRDefault="00A10BE6" w:rsidP="001856C4">
      <w:pPr>
        <w:rPr>
          <w:lang w:val="nl-NL"/>
        </w:rPr>
      </w:pPr>
    </w:p>
    <w:p w:rsidR="00B0386A" w:rsidRPr="00467AFB" w:rsidRDefault="00494A4E" w:rsidP="00523D16">
      <w:pPr>
        <w:pStyle w:val="Kop2"/>
        <w:rPr>
          <w:lang w:val="nl-NL"/>
        </w:rPr>
      </w:pPr>
      <w:r w:rsidRPr="00467AFB">
        <w:rPr>
          <w:lang w:val="nl-NL"/>
        </w:rPr>
        <w:t>Wat niet is toegestaan:</w:t>
      </w:r>
    </w:p>
    <w:p w:rsidR="00D31CC2" w:rsidRPr="00467AFB" w:rsidRDefault="00D31CC2" w:rsidP="00523D16">
      <w:pPr>
        <w:pStyle w:val="Kop3"/>
        <w:rPr>
          <w:lang w:val="nl-NL"/>
        </w:rPr>
      </w:pPr>
      <w:r w:rsidRPr="00467AFB">
        <w:rPr>
          <w:lang w:val="nl-NL"/>
        </w:rPr>
        <w:t xml:space="preserve">De "overtollige" commentaren </w:t>
      </w:r>
    </w:p>
    <w:p w:rsidR="00D31CC2" w:rsidRPr="00467AFB" w:rsidRDefault="00D31CC2" w:rsidP="00006C09">
      <w:pPr>
        <w:ind w:left="426"/>
        <w:rPr>
          <w:lang w:val="nl-NL"/>
        </w:rPr>
      </w:pPr>
      <w:r w:rsidRPr="00467AFB">
        <w:rPr>
          <w:lang w:val="nl-NL"/>
        </w:rPr>
        <w:t xml:space="preserve">Impliciete commentaren zijn niet nodig, omdat deze de tussenkomst van het OCMW beperken tot wat reeds de regel is of de normale situatie beschrijven, zoals bijvoorbeeld de weigering van prestaties die </w:t>
      </w:r>
      <w:r w:rsidR="00F70163">
        <w:rPr>
          <w:lang w:val="nl-NL"/>
        </w:rPr>
        <w:t>geen</w:t>
      </w:r>
      <w:r w:rsidRPr="00467AFB">
        <w:rPr>
          <w:lang w:val="nl-NL"/>
        </w:rPr>
        <w:t>szins ten laste worden genomen</w:t>
      </w:r>
    </w:p>
    <w:p w:rsidR="00D31CC2" w:rsidRPr="00467AFB" w:rsidRDefault="00591F92" w:rsidP="00A4536A">
      <w:pPr>
        <w:pStyle w:val="Bodytekst"/>
        <w:ind w:left="1560" w:hanging="1134"/>
        <w:rPr>
          <w:lang w:val="nl-NL"/>
        </w:rPr>
      </w:pPr>
      <w:proofErr w:type="spellStart"/>
      <w:r w:rsidRPr="00467AFB">
        <w:rPr>
          <w:lang w:val="nl-NL"/>
        </w:rPr>
        <w:t>Bijv</w:t>
      </w:r>
      <w:proofErr w:type="spellEnd"/>
      <w:r w:rsidRPr="00467AFB">
        <w:rPr>
          <w:lang w:val="nl-NL"/>
        </w:rPr>
        <w:t xml:space="preserve">: </w:t>
      </w:r>
      <w:r w:rsidRPr="00467AFB">
        <w:rPr>
          <w:lang w:val="nl-NL"/>
        </w:rPr>
        <w:tab/>
        <w:t xml:space="preserve">de terugbetaling van de kosten die ten laste worden genomen in het kader van de ZIV en niet de andere medische kosten. </w:t>
      </w:r>
    </w:p>
    <w:p w:rsidR="00006C09" w:rsidRPr="00467AFB" w:rsidRDefault="00006C09" w:rsidP="00006C09">
      <w:pPr>
        <w:ind w:left="720"/>
        <w:rPr>
          <w:i/>
          <w:lang w:val="nl-NL"/>
        </w:rPr>
      </w:pPr>
      <w:r w:rsidRPr="00467AFB">
        <w:rPr>
          <w:lang w:val="nl-NL"/>
        </w:rPr>
        <w:tab/>
      </w:r>
      <w:r w:rsidRPr="00467AFB">
        <w:rPr>
          <w:i/>
          <w:lang w:val="nl-NL"/>
        </w:rPr>
        <w:t>Enkel RIZIV-codes, tegen RIZIV-tarief</w:t>
      </w:r>
    </w:p>
    <w:p w:rsidR="00D31CC2" w:rsidRPr="00467AFB" w:rsidRDefault="00D31CC2" w:rsidP="00A4536A">
      <w:pPr>
        <w:pStyle w:val="Bodytekst"/>
        <w:ind w:firstLine="294"/>
        <w:rPr>
          <w:i/>
          <w:lang w:val="nl-NL"/>
        </w:rPr>
      </w:pPr>
      <w:r w:rsidRPr="00467AFB">
        <w:rPr>
          <w:lang w:val="nl-NL"/>
        </w:rPr>
        <w:tab/>
      </w:r>
      <w:r w:rsidRPr="00467AFB">
        <w:rPr>
          <w:i/>
          <w:lang w:val="nl-NL"/>
        </w:rPr>
        <w:t xml:space="preserve">Hospitalisatie enkel in gemeenschappelijke kamer, </w:t>
      </w:r>
    </w:p>
    <w:p w:rsidR="00D31CC2" w:rsidRPr="00467AFB" w:rsidRDefault="00D31CC2" w:rsidP="00D31CC2">
      <w:pPr>
        <w:pStyle w:val="Bodytekst"/>
        <w:ind w:left="1146" w:firstLine="294"/>
        <w:rPr>
          <w:lang w:val="nl-NL"/>
        </w:rPr>
      </w:pPr>
      <w:r w:rsidRPr="00467AFB">
        <w:rPr>
          <w:i/>
          <w:lang w:val="nl-NL"/>
        </w:rPr>
        <w:t>Geen tenlasteneming van verschillende kosten (water, telefoon, internet, televisie, ...)</w:t>
      </w:r>
    </w:p>
    <w:p w:rsidR="00006C09" w:rsidRPr="00467AFB" w:rsidRDefault="00006C09" w:rsidP="00523D16">
      <w:pPr>
        <w:pStyle w:val="Kop3"/>
        <w:rPr>
          <w:lang w:val="nl-NL"/>
        </w:rPr>
      </w:pPr>
      <w:r w:rsidRPr="00467AFB">
        <w:rPr>
          <w:lang w:val="nl-NL"/>
        </w:rPr>
        <w:t xml:space="preserve">Gebeurtenissen beperkt in de tijd </w:t>
      </w:r>
    </w:p>
    <w:p w:rsidR="00006C09" w:rsidRPr="00467AFB" w:rsidRDefault="00006C09" w:rsidP="00006C09">
      <w:pPr>
        <w:ind w:left="426"/>
        <w:rPr>
          <w:lang w:val="nl-NL"/>
        </w:rPr>
      </w:pPr>
      <w:r w:rsidRPr="00467AFB">
        <w:rPr>
          <w:lang w:val="nl-NL"/>
        </w:rPr>
        <w:t xml:space="preserve">Periodes, precieze raadplegingen. De HZIV kan deze niet controleren. </w:t>
      </w:r>
    </w:p>
    <w:p w:rsidR="00D31CC2" w:rsidRPr="00467AFB" w:rsidRDefault="00D31CC2" w:rsidP="00523D16">
      <w:pPr>
        <w:pStyle w:val="Kop3"/>
        <w:rPr>
          <w:lang w:val="nl-NL"/>
        </w:rPr>
      </w:pPr>
      <w:r w:rsidRPr="00467AFB">
        <w:rPr>
          <w:lang w:val="nl-NL"/>
        </w:rPr>
        <w:lastRenderedPageBreak/>
        <w:t>Voorwaarden in verband met de pathologie van de persoon</w:t>
      </w:r>
    </w:p>
    <w:p w:rsidR="00711808" w:rsidRPr="00467AFB" w:rsidRDefault="00711808" w:rsidP="00006C09">
      <w:pPr>
        <w:ind w:left="426"/>
        <w:rPr>
          <w:lang w:val="nl-NL"/>
        </w:rPr>
      </w:pPr>
      <w:r w:rsidRPr="00467AFB">
        <w:rPr>
          <w:lang w:val="nl-NL"/>
        </w:rPr>
        <w:t xml:space="preserve">De commentaren mogen dus geen medische gegevens bevatten: </w:t>
      </w:r>
      <w:r w:rsidR="00F70163">
        <w:rPr>
          <w:lang w:val="nl-NL"/>
        </w:rPr>
        <w:t>zulk</w:t>
      </w:r>
      <w:r w:rsidRPr="00467AFB">
        <w:rPr>
          <w:lang w:val="nl-NL"/>
        </w:rPr>
        <w:t>e informatie zou in strijd zijn met het medisch geheim.</w:t>
      </w:r>
    </w:p>
    <w:p w:rsidR="00D31CC2" w:rsidRPr="00467AFB" w:rsidRDefault="00506410" w:rsidP="00A4536A">
      <w:pPr>
        <w:ind w:left="720"/>
        <w:rPr>
          <w:lang w:val="nl-NL"/>
        </w:rPr>
      </w:pPr>
      <w:r w:rsidRPr="00467AFB">
        <w:rPr>
          <w:lang w:val="nl-NL"/>
        </w:rPr>
        <w:t>De commentaren mogen niet verwijzen naar specifieke pathologieën van de patiënt of elementen weergeven die deze zouden kunnen identificeren.</w:t>
      </w:r>
    </w:p>
    <w:p w:rsidR="00FF3D76" w:rsidRPr="00467AFB" w:rsidRDefault="00FF3D76" w:rsidP="00FF3D76">
      <w:pPr>
        <w:ind w:left="720"/>
        <w:rPr>
          <w:lang w:val="nl-NL"/>
        </w:rPr>
      </w:pPr>
      <w:r w:rsidRPr="00467AFB">
        <w:rPr>
          <w:lang w:val="nl-NL"/>
        </w:rPr>
        <w:t>We vinden in de indicatiebeschrijvingen niet het soort zorg terug dat werd ontvangen (opvolging van zwangerschap, radiologie van de schouder, postnatale raadpleging, tandsteenverwijdering, postnatale cardiologie, ...).</w:t>
      </w:r>
    </w:p>
    <w:p w:rsidR="00FF3D76" w:rsidRPr="00467AFB" w:rsidRDefault="00FF3D76" w:rsidP="00FF3D76">
      <w:pPr>
        <w:ind w:left="720"/>
        <w:rPr>
          <w:lang w:val="nl-NL"/>
        </w:rPr>
      </w:pPr>
      <w:r w:rsidRPr="00467AFB">
        <w:rPr>
          <w:lang w:val="nl-NL"/>
        </w:rPr>
        <w:t>De voorziene bevallingsdatum h</w:t>
      </w:r>
      <w:r w:rsidR="00F70163">
        <w:rPr>
          <w:lang w:val="nl-NL"/>
        </w:rPr>
        <w:t xml:space="preserve">oort ook niet thuis </w:t>
      </w:r>
      <w:r w:rsidRPr="00467AFB">
        <w:rPr>
          <w:lang w:val="nl-NL"/>
        </w:rPr>
        <w:t>in de commentaarvelden.</w:t>
      </w:r>
    </w:p>
    <w:p w:rsidR="00006C09" w:rsidRPr="00467AFB" w:rsidRDefault="00006C09" w:rsidP="00523D16">
      <w:pPr>
        <w:pStyle w:val="Kop3"/>
        <w:rPr>
          <w:lang w:val="nl-NL"/>
        </w:rPr>
      </w:pPr>
      <w:r w:rsidRPr="00467AFB">
        <w:rPr>
          <w:lang w:val="nl-NL"/>
        </w:rPr>
        <w:t xml:space="preserve">Documentaanvragen: </w:t>
      </w:r>
    </w:p>
    <w:p w:rsidR="00B67F46" w:rsidRPr="00467AFB" w:rsidRDefault="00B67F46" w:rsidP="00B0386A">
      <w:pPr>
        <w:ind w:left="720"/>
        <w:rPr>
          <w:lang w:val="nl-NL"/>
        </w:rPr>
      </w:pPr>
      <w:r w:rsidRPr="00467AFB">
        <w:rPr>
          <w:lang w:val="nl-NL"/>
        </w:rPr>
        <w:t xml:space="preserve">Het is onnodig te vermelden dat de beslissing MediPrima afhangt van de aanwezigheid van een ander document (requisitoir van het ziekenhuis, getuigschrift van de huisarts): de verstrekker kan immers deze gegevens niet meedelen aan de HZIV - het papieren document zal dus niet gecontroleerd worden. </w:t>
      </w:r>
    </w:p>
    <w:p w:rsidR="00B0386A" w:rsidRPr="00467AFB" w:rsidRDefault="00523D16" w:rsidP="00B0386A">
      <w:pPr>
        <w:ind w:left="720"/>
        <w:rPr>
          <w:lang w:val="nl-NL"/>
        </w:rPr>
      </w:pPr>
      <w:r w:rsidRPr="00467AFB">
        <w:rPr>
          <w:lang w:val="nl-NL"/>
        </w:rPr>
        <w:t>Over het algemeen is het nutteloos om papieren documenten te vragen aan de verstrekker die ze in ieder geval niet kan bezorgen aan de HZIV - omdat die uitsluitend elektronisch werkt.</w:t>
      </w:r>
    </w:p>
    <w:p w:rsidR="00B0386A" w:rsidRPr="00467AFB" w:rsidRDefault="00B0386A" w:rsidP="00B0386A">
      <w:pPr>
        <w:ind w:left="720"/>
        <w:rPr>
          <w:rFonts w:cstheme="minorHAnsi"/>
          <w:i/>
          <w:color w:val="000000"/>
          <w:lang w:val="nl-NL"/>
        </w:rPr>
      </w:pPr>
      <w:r w:rsidRPr="00467AFB">
        <w:rPr>
          <w:lang w:val="nl-NL"/>
        </w:rPr>
        <w:t xml:space="preserve">Bijv. </w:t>
      </w:r>
      <w:r w:rsidRPr="00467AFB">
        <w:rPr>
          <w:rFonts w:cstheme="minorHAnsi"/>
          <w:i/>
          <w:color w:val="000000"/>
          <w:lang w:val="nl-NL"/>
        </w:rPr>
        <w:t>Het OCMW kan geen kopie eisen van het attest DMH bij het verzenden van haar factuur.</w:t>
      </w:r>
    </w:p>
    <w:p w:rsidR="00B0386A" w:rsidRPr="00467AFB" w:rsidRDefault="00B0386A" w:rsidP="00B0386A">
      <w:pPr>
        <w:ind w:left="720"/>
        <w:rPr>
          <w:lang w:val="nl-NL"/>
        </w:rPr>
      </w:pPr>
    </w:p>
    <w:p w:rsidR="00494A4E" w:rsidRPr="00467AFB" w:rsidRDefault="00A4536A" w:rsidP="00523D16">
      <w:pPr>
        <w:pStyle w:val="Kop3"/>
        <w:rPr>
          <w:lang w:val="nl-NL"/>
        </w:rPr>
      </w:pPr>
      <w:r w:rsidRPr="00467AFB">
        <w:rPr>
          <w:lang w:val="nl-NL"/>
        </w:rPr>
        <w:t>De commentaren o</w:t>
      </w:r>
      <w:r w:rsidR="00741B74">
        <w:rPr>
          <w:lang w:val="nl-NL"/>
        </w:rPr>
        <w:t>ver h</w:t>
      </w:r>
      <w:r w:rsidRPr="00467AFB">
        <w:rPr>
          <w:lang w:val="nl-NL"/>
        </w:rPr>
        <w:t xml:space="preserve">et soort beslissing: </w:t>
      </w:r>
    </w:p>
    <w:p w:rsidR="00A4536A" w:rsidRPr="00467AFB" w:rsidRDefault="00A4536A" w:rsidP="00A4536A">
      <w:pPr>
        <w:ind w:left="720"/>
        <w:rPr>
          <w:lang w:val="nl-NL"/>
        </w:rPr>
      </w:pPr>
      <w:r w:rsidRPr="00467AFB">
        <w:rPr>
          <w:lang w:val="nl-NL"/>
        </w:rPr>
        <w:t>Deze informatie is niet relevant, omdat zij niet nuttig is voor de verstrekker die de beslissing raadpleegt: het is, bijvoorbeeld, niet nodig om te verduidelijken dat de beslissing een verlenging is</w:t>
      </w:r>
      <w:r w:rsidRPr="00467AFB">
        <w:rPr>
          <w:rStyle w:val="Voetnootmarkering"/>
          <w:lang w:val="nl-NL"/>
        </w:rPr>
        <w:footnoteReference w:id="2"/>
      </w:r>
      <w:r w:rsidR="00467AFB">
        <w:rPr>
          <w:lang w:val="nl-NL"/>
        </w:rPr>
        <w:t>:</w:t>
      </w:r>
    </w:p>
    <w:p w:rsidR="00506410" w:rsidRPr="00467AFB" w:rsidRDefault="00467AFB" w:rsidP="00A4536A">
      <w:pPr>
        <w:ind w:left="720"/>
        <w:rPr>
          <w:lang w:val="nl-NL"/>
        </w:rPr>
      </w:pPr>
      <w:proofErr w:type="spellStart"/>
      <w:r>
        <w:rPr>
          <w:lang w:val="nl-NL"/>
        </w:rPr>
        <w:t>Bijv</w:t>
      </w:r>
      <w:proofErr w:type="spellEnd"/>
      <w:r w:rsidR="00591F92" w:rsidRPr="00467AFB">
        <w:rPr>
          <w:lang w:val="nl-NL"/>
        </w:rPr>
        <w:t>: Verlenging, oordeel</w:t>
      </w:r>
    </w:p>
    <w:p w:rsidR="00494A4E" w:rsidRPr="00467AFB" w:rsidRDefault="00711808" w:rsidP="00523D16">
      <w:pPr>
        <w:pStyle w:val="Kop3"/>
        <w:rPr>
          <w:lang w:val="nl-NL"/>
        </w:rPr>
      </w:pPr>
      <w:r w:rsidRPr="00467AFB">
        <w:rPr>
          <w:lang w:val="nl-NL"/>
        </w:rPr>
        <w:lastRenderedPageBreak/>
        <w:t>De commentaren o</w:t>
      </w:r>
      <w:r w:rsidR="00741B74">
        <w:rPr>
          <w:lang w:val="nl-NL"/>
        </w:rPr>
        <w:t>ver</w:t>
      </w:r>
      <w:r w:rsidRPr="00467AFB">
        <w:rPr>
          <w:lang w:val="nl-NL"/>
        </w:rPr>
        <w:t xml:space="preserve"> de begunstigde/patiënt: </w:t>
      </w:r>
    </w:p>
    <w:p w:rsidR="00A4536A" w:rsidRPr="00467AFB" w:rsidRDefault="00A4536A" w:rsidP="00A4536A">
      <w:pPr>
        <w:pStyle w:val="Kop4"/>
        <w:ind w:left="720"/>
        <w:rPr>
          <w:lang w:val="nl-NL"/>
        </w:rPr>
      </w:pPr>
      <w:r w:rsidRPr="00467AFB">
        <w:rPr>
          <w:lang w:val="nl-NL"/>
        </w:rPr>
        <w:t xml:space="preserve">Over het statuut: </w:t>
      </w:r>
    </w:p>
    <w:p w:rsidR="00494A4E" w:rsidRPr="00467AFB" w:rsidRDefault="00494A4E" w:rsidP="00A4536A">
      <w:pPr>
        <w:ind w:left="720"/>
        <w:rPr>
          <w:lang w:val="nl-NL"/>
        </w:rPr>
      </w:pPr>
      <w:r w:rsidRPr="00467AFB">
        <w:rPr>
          <w:lang w:val="nl-NL"/>
        </w:rPr>
        <w:t xml:space="preserve">Deze informatie is niet relevant voor de verstrekker die de elektronische beslissing raadpleegt; de beslissing is ook overbodig in verband met de gestructureerde informatie van de elektronische beslissing, die het statuut van de persoon vermeldt in verband met de medische hulp. Het risico hier is dat er een verschil is tussen het statuut vermeld in de commentaar en dat bijgewerkt is - of niet - door het OCMW en het statuut dat in de beslissing staat en in het bijzonder in de </w:t>
      </w:r>
      <w:proofErr w:type="spellStart"/>
      <w:r w:rsidRPr="00467AFB">
        <w:rPr>
          <w:lang w:val="nl-NL"/>
        </w:rPr>
        <w:t>refund</w:t>
      </w:r>
      <w:proofErr w:type="spellEnd"/>
      <w:r w:rsidRPr="00467AFB">
        <w:rPr>
          <w:lang w:val="nl-NL"/>
        </w:rPr>
        <w:t xml:space="preserve"> code. .</w:t>
      </w:r>
    </w:p>
    <w:p w:rsidR="00494A4E" w:rsidRPr="00467AFB" w:rsidRDefault="00591F92" w:rsidP="00A4536A">
      <w:pPr>
        <w:ind w:left="720"/>
        <w:rPr>
          <w:lang w:val="nl-NL"/>
        </w:rPr>
      </w:pPr>
      <w:proofErr w:type="spellStart"/>
      <w:r w:rsidRPr="00467AFB">
        <w:rPr>
          <w:lang w:val="nl-NL"/>
        </w:rPr>
        <w:t>Bijv</w:t>
      </w:r>
      <w:proofErr w:type="spellEnd"/>
      <w:r w:rsidRPr="00467AFB">
        <w:rPr>
          <w:lang w:val="nl-NL"/>
        </w:rPr>
        <w:t xml:space="preserve">: </w:t>
      </w:r>
      <w:r w:rsidRPr="00467AFB">
        <w:rPr>
          <w:i/>
          <w:lang w:val="nl-NL"/>
        </w:rPr>
        <w:t>Illegaal persoon</w:t>
      </w:r>
      <w:r w:rsidRPr="00467AFB">
        <w:rPr>
          <w:lang w:val="nl-NL"/>
        </w:rPr>
        <w:t xml:space="preserve">, en ... </w:t>
      </w:r>
    </w:p>
    <w:p w:rsidR="00FF3D76" w:rsidRPr="00467AFB" w:rsidRDefault="00FF3D76" w:rsidP="00FF3D76">
      <w:pPr>
        <w:pStyle w:val="Kop4"/>
        <w:ind w:left="720"/>
        <w:rPr>
          <w:lang w:val="nl-NL"/>
        </w:rPr>
      </w:pPr>
      <w:r w:rsidRPr="00467AFB">
        <w:rPr>
          <w:lang w:val="nl-NL"/>
        </w:rPr>
        <w:t>Tenlasteneming vermelden enkel in geval van DMH</w:t>
      </w:r>
    </w:p>
    <w:p w:rsidR="00FF3D76" w:rsidRPr="00467AFB" w:rsidRDefault="00FF3D76" w:rsidP="00FF3D76">
      <w:pPr>
        <w:ind w:left="720"/>
        <w:rPr>
          <w:lang w:val="nl-NL"/>
        </w:rPr>
      </w:pPr>
      <w:r w:rsidRPr="00467AFB">
        <w:rPr>
          <w:lang w:val="nl-NL"/>
        </w:rPr>
        <w:t xml:space="preserve">Niet-relevante informatie in de commentaarvelden, omdat zij reeds vermeld wordt in de </w:t>
      </w:r>
      <w:proofErr w:type="spellStart"/>
      <w:r w:rsidRPr="00467AFB">
        <w:rPr>
          <w:lang w:val="nl-NL"/>
        </w:rPr>
        <w:t>refund</w:t>
      </w:r>
      <w:proofErr w:type="spellEnd"/>
      <w:r w:rsidRPr="00467AFB">
        <w:rPr>
          <w:lang w:val="nl-NL"/>
        </w:rPr>
        <w:t xml:space="preserve"> code. Er is een risico op incoherentie. </w:t>
      </w:r>
    </w:p>
    <w:p w:rsidR="00711808" w:rsidRPr="00467AFB" w:rsidRDefault="00F42A70" w:rsidP="00711808">
      <w:pPr>
        <w:pStyle w:val="Kop4"/>
        <w:ind w:left="720"/>
        <w:rPr>
          <w:lang w:val="nl-NL"/>
        </w:rPr>
      </w:pPr>
      <w:r w:rsidRPr="00467AFB">
        <w:rPr>
          <w:lang w:val="nl-NL"/>
        </w:rPr>
        <w:t>De commentaren o</w:t>
      </w:r>
      <w:r w:rsidR="00741B74">
        <w:rPr>
          <w:lang w:val="nl-NL"/>
        </w:rPr>
        <w:t>ver</w:t>
      </w:r>
      <w:r w:rsidRPr="00467AFB">
        <w:rPr>
          <w:lang w:val="nl-NL"/>
        </w:rPr>
        <w:t xml:space="preserve"> de verstrekker</w:t>
      </w:r>
    </w:p>
    <w:p w:rsidR="00711808" w:rsidRPr="00467AFB" w:rsidRDefault="00711808" w:rsidP="00711808">
      <w:pPr>
        <w:ind w:left="720"/>
        <w:rPr>
          <w:lang w:val="nl-NL"/>
        </w:rPr>
      </w:pPr>
      <w:r w:rsidRPr="00467AFB">
        <w:rPr>
          <w:lang w:val="nl-NL"/>
        </w:rPr>
        <w:t>Het is niet mogelijk om de naam van de verstrekker te vermelden die de persoon moet raadplegen. Het is evenmin mogelijk om andere beperkingen te vermelden over de verstrekkers, zoals de woonplaats.</w:t>
      </w:r>
    </w:p>
    <w:p w:rsidR="00711808" w:rsidRPr="00467AFB" w:rsidRDefault="00467AFB" w:rsidP="00711808">
      <w:pPr>
        <w:ind w:left="720"/>
        <w:rPr>
          <w:lang w:val="nl-NL"/>
        </w:rPr>
      </w:pPr>
      <w:proofErr w:type="spellStart"/>
      <w:r>
        <w:rPr>
          <w:lang w:val="nl-NL"/>
        </w:rPr>
        <w:t>Bijv</w:t>
      </w:r>
      <w:proofErr w:type="spellEnd"/>
      <w:r w:rsidR="00711808" w:rsidRPr="00467AFB">
        <w:rPr>
          <w:lang w:val="nl-NL"/>
        </w:rPr>
        <w:t xml:space="preserve">: </w:t>
      </w:r>
      <w:r w:rsidR="00711808" w:rsidRPr="00467AFB">
        <w:rPr>
          <w:i/>
          <w:lang w:val="nl-NL"/>
        </w:rPr>
        <w:t>Arts die in de gemeente verblijf</w:t>
      </w:r>
      <w:r w:rsidR="00711808" w:rsidRPr="00467AFB">
        <w:rPr>
          <w:lang w:val="nl-NL"/>
        </w:rPr>
        <w:t xml:space="preserve">t. </w:t>
      </w:r>
    </w:p>
    <w:p w:rsidR="00A10BE6" w:rsidRPr="00467AFB" w:rsidRDefault="00A10BE6" w:rsidP="00FF3D76">
      <w:pPr>
        <w:pStyle w:val="Kop1"/>
        <w:rPr>
          <w:lang w:val="nl-NL"/>
        </w:rPr>
      </w:pPr>
      <w:r w:rsidRPr="00467AFB">
        <w:rPr>
          <w:lang w:val="nl-NL"/>
        </w:rPr>
        <w:t xml:space="preserve">Wat is toegestaan: </w:t>
      </w:r>
    </w:p>
    <w:p w:rsidR="007A1C1D" w:rsidRPr="00467AFB" w:rsidRDefault="007A1C1D" w:rsidP="001856C4">
      <w:pPr>
        <w:rPr>
          <w:lang w:val="nl-NL"/>
        </w:rPr>
      </w:pPr>
      <w:r w:rsidRPr="00467AFB">
        <w:rPr>
          <w:lang w:val="nl-NL"/>
        </w:rPr>
        <w:t>Onder voorbehoud van een structurering en een automatisering van deze velden in de toekomst geven wij hier een aantal goede praktijken - aangezien de commentaarvelden vrije tekst is, is er geen controle a priori mogelijk.</w:t>
      </w:r>
    </w:p>
    <w:p w:rsidR="00E24AD5" w:rsidRPr="00467AFB" w:rsidRDefault="00E24AD5" w:rsidP="00523D16">
      <w:pPr>
        <w:pStyle w:val="Kop3"/>
        <w:rPr>
          <w:lang w:val="nl-NL"/>
        </w:rPr>
      </w:pPr>
      <w:r w:rsidRPr="00467AFB">
        <w:rPr>
          <w:lang w:val="nl-NL"/>
        </w:rPr>
        <w:t xml:space="preserve">Commentaar van tenlasteneming </w:t>
      </w:r>
    </w:p>
    <w:p w:rsidR="00E24AD5" w:rsidRPr="00467AFB" w:rsidRDefault="00E24AD5" w:rsidP="00E24AD5">
      <w:pPr>
        <w:pStyle w:val="Lijstalinea"/>
        <w:rPr>
          <w:lang w:val="nl-NL"/>
        </w:rPr>
      </w:pPr>
      <w:r w:rsidRPr="00467AFB">
        <w:rPr>
          <w:lang w:val="nl-NL"/>
        </w:rPr>
        <w:t>Het gaat om voorwaarden die door het OCMW zijn opgelegd voor de tenlasteneming wanneer het OCMW heeft aangegeven dat zij "gedeeltelijk" is,</w:t>
      </w:r>
    </w:p>
    <w:tbl>
      <w:tblPr>
        <w:tblStyle w:val="Tabelraster"/>
        <w:tblW w:w="9918" w:type="dxa"/>
        <w:tblLook w:val="04A0" w:firstRow="1" w:lastRow="0" w:firstColumn="1" w:lastColumn="0" w:noHBand="0" w:noVBand="1"/>
      </w:tblPr>
      <w:tblGrid>
        <w:gridCol w:w="3597"/>
        <w:gridCol w:w="2083"/>
        <w:gridCol w:w="4238"/>
      </w:tblGrid>
      <w:tr w:rsidR="00941604" w:rsidRPr="00467AFB" w:rsidTr="00941604">
        <w:tc>
          <w:tcPr>
            <w:tcW w:w="3597" w:type="dxa"/>
          </w:tcPr>
          <w:p w:rsidR="00941604" w:rsidRPr="00467AFB" w:rsidRDefault="00941604" w:rsidP="006E70AA">
            <w:pPr>
              <w:rPr>
                <w:b/>
                <w:lang w:val="nl-NL"/>
              </w:rPr>
            </w:pPr>
            <w:r w:rsidRPr="00467AFB">
              <w:rPr>
                <w:b/>
                <w:lang w:val="nl-NL"/>
              </w:rPr>
              <w:t>Categorie</w:t>
            </w:r>
          </w:p>
        </w:tc>
        <w:tc>
          <w:tcPr>
            <w:tcW w:w="2083" w:type="dxa"/>
          </w:tcPr>
          <w:p w:rsidR="00941604" w:rsidRPr="00467AFB" w:rsidRDefault="00941604" w:rsidP="006E70AA">
            <w:pPr>
              <w:rPr>
                <w:b/>
                <w:lang w:val="nl-NL"/>
              </w:rPr>
            </w:pPr>
            <w:r w:rsidRPr="00467AFB">
              <w:rPr>
                <w:b/>
                <w:lang w:val="nl-NL"/>
              </w:rPr>
              <w:t>Voorbeeld</w:t>
            </w:r>
          </w:p>
        </w:tc>
        <w:tc>
          <w:tcPr>
            <w:tcW w:w="4238" w:type="dxa"/>
          </w:tcPr>
          <w:p w:rsidR="00941604" w:rsidRPr="00467AFB" w:rsidRDefault="00941604" w:rsidP="006E70AA">
            <w:pPr>
              <w:rPr>
                <w:b/>
                <w:lang w:val="nl-NL"/>
              </w:rPr>
            </w:pPr>
            <w:r w:rsidRPr="00467AFB">
              <w:rPr>
                <w:b/>
                <w:lang w:val="nl-NL"/>
              </w:rPr>
              <w:t xml:space="preserve">Verklaring </w:t>
            </w:r>
          </w:p>
        </w:tc>
      </w:tr>
      <w:tr w:rsidR="00941604" w:rsidRPr="00467AFB" w:rsidTr="00941604">
        <w:tc>
          <w:tcPr>
            <w:tcW w:w="3597" w:type="dxa"/>
          </w:tcPr>
          <w:p w:rsidR="00941604" w:rsidRPr="00467AFB" w:rsidRDefault="00941604" w:rsidP="006E70AA">
            <w:pPr>
              <w:rPr>
                <w:lang w:val="nl-NL"/>
              </w:rPr>
            </w:pPr>
            <w:r w:rsidRPr="00467AFB">
              <w:rPr>
                <w:lang w:val="nl-NL"/>
              </w:rPr>
              <w:t xml:space="preserve">Maximumbedrag </w:t>
            </w:r>
          </w:p>
        </w:tc>
        <w:tc>
          <w:tcPr>
            <w:tcW w:w="2083" w:type="dxa"/>
          </w:tcPr>
          <w:p w:rsidR="00941604" w:rsidRPr="00467AFB" w:rsidRDefault="00941604" w:rsidP="006E70AA">
            <w:pPr>
              <w:rPr>
                <w:lang w:val="nl-NL"/>
              </w:rPr>
            </w:pPr>
            <w:r w:rsidRPr="00467AFB">
              <w:rPr>
                <w:lang w:val="nl-NL"/>
              </w:rPr>
              <w:t>Tenlasteneming aan X EUR/maand</w:t>
            </w:r>
          </w:p>
        </w:tc>
        <w:tc>
          <w:tcPr>
            <w:tcW w:w="4238" w:type="dxa"/>
          </w:tcPr>
          <w:p w:rsidR="00941604" w:rsidRPr="00467AFB" w:rsidRDefault="00941604" w:rsidP="006E70AA">
            <w:pPr>
              <w:rPr>
                <w:lang w:val="nl-NL"/>
              </w:rPr>
            </w:pPr>
            <w:r w:rsidRPr="00467AFB">
              <w:rPr>
                <w:lang w:val="nl-NL"/>
              </w:rPr>
              <w:t>Het plafond van de tenlasteneming van het OCMW wordt vermeld,</w:t>
            </w:r>
            <w:r w:rsidR="00467AFB">
              <w:rPr>
                <w:lang w:val="nl-NL"/>
              </w:rPr>
              <w:t xml:space="preserve"> met een beperking in de tijd.</w:t>
            </w:r>
          </w:p>
        </w:tc>
      </w:tr>
      <w:tr w:rsidR="00941604" w:rsidRPr="00467AFB" w:rsidTr="00941604">
        <w:tc>
          <w:tcPr>
            <w:tcW w:w="3597" w:type="dxa"/>
          </w:tcPr>
          <w:p w:rsidR="00941604" w:rsidRPr="00467AFB" w:rsidRDefault="00941604" w:rsidP="006E70AA">
            <w:pPr>
              <w:rPr>
                <w:lang w:val="nl-NL"/>
              </w:rPr>
            </w:pPr>
            <w:r w:rsidRPr="00467AFB">
              <w:rPr>
                <w:lang w:val="nl-NL"/>
              </w:rPr>
              <w:lastRenderedPageBreak/>
              <w:t>Toepassing van een franchise</w:t>
            </w:r>
          </w:p>
        </w:tc>
        <w:tc>
          <w:tcPr>
            <w:tcW w:w="2083" w:type="dxa"/>
          </w:tcPr>
          <w:p w:rsidR="00941604" w:rsidRPr="00467AFB" w:rsidRDefault="00941604" w:rsidP="006E70AA">
            <w:pPr>
              <w:rPr>
                <w:lang w:val="nl-NL"/>
              </w:rPr>
            </w:pPr>
            <w:r w:rsidRPr="00467AFB">
              <w:rPr>
                <w:lang w:val="nl-NL"/>
              </w:rPr>
              <w:t>Franchise van X EUR moet worden gefactureerd aan de patiënt ...</w:t>
            </w:r>
          </w:p>
        </w:tc>
        <w:tc>
          <w:tcPr>
            <w:tcW w:w="4238" w:type="dxa"/>
          </w:tcPr>
          <w:p w:rsidR="00941604" w:rsidRPr="00467AFB" w:rsidRDefault="00941604" w:rsidP="006E70AA">
            <w:pPr>
              <w:rPr>
                <w:lang w:val="nl-NL"/>
              </w:rPr>
            </w:pPr>
            <w:r w:rsidRPr="00467AFB">
              <w:rPr>
                <w:lang w:val="nl-NL"/>
              </w:rPr>
              <w:t>De patiënt moet een forfaitair bedrag betalen per prestatie als franchise (om de patiënt bewust te maken van de kostprijs van de medische kosten) Probleem: waarop heeft de franchise betrekking? Bijvoorbeeld op de verpakking.</w:t>
            </w:r>
          </w:p>
        </w:tc>
      </w:tr>
      <w:tr w:rsidR="00941604" w:rsidRPr="00467AFB" w:rsidTr="00941604">
        <w:tc>
          <w:tcPr>
            <w:tcW w:w="3597" w:type="dxa"/>
          </w:tcPr>
          <w:p w:rsidR="00941604" w:rsidRPr="00467AFB" w:rsidRDefault="00941604" w:rsidP="006E70AA">
            <w:pPr>
              <w:rPr>
                <w:lang w:val="nl-NL"/>
              </w:rPr>
            </w:pPr>
            <w:r w:rsidRPr="00467AFB">
              <w:rPr>
                <w:lang w:val="nl-NL"/>
              </w:rPr>
              <w:t xml:space="preserve">Beperking tot een bijzondere "overeenkomst" </w:t>
            </w:r>
          </w:p>
        </w:tc>
        <w:tc>
          <w:tcPr>
            <w:tcW w:w="2083" w:type="dxa"/>
          </w:tcPr>
          <w:p w:rsidR="00941604" w:rsidRPr="00467AFB" w:rsidRDefault="00941604" w:rsidP="006E70AA">
            <w:pPr>
              <w:rPr>
                <w:lang w:val="nl-NL"/>
              </w:rPr>
            </w:pPr>
            <w:r w:rsidRPr="00467AFB">
              <w:rPr>
                <w:lang w:val="nl-NL"/>
              </w:rPr>
              <w:t>Tenlasteneming overeenkomstig overeenkomst X van DD/MM/</w:t>
            </w:r>
            <w:proofErr w:type="spellStart"/>
            <w:r w:rsidRPr="00467AFB">
              <w:rPr>
                <w:lang w:val="nl-NL"/>
              </w:rPr>
              <w:t>YYYY</w:t>
            </w:r>
            <w:proofErr w:type="spellEnd"/>
          </w:p>
        </w:tc>
        <w:tc>
          <w:tcPr>
            <w:tcW w:w="4238" w:type="dxa"/>
          </w:tcPr>
          <w:p w:rsidR="00941604" w:rsidRPr="00467AFB" w:rsidRDefault="00941604" w:rsidP="00941604">
            <w:pPr>
              <w:rPr>
                <w:lang w:val="nl-NL"/>
              </w:rPr>
            </w:pPr>
            <w:r w:rsidRPr="00467AFB">
              <w:rPr>
                <w:lang w:val="nl-NL"/>
              </w:rPr>
              <w:t>De terugbetaling wordt beïnvloed door in een document vastgelegde criteria – een bijzondere overeenkomst – opgesteld door een of meer OCMW's en die gebruikt wordt door een of meer ziekenhuizen.</w:t>
            </w:r>
          </w:p>
        </w:tc>
      </w:tr>
    </w:tbl>
    <w:p w:rsidR="00E24AD5" w:rsidRPr="00467AFB" w:rsidRDefault="00E24AD5" w:rsidP="00E24AD5">
      <w:pPr>
        <w:pStyle w:val="Lijstalinea"/>
        <w:rPr>
          <w:lang w:val="nl-NL"/>
        </w:rPr>
      </w:pPr>
    </w:p>
    <w:p w:rsidR="00E24AD5" w:rsidRPr="00467AFB" w:rsidRDefault="00E24AD5" w:rsidP="00523D16">
      <w:pPr>
        <w:pStyle w:val="Kop3"/>
        <w:rPr>
          <w:lang w:val="nl-NL"/>
        </w:rPr>
      </w:pPr>
      <w:r w:rsidRPr="00467AFB">
        <w:rPr>
          <w:lang w:val="nl-NL"/>
        </w:rPr>
        <w:t xml:space="preserve">De supplementen </w:t>
      </w:r>
    </w:p>
    <w:p w:rsidR="00E24AD5" w:rsidRPr="00467AFB" w:rsidRDefault="00E24AD5" w:rsidP="00E24AD5">
      <w:pPr>
        <w:pStyle w:val="Lijstalinea"/>
        <w:rPr>
          <w:lang w:val="nl-NL"/>
        </w:rPr>
      </w:pPr>
      <w:r w:rsidRPr="00467AFB">
        <w:rPr>
          <w:lang w:val="nl-NL"/>
        </w:rPr>
        <w:t xml:space="preserve">Het gaat om supplementen - de prestaties buiten ZIV die het OCMW ten laste neemt / weigert ten laste te nemen, </w:t>
      </w:r>
    </w:p>
    <w:tbl>
      <w:tblPr>
        <w:tblStyle w:val="Tabelraster"/>
        <w:tblW w:w="9918" w:type="dxa"/>
        <w:tblLook w:val="04A0" w:firstRow="1" w:lastRow="0" w:firstColumn="1" w:lastColumn="0" w:noHBand="0" w:noVBand="1"/>
      </w:tblPr>
      <w:tblGrid>
        <w:gridCol w:w="3597"/>
        <w:gridCol w:w="2083"/>
        <w:gridCol w:w="4238"/>
      </w:tblGrid>
      <w:tr w:rsidR="00941604" w:rsidRPr="00467AFB" w:rsidTr="006E70AA">
        <w:tc>
          <w:tcPr>
            <w:tcW w:w="3597" w:type="dxa"/>
          </w:tcPr>
          <w:p w:rsidR="00941604" w:rsidRPr="00467AFB" w:rsidRDefault="00941604" w:rsidP="006E70AA">
            <w:pPr>
              <w:rPr>
                <w:b/>
                <w:lang w:val="nl-NL"/>
              </w:rPr>
            </w:pPr>
            <w:r w:rsidRPr="00467AFB">
              <w:rPr>
                <w:b/>
                <w:lang w:val="nl-NL"/>
              </w:rPr>
              <w:t>Categorie</w:t>
            </w:r>
          </w:p>
        </w:tc>
        <w:tc>
          <w:tcPr>
            <w:tcW w:w="2083" w:type="dxa"/>
          </w:tcPr>
          <w:p w:rsidR="00941604" w:rsidRPr="00467AFB" w:rsidRDefault="00941604" w:rsidP="006E70AA">
            <w:pPr>
              <w:rPr>
                <w:b/>
                <w:lang w:val="nl-NL"/>
              </w:rPr>
            </w:pPr>
            <w:r w:rsidRPr="00467AFB">
              <w:rPr>
                <w:b/>
                <w:lang w:val="nl-NL"/>
              </w:rPr>
              <w:t>Voorbeeld</w:t>
            </w:r>
          </w:p>
        </w:tc>
        <w:tc>
          <w:tcPr>
            <w:tcW w:w="4238" w:type="dxa"/>
          </w:tcPr>
          <w:p w:rsidR="00941604" w:rsidRPr="00467AFB" w:rsidRDefault="00941604" w:rsidP="006E70AA">
            <w:pPr>
              <w:rPr>
                <w:b/>
                <w:lang w:val="nl-NL"/>
              </w:rPr>
            </w:pPr>
            <w:r w:rsidRPr="00467AFB">
              <w:rPr>
                <w:b/>
                <w:lang w:val="nl-NL"/>
              </w:rPr>
              <w:t xml:space="preserve">Verklaring </w:t>
            </w:r>
          </w:p>
        </w:tc>
      </w:tr>
      <w:tr w:rsidR="00941604" w:rsidRPr="00467AFB" w:rsidTr="006E70AA">
        <w:tc>
          <w:tcPr>
            <w:tcW w:w="3597" w:type="dxa"/>
          </w:tcPr>
          <w:p w:rsidR="00941604" w:rsidRPr="00467AFB" w:rsidRDefault="00941604" w:rsidP="006E70AA">
            <w:pPr>
              <w:rPr>
                <w:lang w:val="nl-NL"/>
              </w:rPr>
            </w:pPr>
            <w:r w:rsidRPr="00467AFB">
              <w:rPr>
                <w:lang w:val="nl-NL"/>
              </w:rPr>
              <w:t xml:space="preserve">Maximumbedrag </w:t>
            </w:r>
          </w:p>
        </w:tc>
        <w:tc>
          <w:tcPr>
            <w:tcW w:w="2083" w:type="dxa"/>
          </w:tcPr>
          <w:p w:rsidR="00941604" w:rsidRPr="00467AFB" w:rsidRDefault="00941604" w:rsidP="006E70AA">
            <w:pPr>
              <w:rPr>
                <w:lang w:val="nl-NL"/>
              </w:rPr>
            </w:pPr>
            <w:r w:rsidRPr="00467AFB">
              <w:rPr>
                <w:lang w:val="nl-NL"/>
              </w:rPr>
              <w:t>Tenlasteneming aan X EUR/maand</w:t>
            </w:r>
          </w:p>
        </w:tc>
        <w:tc>
          <w:tcPr>
            <w:tcW w:w="4238" w:type="dxa"/>
          </w:tcPr>
          <w:p w:rsidR="00941604" w:rsidRPr="00467AFB" w:rsidRDefault="00941604" w:rsidP="006E70AA">
            <w:pPr>
              <w:rPr>
                <w:lang w:val="nl-NL"/>
              </w:rPr>
            </w:pPr>
            <w:r w:rsidRPr="00467AFB">
              <w:rPr>
                <w:lang w:val="nl-NL"/>
              </w:rPr>
              <w:t>Het plafond van de tenlasteneming van het OCMW wordt vermeld,</w:t>
            </w:r>
            <w:r w:rsidR="00467AFB">
              <w:rPr>
                <w:lang w:val="nl-NL"/>
              </w:rPr>
              <w:t xml:space="preserve"> met een beperking in de tijd.</w:t>
            </w:r>
          </w:p>
        </w:tc>
      </w:tr>
      <w:tr w:rsidR="00941604" w:rsidRPr="00467AFB" w:rsidTr="006E70AA">
        <w:tc>
          <w:tcPr>
            <w:tcW w:w="3597" w:type="dxa"/>
          </w:tcPr>
          <w:p w:rsidR="00941604" w:rsidRPr="00467AFB" w:rsidRDefault="00941604" w:rsidP="006E70AA">
            <w:pPr>
              <w:rPr>
                <w:lang w:val="nl-NL"/>
              </w:rPr>
            </w:pPr>
            <w:r w:rsidRPr="00467AFB">
              <w:rPr>
                <w:lang w:val="nl-NL"/>
              </w:rPr>
              <w:t>Toepassing van een franchise</w:t>
            </w:r>
          </w:p>
        </w:tc>
        <w:tc>
          <w:tcPr>
            <w:tcW w:w="2083" w:type="dxa"/>
          </w:tcPr>
          <w:p w:rsidR="00941604" w:rsidRPr="00467AFB" w:rsidRDefault="00941604" w:rsidP="006E70AA">
            <w:pPr>
              <w:rPr>
                <w:lang w:val="nl-NL"/>
              </w:rPr>
            </w:pPr>
            <w:r w:rsidRPr="00467AFB">
              <w:rPr>
                <w:lang w:val="nl-NL"/>
              </w:rPr>
              <w:t>Franchise van X EUR moet worden gefactureerd aan de patiënt ...</w:t>
            </w:r>
          </w:p>
        </w:tc>
        <w:tc>
          <w:tcPr>
            <w:tcW w:w="4238" w:type="dxa"/>
          </w:tcPr>
          <w:p w:rsidR="00941604" w:rsidRPr="00467AFB" w:rsidRDefault="00941604" w:rsidP="006E70AA">
            <w:pPr>
              <w:rPr>
                <w:lang w:val="nl-NL"/>
              </w:rPr>
            </w:pPr>
            <w:r w:rsidRPr="00467AFB">
              <w:rPr>
                <w:lang w:val="nl-NL"/>
              </w:rPr>
              <w:t>De patiënt moet een forfaitair bedrag betalen per prestatie als franchise (om de patiënt bewust te maken van de kostprijs van de medische kosten) Probleem: waarop heeft de franchise betrekking? Bijvoorbeeld op de verpakking.</w:t>
            </w:r>
          </w:p>
        </w:tc>
      </w:tr>
      <w:tr w:rsidR="00941604" w:rsidRPr="00467AFB" w:rsidTr="006E70AA">
        <w:tc>
          <w:tcPr>
            <w:tcW w:w="3597" w:type="dxa"/>
          </w:tcPr>
          <w:p w:rsidR="00941604" w:rsidRPr="00467AFB" w:rsidRDefault="00941604" w:rsidP="006E70AA">
            <w:pPr>
              <w:rPr>
                <w:lang w:val="nl-NL"/>
              </w:rPr>
            </w:pPr>
            <w:r w:rsidRPr="00467AFB">
              <w:rPr>
                <w:lang w:val="nl-NL"/>
              </w:rPr>
              <w:t xml:space="preserve">Beperking tot een bijzondere "overeenkomst" </w:t>
            </w:r>
          </w:p>
        </w:tc>
        <w:tc>
          <w:tcPr>
            <w:tcW w:w="2083" w:type="dxa"/>
          </w:tcPr>
          <w:p w:rsidR="00941604" w:rsidRPr="00467AFB" w:rsidRDefault="00941604" w:rsidP="006E70AA">
            <w:pPr>
              <w:rPr>
                <w:lang w:val="nl-NL"/>
              </w:rPr>
            </w:pPr>
            <w:r w:rsidRPr="00467AFB">
              <w:rPr>
                <w:lang w:val="nl-NL"/>
              </w:rPr>
              <w:t>Tenlasteneming overeenkomstig overeenkomst X van DD/MM/</w:t>
            </w:r>
            <w:proofErr w:type="spellStart"/>
            <w:r w:rsidRPr="00467AFB">
              <w:rPr>
                <w:lang w:val="nl-NL"/>
              </w:rPr>
              <w:t>YYYY</w:t>
            </w:r>
            <w:proofErr w:type="spellEnd"/>
          </w:p>
        </w:tc>
        <w:tc>
          <w:tcPr>
            <w:tcW w:w="4238" w:type="dxa"/>
          </w:tcPr>
          <w:p w:rsidR="00941604" w:rsidRPr="00467AFB" w:rsidRDefault="00941604" w:rsidP="006E70AA">
            <w:pPr>
              <w:rPr>
                <w:lang w:val="nl-NL"/>
              </w:rPr>
            </w:pPr>
            <w:r w:rsidRPr="00467AFB">
              <w:rPr>
                <w:lang w:val="nl-NL"/>
              </w:rPr>
              <w:t>De terugbetaling wordt beïnvloed door in een document vastgelegde criteria – een bijzondere overeenkomst – opgesteld door een of meer OCMW's en die gebruikt wordt door een of meer ziekenhuizen.</w:t>
            </w:r>
          </w:p>
        </w:tc>
      </w:tr>
    </w:tbl>
    <w:p w:rsidR="00941604" w:rsidRPr="00467AFB" w:rsidRDefault="00941604" w:rsidP="00941604">
      <w:pPr>
        <w:pStyle w:val="Bodytekst"/>
        <w:rPr>
          <w:lang w:val="nl-NL"/>
        </w:rPr>
      </w:pPr>
    </w:p>
    <w:p w:rsidR="003A0A28" w:rsidRPr="00467AFB" w:rsidRDefault="003A0A28" w:rsidP="00523D16">
      <w:pPr>
        <w:pStyle w:val="Kop3"/>
        <w:rPr>
          <w:lang w:val="nl-NL"/>
        </w:rPr>
      </w:pPr>
      <w:r w:rsidRPr="00467AFB">
        <w:rPr>
          <w:lang w:val="nl-NL"/>
        </w:rPr>
        <w:lastRenderedPageBreak/>
        <w:t xml:space="preserve">Veld "geneesmiddelen": </w:t>
      </w:r>
    </w:p>
    <w:p w:rsidR="003A0A28" w:rsidRPr="00467AFB" w:rsidRDefault="003A0A28" w:rsidP="003A0A28">
      <w:pPr>
        <w:pStyle w:val="Lijstalinea"/>
        <w:rPr>
          <w:lang w:val="nl-NL"/>
        </w:rPr>
      </w:pPr>
      <w:r w:rsidRPr="00467AFB">
        <w:rPr>
          <w:lang w:val="nl-NL"/>
        </w:rPr>
        <w:t xml:space="preserve">Voor de rubrieken "hospitalisatie" en "ambulante zorgen" zal het via een bijzondere commentaarrubriek mogelijk zijn om de geneesmiddelen te verduidelijken die het OCMW ten laste/niet ten laste neemt buiten diegenen die worden terugbetaald in het kader van de ZIV. </w:t>
      </w:r>
    </w:p>
    <w:p w:rsidR="003A0A28" w:rsidRPr="00467AFB" w:rsidRDefault="003A0A28" w:rsidP="00B67F46">
      <w:pPr>
        <w:rPr>
          <w:lang w:val="nl-NL"/>
        </w:rPr>
      </w:pPr>
    </w:p>
    <w:tbl>
      <w:tblPr>
        <w:tblStyle w:val="Tabelraster"/>
        <w:tblW w:w="9918" w:type="dxa"/>
        <w:tblLook w:val="04A0" w:firstRow="1" w:lastRow="0" w:firstColumn="1" w:lastColumn="0" w:noHBand="0" w:noVBand="1"/>
      </w:tblPr>
      <w:tblGrid>
        <w:gridCol w:w="3597"/>
        <w:gridCol w:w="2083"/>
        <w:gridCol w:w="4238"/>
      </w:tblGrid>
      <w:tr w:rsidR="003A0A28" w:rsidRPr="00467AFB" w:rsidTr="0057749F">
        <w:tc>
          <w:tcPr>
            <w:tcW w:w="3597" w:type="dxa"/>
          </w:tcPr>
          <w:p w:rsidR="003A0A28" w:rsidRPr="00467AFB" w:rsidRDefault="003A0A28" w:rsidP="0057749F">
            <w:pPr>
              <w:rPr>
                <w:b/>
                <w:lang w:val="nl-NL"/>
              </w:rPr>
            </w:pPr>
            <w:r w:rsidRPr="00467AFB">
              <w:rPr>
                <w:b/>
                <w:lang w:val="nl-NL"/>
              </w:rPr>
              <w:t>Categorie</w:t>
            </w:r>
          </w:p>
        </w:tc>
        <w:tc>
          <w:tcPr>
            <w:tcW w:w="2083" w:type="dxa"/>
          </w:tcPr>
          <w:p w:rsidR="003A0A28" w:rsidRPr="00467AFB" w:rsidRDefault="003A0A28" w:rsidP="0057749F">
            <w:pPr>
              <w:rPr>
                <w:b/>
                <w:lang w:val="nl-NL"/>
              </w:rPr>
            </w:pPr>
            <w:r w:rsidRPr="00467AFB">
              <w:rPr>
                <w:b/>
                <w:lang w:val="nl-NL"/>
              </w:rPr>
              <w:t>Voorbeeld</w:t>
            </w:r>
          </w:p>
        </w:tc>
        <w:tc>
          <w:tcPr>
            <w:tcW w:w="4238" w:type="dxa"/>
          </w:tcPr>
          <w:p w:rsidR="003A0A28" w:rsidRPr="00467AFB" w:rsidRDefault="003A0A28" w:rsidP="0057749F">
            <w:pPr>
              <w:rPr>
                <w:b/>
                <w:lang w:val="nl-NL"/>
              </w:rPr>
            </w:pPr>
            <w:r w:rsidRPr="00467AFB">
              <w:rPr>
                <w:b/>
                <w:lang w:val="nl-NL"/>
              </w:rPr>
              <w:t xml:space="preserve">Verklaring </w:t>
            </w:r>
          </w:p>
        </w:tc>
      </w:tr>
      <w:tr w:rsidR="003A0A28" w:rsidRPr="00467AFB" w:rsidTr="0057749F">
        <w:tc>
          <w:tcPr>
            <w:tcW w:w="3597" w:type="dxa"/>
          </w:tcPr>
          <w:p w:rsidR="003A0A28" w:rsidRPr="00467AFB" w:rsidRDefault="003A0A28" w:rsidP="0057749F">
            <w:pPr>
              <w:rPr>
                <w:lang w:val="nl-NL"/>
              </w:rPr>
            </w:pPr>
            <w:r w:rsidRPr="00467AFB">
              <w:rPr>
                <w:lang w:val="nl-NL"/>
              </w:rPr>
              <w:t xml:space="preserve">Maximumbedrag </w:t>
            </w:r>
          </w:p>
        </w:tc>
        <w:tc>
          <w:tcPr>
            <w:tcW w:w="2083" w:type="dxa"/>
          </w:tcPr>
          <w:p w:rsidR="003A0A28" w:rsidRPr="00467AFB" w:rsidRDefault="003A0A28" w:rsidP="0057749F">
            <w:pPr>
              <w:rPr>
                <w:lang w:val="nl-NL"/>
              </w:rPr>
            </w:pPr>
            <w:r w:rsidRPr="00467AFB">
              <w:rPr>
                <w:lang w:val="nl-NL"/>
              </w:rPr>
              <w:t>Tenlasteneming aan X EUR/maand</w:t>
            </w:r>
          </w:p>
        </w:tc>
        <w:tc>
          <w:tcPr>
            <w:tcW w:w="4238" w:type="dxa"/>
          </w:tcPr>
          <w:p w:rsidR="003A0A28" w:rsidRPr="00467AFB" w:rsidRDefault="003A0A28" w:rsidP="0057749F">
            <w:pPr>
              <w:rPr>
                <w:lang w:val="nl-NL"/>
              </w:rPr>
            </w:pPr>
            <w:r w:rsidRPr="00467AFB">
              <w:rPr>
                <w:lang w:val="nl-NL"/>
              </w:rPr>
              <w:t>Het plafond van de tenlasteneming van het OCMW wordt vermeld,</w:t>
            </w:r>
            <w:r w:rsidR="00467AFB" w:rsidRPr="00467AFB">
              <w:rPr>
                <w:lang w:val="nl-NL"/>
              </w:rPr>
              <w:t xml:space="preserve"> met een beperking in de tijd.</w:t>
            </w:r>
          </w:p>
        </w:tc>
      </w:tr>
      <w:tr w:rsidR="003A0A28" w:rsidRPr="00467AFB" w:rsidTr="0057749F">
        <w:tc>
          <w:tcPr>
            <w:tcW w:w="3597" w:type="dxa"/>
          </w:tcPr>
          <w:p w:rsidR="003A0A28" w:rsidRPr="00467AFB" w:rsidRDefault="003A0A28" w:rsidP="0057749F">
            <w:pPr>
              <w:rPr>
                <w:lang w:val="nl-NL"/>
              </w:rPr>
            </w:pPr>
            <w:r w:rsidRPr="00467AFB">
              <w:rPr>
                <w:lang w:val="nl-NL"/>
              </w:rPr>
              <w:t>Toepassing van een franchise</w:t>
            </w:r>
          </w:p>
        </w:tc>
        <w:tc>
          <w:tcPr>
            <w:tcW w:w="2083" w:type="dxa"/>
          </w:tcPr>
          <w:p w:rsidR="003A0A28" w:rsidRPr="00467AFB" w:rsidRDefault="003A0A28" w:rsidP="0057749F">
            <w:pPr>
              <w:rPr>
                <w:lang w:val="nl-NL"/>
              </w:rPr>
            </w:pPr>
            <w:r w:rsidRPr="00467AFB">
              <w:rPr>
                <w:lang w:val="nl-NL"/>
              </w:rPr>
              <w:t>Franchise van X EUR moet worden gefactureerd aan de patiënt ...</w:t>
            </w:r>
          </w:p>
        </w:tc>
        <w:tc>
          <w:tcPr>
            <w:tcW w:w="4238" w:type="dxa"/>
          </w:tcPr>
          <w:p w:rsidR="003A0A28" w:rsidRPr="00467AFB" w:rsidRDefault="003A0A28" w:rsidP="0057749F">
            <w:pPr>
              <w:rPr>
                <w:lang w:val="nl-NL"/>
              </w:rPr>
            </w:pPr>
            <w:r w:rsidRPr="00467AFB">
              <w:rPr>
                <w:lang w:val="nl-NL"/>
              </w:rPr>
              <w:t>De patiënt moet een forfaitair bedrag betalen per prestatie als franchise (om de patiënt bewust te maken van de kostprijs van de medische kosten) Probleem: waarop heeft de franchise betrekking? Bijvoorbeeld op de verpakking.</w:t>
            </w:r>
          </w:p>
        </w:tc>
      </w:tr>
      <w:tr w:rsidR="003A0A28" w:rsidRPr="00467AFB" w:rsidTr="0057749F">
        <w:tc>
          <w:tcPr>
            <w:tcW w:w="3597" w:type="dxa"/>
          </w:tcPr>
          <w:p w:rsidR="003A0A28" w:rsidRPr="00467AFB" w:rsidRDefault="003A0A28" w:rsidP="0057749F">
            <w:pPr>
              <w:rPr>
                <w:lang w:val="nl-NL"/>
              </w:rPr>
            </w:pPr>
            <w:r w:rsidRPr="00467AFB">
              <w:rPr>
                <w:lang w:val="nl-NL"/>
              </w:rPr>
              <w:t xml:space="preserve">Soort geneesmiddel </w:t>
            </w:r>
          </w:p>
        </w:tc>
        <w:tc>
          <w:tcPr>
            <w:tcW w:w="2083" w:type="dxa"/>
          </w:tcPr>
          <w:p w:rsidR="003A0A28" w:rsidRPr="00467AFB" w:rsidRDefault="003A0A28" w:rsidP="0057749F">
            <w:pPr>
              <w:rPr>
                <w:lang w:val="nl-NL"/>
              </w:rPr>
            </w:pPr>
            <w:r w:rsidRPr="00467AFB">
              <w:rPr>
                <w:lang w:val="nl-NL"/>
              </w:rPr>
              <w:t xml:space="preserve">"Eveneens de geneesmiddelen D" </w:t>
            </w:r>
          </w:p>
        </w:tc>
        <w:tc>
          <w:tcPr>
            <w:tcW w:w="4238" w:type="dxa"/>
          </w:tcPr>
          <w:p w:rsidR="003A0A28" w:rsidRPr="00467AFB" w:rsidRDefault="003A0A28" w:rsidP="0057749F">
            <w:pPr>
              <w:rPr>
                <w:lang w:val="nl-NL"/>
              </w:rPr>
            </w:pPr>
          </w:p>
        </w:tc>
      </w:tr>
      <w:tr w:rsidR="003A0A28" w:rsidRPr="00467AFB" w:rsidTr="0057749F">
        <w:tc>
          <w:tcPr>
            <w:tcW w:w="3597" w:type="dxa"/>
          </w:tcPr>
          <w:p w:rsidR="003A0A28" w:rsidRPr="00467AFB" w:rsidRDefault="003A0A28" w:rsidP="0057749F">
            <w:pPr>
              <w:rPr>
                <w:lang w:val="nl-NL"/>
              </w:rPr>
            </w:pPr>
            <w:r w:rsidRPr="00467AFB">
              <w:rPr>
                <w:lang w:val="nl-NL"/>
              </w:rPr>
              <w:t xml:space="preserve">Beperking tot een bijzondere "overeenkomst" </w:t>
            </w:r>
          </w:p>
        </w:tc>
        <w:tc>
          <w:tcPr>
            <w:tcW w:w="2083" w:type="dxa"/>
          </w:tcPr>
          <w:p w:rsidR="003A0A28" w:rsidRPr="00467AFB" w:rsidRDefault="003A0A28" w:rsidP="0057749F">
            <w:pPr>
              <w:rPr>
                <w:lang w:val="nl-NL"/>
              </w:rPr>
            </w:pPr>
            <w:r w:rsidRPr="00467AFB">
              <w:rPr>
                <w:lang w:val="nl-NL"/>
              </w:rPr>
              <w:t>Tenlasteneming overeenkomstig overeenkomst X van DD/MM/</w:t>
            </w:r>
            <w:proofErr w:type="spellStart"/>
            <w:r w:rsidRPr="00467AFB">
              <w:rPr>
                <w:lang w:val="nl-NL"/>
              </w:rPr>
              <w:t>YYYY</w:t>
            </w:r>
            <w:proofErr w:type="spellEnd"/>
          </w:p>
        </w:tc>
        <w:tc>
          <w:tcPr>
            <w:tcW w:w="4238" w:type="dxa"/>
          </w:tcPr>
          <w:p w:rsidR="003A0A28" w:rsidRPr="00467AFB" w:rsidRDefault="003A0A28" w:rsidP="0057749F">
            <w:pPr>
              <w:rPr>
                <w:lang w:val="nl-NL"/>
              </w:rPr>
            </w:pPr>
            <w:r w:rsidRPr="00467AFB">
              <w:rPr>
                <w:lang w:val="nl-NL"/>
              </w:rPr>
              <w:t>De terugbetaling wordt beïnvloed door in een document vastgelegde criteria – een bijzondere overeenkomst – opgesteld door een of meer OCMW's en die gebruikt wordt door een of meer ziekenhuizen: cf. een lijst van toegelaten geneesmiddelen</w:t>
            </w:r>
          </w:p>
        </w:tc>
      </w:tr>
    </w:tbl>
    <w:p w:rsidR="003A0A28" w:rsidRPr="00467AFB" w:rsidRDefault="003A0A28" w:rsidP="003A0A28">
      <w:pPr>
        <w:pStyle w:val="Bodytekst"/>
        <w:rPr>
          <w:lang w:val="nl-NL"/>
        </w:rPr>
      </w:pPr>
    </w:p>
    <w:p w:rsidR="00E24AD5" w:rsidRPr="00467AFB" w:rsidRDefault="00E24AD5" w:rsidP="00523D16">
      <w:pPr>
        <w:pStyle w:val="Kop3"/>
        <w:rPr>
          <w:lang w:val="nl-NL"/>
        </w:rPr>
      </w:pPr>
      <w:r w:rsidRPr="00467AFB">
        <w:rPr>
          <w:lang w:val="nl-NL"/>
        </w:rPr>
        <w:t xml:space="preserve">De dienst </w:t>
      </w:r>
    </w:p>
    <w:p w:rsidR="00E24AD5" w:rsidRPr="00467AFB" w:rsidRDefault="00E24AD5" w:rsidP="00E24AD5">
      <w:pPr>
        <w:ind w:left="720"/>
        <w:rPr>
          <w:lang w:val="nl-NL"/>
        </w:rPr>
      </w:pPr>
      <w:r w:rsidRPr="00467AFB">
        <w:rPr>
          <w:lang w:val="nl-NL"/>
        </w:rPr>
        <w:t xml:space="preserve">Voor de rubrieken "hospitalisatie" en "ambulante zorgen" kan het OCMW, nadat het de verstrekker heeft gekozen, in een veld "commentaar" de dienst invullen en verduidelijken waarin de medische prestaties moeten worden uitgevoerd. </w:t>
      </w:r>
    </w:p>
    <w:p w:rsidR="00FF3D76" w:rsidRPr="00467AFB" w:rsidRDefault="00FF3D76" w:rsidP="00FF3D76">
      <w:pPr>
        <w:ind w:left="720"/>
        <w:rPr>
          <w:lang w:val="nl-NL"/>
        </w:rPr>
      </w:pPr>
      <w:r w:rsidRPr="00467AFB">
        <w:rPr>
          <w:lang w:val="nl-NL"/>
        </w:rPr>
        <w:t xml:space="preserve">Het veld mag enkel </w:t>
      </w:r>
      <w:r w:rsidR="00741B74">
        <w:rPr>
          <w:lang w:val="nl-NL"/>
        </w:rPr>
        <w:t xml:space="preserve">namen van </w:t>
      </w:r>
      <w:r w:rsidRPr="00467AFB">
        <w:rPr>
          <w:lang w:val="nl-NL"/>
        </w:rPr>
        <w:t>diensten of desnoods de naam van het ziekenhuis bevatten (eventueel een beperking op de site ervan vermelden). Dit veld mag nooit beperkingen bevatten op de uit te voeren prestaties.</w:t>
      </w:r>
    </w:p>
    <w:p w:rsidR="00FF3D76" w:rsidRPr="00467AFB" w:rsidRDefault="00FF3D76" w:rsidP="00E24AD5">
      <w:pPr>
        <w:ind w:left="720"/>
        <w:rPr>
          <w:lang w:val="nl-NL"/>
        </w:rPr>
      </w:pPr>
    </w:p>
    <w:tbl>
      <w:tblPr>
        <w:tblStyle w:val="Tabelraster"/>
        <w:tblW w:w="9918" w:type="dxa"/>
        <w:tblLook w:val="04A0" w:firstRow="1" w:lastRow="0" w:firstColumn="1" w:lastColumn="0" w:noHBand="0" w:noVBand="1"/>
      </w:tblPr>
      <w:tblGrid>
        <w:gridCol w:w="3597"/>
        <w:gridCol w:w="2083"/>
        <w:gridCol w:w="4238"/>
      </w:tblGrid>
      <w:tr w:rsidR="00941604" w:rsidRPr="00467AFB" w:rsidTr="006E70AA">
        <w:tc>
          <w:tcPr>
            <w:tcW w:w="3597" w:type="dxa"/>
          </w:tcPr>
          <w:p w:rsidR="00941604" w:rsidRPr="00467AFB" w:rsidRDefault="00941604" w:rsidP="006E70AA">
            <w:pPr>
              <w:rPr>
                <w:b/>
                <w:lang w:val="nl-NL"/>
              </w:rPr>
            </w:pPr>
            <w:r w:rsidRPr="00467AFB">
              <w:rPr>
                <w:b/>
                <w:lang w:val="nl-NL"/>
              </w:rPr>
              <w:t>Categorie</w:t>
            </w:r>
          </w:p>
        </w:tc>
        <w:tc>
          <w:tcPr>
            <w:tcW w:w="2083" w:type="dxa"/>
          </w:tcPr>
          <w:p w:rsidR="00941604" w:rsidRPr="00467AFB" w:rsidRDefault="00941604" w:rsidP="006E70AA">
            <w:pPr>
              <w:rPr>
                <w:b/>
                <w:lang w:val="nl-NL"/>
              </w:rPr>
            </w:pPr>
            <w:r w:rsidRPr="00467AFB">
              <w:rPr>
                <w:b/>
                <w:lang w:val="nl-NL"/>
              </w:rPr>
              <w:t>Voorbeeld</w:t>
            </w:r>
          </w:p>
        </w:tc>
        <w:tc>
          <w:tcPr>
            <w:tcW w:w="4238" w:type="dxa"/>
          </w:tcPr>
          <w:p w:rsidR="00941604" w:rsidRPr="00467AFB" w:rsidRDefault="00941604" w:rsidP="006E70AA">
            <w:pPr>
              <w:rPr>
                <w:b/>
                <w:lang w:val="nl-NL"/>
              </w:rPr>
            </w:pPr>
            <w:r w:rsidRPr="00467AFB">
              <w:rPr>
                <w:b/>
                <w:lang w:val="nl-NL"/>
              </w:rPr>
              <w:t xml:space="preserve">Verklaring </w:t>
            </w:r>
          </w:p>
        </w:tc>
      </w:tr>
      <w:tr w:rsidR="00941604" w:rsidRPr="00467AFB" w:rsidTr="006E70AA">
        <w:tc>
          <w:tcPr>
            <w:tcW w:w="3597" w:type="dxa"/>
          </w:tcPr>
          <w:p w:rsidR="00941604" w:rsidRPr="00467AFB" w:rsidRDefault="00941604" w:rsidP="006E70AA">
            <w:pPr>
              <w:rPr>
                <w:lang w:val="nl-NL"/>
              </w:rPr>
            </w:pPr>
            <w:r w:rsidRPr="00467AFB">
              <w:rPr>
                <w:lang w:val="nl-NL"/>
              </w:rPr>
              <w:t xml:space="preserve">Naam van de dienst </w:t>
            </w:r>
          </w:p>
        </w:tc>
        <w:tc>
          <w:tcPr>
            <w:tcW w:w="2083" w:type="dxa"/>
          </w:tcPr>
          <w:p w:rsidR="00941604" w:rsidRPr="00467AFB" w:rsidRDefault="00941604" w:rsidP="006E70AA">
            <w:pPr>
              <w:rPr>
                <w:lang w:val="nl-NL"/>
              </w:rPr>
            </w:pPr>
            <w:r w:rsidRPr="00467AFB">
              <w:rPr>
                <w:lang w:val="nl-NL"/>
              </w:rPr>
              <w:t>Geriatrie</w:t>
            </w:r>
          </w:p>
        </w:tc>
        <w:tc>
          <w:tcPr>
            <w:tcW w:w="4238" w:type="dxa"/>
          </w:tcPr>
          <w:p w:rsidR="00941604" w:rsidRPr="00467AFB" w:rsidRDefault="00FF3D76" w:rsidP="006E70AA">
            <w:pPr>
              <w:rPr>
                <w:lang w:val="nl-NL"/>
              </w:rPr>
            </w:pPr>
            <w:r w:rsidRPr="00467AFB">
              <w:rPr>
                <w:lang w:val="nl-NL"/>
              </w:rPr>
              <w:t>De beschrijving van de dienst die gemachtigd is om de patiënt ten laste te nemen.</w:t>
            </w:r>
          </w:p>
        </w:tc>
      </w:tr>
    </w:tbl>
    <w:p w:rsidR="00941604" w:rsidRPr="00467AFB" w:rsidRDefault="00941604" w:rsidP="00941604">
      <w:pPr>
        <w:rPr>
          <w:lang w:val="nl-NL"/>
        </w:rPr>
      </w:pPr>
    </w:p>
    <w:p w:rsidR="003A0A28" w:rsidRPr="00467AFB" w:rsidRDefault="003A0A28">
      <w:pPr>
        <w:pStyle w:val="Bodytekst"/>
        <w:rPr>
          <w:lang w:val="nl-NL"/>
        </w:rPr>
      </w:pPr>
    </w:p>
    <w:sectPr w:rsidR="003A0A28" w:rsidRPr="00467AF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917" w:rsidRDefault="00E52917" w:rsidP="001856C4">
      <w:r>
        <w:separator/>
      </w:r>
    </w:p>
  </w:endnote>
  <w:endnote w:type="continuationSeparator" w:id="0">
    <w:p w:rsidR="00E52917" w:rsidRDefault="00E52917" w:rsidP="001856C4">
      <w:r>
        <w:continuationSeparator/>
      </w:r>
    </w:p>
  </w:endnote>
  <w:endnote w:type="continuationNotice" w:id="1">
    <w:p w:rsidR="00467AFB" w:rsidRDefault="00467AF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482091"/>
      <w:docPartObj>
        <w:docPartGallery w:val="Page Numbers (Bottom of Page)"/>
        <w:docPartUnique/>
      </w:docPartObj>
    </w:sdtPr>
    <w:sdtEndPr/>
    <w:sdtContent>
      <w:p w:rsidR="00006C09" w:rsidRDefault="00006C09">
        <w:pPr>
          <w:pStyle w:val="Voettekst"/>
        </w:pPr>
        <w:r>
          <w:rPr>
            <w:noProof/>
            <w:lang w:bidi="ar-SA"/>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006C09" w:rsidRDefault="00006C09">
                                <w:pPr>
                                  <w:pStyle w:val="Voettekst"/>
                                  <w:jc w:val="center"/>
                                  <w:rPr>
                                    <w:sz w:val="16"/>
                                    <w:szCs w:val="16"/>
                                  </w:rPr>
                                </w:pPr>
                                <w:r>
                                  <w:rPr>
                                    <w:sz w:val="22"/>
                                  </w:rPr>
                                  <w:fldChar w:fldCharType="begin"/>
                                </w:r>
                                <w:r>
                                  <w:instrText>PAGE    \* MERGEFORMAT</w:instrText>
                                </w:r>
                                <w:r>
                                  <w:rPr>
                                    <w:sz w:val="22"/>
                                  </w:rPr>
                                  <w:fldChar w:fldCharType="separate"/>
                                </w:r>
                                <w:r w:rsidR="00F00995" w:rsidRPr="00F00995">
                                  <w:rPr>
                                    <w:noProof/>
                                    <w:sz w:val="16"/>
                                    <w:szCs w:val="16"/>
                                  </w:rPr>
                                  <w:t>8</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006C09" w:rsidRDefault="00006C09">
                          <w:pPr>
                            <w:pStyle w:val="Voettekst"/>
                            <w:jc w:val="center"/>
                            <w:rPr>
                              <w:sz w:val="16"/>
                              <w:szCs w:val="16"/>
                            </w:rPr>
                          </w:pPr>
                          <w:r>
                            <w:rPr>
                              <w:sz w:val="22"/>
                            </w:rPr>
                            <w:fldChar w:fldCharType="begin"/>
                          </w:r>
                          <w:r>
                            <w:instrText>PAGE    \* MERGEFORMAT</w:instrText>
                          </w:r>
                          <w:r>
                            <w:rPr>
                              <w:sz w:val="22"/>
                            </w:rPr>
                            <w:fldChar w:fldCharType="separate"/>
                          </w:r>
                          <w:r w:rsidR="00F00995" w:rsidRPr="00F00995">
                            <w:rPr>
                              <w:noProof/>
                              <w:sz w:val="16"/>
                              <w:szCs w:val="16"/>
                            </w:rPr>
                            <w:t>8</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917" w:rsidRDefault="00E52917" w:rsidP="001856C4">
      <w:r>
        <w:separator/>
      </w:r>
    </w:p>
  </w:footnote>
  <w:footnote w:type="continuationSeparator" w:id="0">
    <w:p w:rsidR="00E52917" w:rsidRDefault="00E52917" w:rsidP="001856C4">
      <w:r>
        <w:continuationSeparator/>
      </w:r>
    </w:p>
  </w:footnote>
  <w:footnote w:type="continuationNotice" w:id="1">
    <w:p w:rsidR="00467AFB" w:rsidRDefault="00467AFB">
      <w:pPr>
        <w:spacing w:before="0" w:after="0" w:line="240" w:lineRule="auto"/>
      </w:pPr>
    </w:p>
  </w:footnote>
  <w:footnote w:id="2">
    <w:p w:rsidR="00A4536A" w:rsidRPr="0063485E" w:rsidRDefault="00A4536A" w:rsidP="00A4536A">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AFB" w:rsidRDefault="00467AF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0603"/>
    <w:multiLevelType w:val="hybridMultilevel"/>
    <w:tmpl w:val="B2C6ED8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E064D3"/>
    <w:multiLevelType w:val="hybridMultilevel"/>
    <w:tmpl w:val="844CC8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B96597"/>
    <w:multiLevelType w:val="hybridMultilevel"/>
    <w:tmpl w:val="6D14262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D449FD"/>
    <w:multiLevelType w:val="hybridMultilevel"/>
    <w:tmpl w:val="6D14262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D057F79"/>
    <w:multiLevelType w:val="hybridMultilevel"/>
    <w:tmpl w:val="12E095B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5" w15:restartNumberingAfterBreak="0">
    <w:nsid w:val="274945A6"/>
    <w:multiLevelType w:val="hybridMultilevel"/>
    <w:tmpl w:val="CB3A1EE2"/>
    <w:lvl w:ilvl="0" w:tplc="0A0609F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2B5751DE"/>
    <w:multiLevelType w:val="hybridMultilevel"/>
    <w:tmpl w:val="E2240FBE"/>
    <w:lvl w:ilvl="0" w:tplc="3BB025B2">
      <w:start w:val="1"/>
      <w:numFmt w:val="bullet"/>
      <w:lvlText w:val="–"/>
      <w:lvlJc w:val="left"/>
      <w:pPr>
        <w:tabs>
          <w:tab w:val="num" w:pos="720"/>
        </w:tabs>
        <w:ind w:left="720" w:hanging="360"/>
      </w:pPr>
      <w:rPr>
        <w:rFonts w:ascii="Arial" w:hAnsi="Arial" w:hint="default"/>
      </w:rPr>
    </w:lvl>
    <w:lvl w:ilvl="1" w:tplc="741A80C0">
      <w:start w:val="1"/>
      <w:numFmt w:val="bullet"/>
      <w:lvlText w:val="–"/>
      <w:lvlJc w:val="left"/>
      <w:pPr>
        <w:tabs>
          <w:tab w:val="num" w:pos="1440"/>
        </w:tabs>
        <w:ind w:left="1440" w:hanging="360"/>
      </w:pPr>
      <w:rPr>
        <w:rFonts w:ascii="Arial" w:hAnsi="Arial" w:hint="default"/>
      </w:rPr>
    </w:lvl>
    <w:lvl w:ilvl="2" w:tplc="C8ACF92E" w:tentative="1">
      <w:start w:val="1"/>
      <w:numFmt w:val="bullet"/>
      <w:lvlText w:val="–"/>
      <w:lvlJc w:val="left"/>
      <w:pPr>
        <w:tabs>
          <w:tab w:val="num" w:pos="2160"/>
        </w:tabs>
        <w:ind w:left="2160" w:hanging="360"/>
      </w:pPr>
      <w:rPr>
        <w:rFonts w:ascii="Arial" w:hAnsi="Arial" w:hint="default"/>
      </w:rPr>
    </w:lvl>
    <w:lvl w:ilvl="3" w:tplc="02BAD576" w:tentative="1">
      <w:start w:val="1"/>
      <w:numFmt w:val="bullet"/>
      <w:lvlText w:val="–"/>
      <w:lvlJc w:val="left"/>
      <w:pPr>
        <w:tabs>
          <w:tab w:val="num" w:pos="2880"/>
        </w:tabs>
        <w:ind w:left="2880" w:hanging="360"/>
      </w:pPr>
      <w:rPr>
        <w:rFonts w:ascii="Arial" w:hAnsi="Arial" w:hint="default"/>
      </w:rPr>
    </w:lvl>
    <w:lvl w:ilvl="4" w:tplc="97E019FA" w:tentative="1">
      <w:start w:val="1"/>
      <w:numFmt w:val="bullet"/>
      <w:lvlText w:val="–"/>
      <w:lvlJc w:val="left"/>
      <w:pPr>
        <w:tabs>
          <w:tab w:val="num" w:pos="3600"/>
        </w:tabs>
        <w:ind w:left="3600" w:hanging="360"/>
      </w:pPr>
      <w:rPr>
        <w:rFonts w:ascii="Arial" w:hAnsi="Arial" w:hint="default"/>
      </w:rPr>
    </w:lvl>
    <w:lvl w:ilvl="5" w:tplc="0F5EDF90" w:tentative="1">
      <w:start w:val="1"/>
      <w:numFmt w:val="bullet"/>
      <w:lvlText w:val="–"/>
      <w:lvlJc w:val="left"/>
      <w:pPr>
        <w:tabs>
          <w:tab w:val="num" w:pos="4320"/>
        </w:tabs>
        <w:ind w:left="4320" w:hanging="360"/>
      </w:pPr>
      <w:rPr>
        <w:rFonts w:ascii="Arial" w:hAnsi="Arial" w:hint="default"/>
      </w:rPr>
    </w:lvl>
    <w:lvl w:ilvl="6" w:tplc="47B8F55C" w:tentative="1">
      <w:start w:val="1"/>
      <w:numFmt w:val="bullet"/>
      <w:lvlText w:val="–"/>
      <w:lvlJc w:val="left"/>
      <w:pPr>
        <w:tabs>
          <w:tab w:val="num" w:pos="5040"/>
        </w:tabs>
        <w:ind w:left="5040" w:hanging="360"/>
      </w:pPr>
      <w:rPr>
        <w:rFonts w:ascii="Arial" w:hAnsi="Arial" w:hint="default"/>
      </w:rPr>
    </w:lvl>
    <w:lvl w:ilvl="7" w:tplc="5DBC6B1A" w:tentative="1">
      <w:start w:val="1"/>
      <w:numFmt w:val="bullet"/>
      <w:lvlText w:val="–"/>
      <w:lvlJc w:val="left"/>
      <w:pPr>
        <w:tabs>
          <w:tab w:val="num" w:pos="5760"/>
        </w:tabs>
        <w:ind w:left="5760" w:hanging="360"/>
      </w:pPr>
      <w:rPr>
        <w:rFonts w:ascii="Arial" w:hAnsi="Arial" w:hint="default"/>
      </w:rPr>
    </w:lvl>
    <w:lvl w:ilvl="8" w:tplc="309A10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D92452"/>
    <w:multiLevelType w:val="hybridMultilevel"/>
    <w:tmpl w:val="ABBA685E"/>
    <w:lvl w:ilvl="0" w:tplc="062C2F7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D5BC5"/>
    <w:multiLevelType w:val="hybridMultilevel"/>
    <w:tmpl w:val="C320232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46FB3FC4"/>
    <w:multiLevelType w:val="hybridMultilevel"/>
    <w:tmpl w:val="1CD6B0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42A14CE"/>
    <w:multiLevelType w:val="hybridMultilevel"/>
    <w:tmpl w:val="B808874E"/>
    <w:lvl w:ilvl="0" w:tplc="80D4AD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42609E"/>
    <w:multiLevelType w:val="hybridMultilevel"/>
    <w:tmpl w:val="B9C43B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4A073FC"/>
    <w:multiLevelType w:val="hybridMultilevel"/>
    <w:tmpl w:val="C3BEFC6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0"/>
  </w:num>
  <w:num w:numId="2">
    <w:abstractNumId w:val="7"/>
  </w:num>
  <w:num w:numId="3">
    <w:abstractNumId w:val="1"/>
  </w:num>
  <w:num w:numId="4">
    <w:abstractNumId w:val="0"/>
  </w:num>
  <w:num w:numId="5">
    <w:abstractNumId w:val="4"/>
  </w:num>
  <w:num w:numId="6">
    <w:abstractNumId w:val="3"/>
  </w:num>
  <w:num w:numId="7">
    <w:abstractNumId w:val="5"/>
  </w:num>
  <w:num w:numId="8">
    <w:abstractNumId w:val="9"/>
  </w:num>
  <w:num w:numId="9">
    <w:abstractNumId w:val="8"/>
  </w:num>
  <w:num w:numId="10">
    <w:abstractNumId w:val="12"/>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65C"/>
    <w:rsid w:val="00006C09"/>
    <w:rsid w:val="00044254"/>
    <w:rsid w:val="00046002"/>
    <w:rsid w:val="00060039"/>
    <w:rsid w:val="000729CB"/>
    <w:rsid w:val="000C6846"/>
    <w:rsid w:val="001248E2"/>
    <w:rsid w:val="00182A5B"/>
    <w:rsid w:val="001856C4"/>
    <w:rsid w:val="00186C78"/>
    <w:rsid w:val="001975A8"/>
    <w:rsid w:val="001E21FE"/>
    <w:rsid w:val="001F52AB"/>
    <w:rsid w:val="002912F0"/>
    <w:rsid w:val="002C68E3"/>
    <w:rsid w:val="002C6B31"/>
    <w:rsid w:val="002C6FD8"/>
    <w:rsid w:val="002C7980"/>
    <w:rsid w:val="003023DC"/>
    <w:rsid w:val="00336456"/>
    <w:rsid w:val="00375A47"/>
    <w:rsid w:val="003766E1"/>
    <w:rsid w:val="003868CA"/>
    <w:rsid w:val="003906E7"/>
    <w:rsid w:val="0039482A"/>
    <w:rsid w:val="00395108"/>
    <w:rsid w:val="003A0A28"/>
    <w:rsid w:val="003C7C0C"/>
    <w:rsid w:val="003D065C"/>
    <w:rsid w:val="00425E94"/>
    <w:rsid w:val="00427951"/>
    <w:rsid w:val="0044008C"/>
    <w:rsid w:val="00464084"/>
    <w:rsid w:val="00467AFB"/>
    <w:rsid w:val="00494A4E"/>
    <w:rsid w:val="004B714F"/>
    <w:rsid w:val="004D43D7"/>
    <w:rsid w:val="00506410"/>
    <w:rsid w:val="00523D16"/>
    <w:rsid w:val="005857E2"/>
    <w:rsid w:val="00591F92"/>
    <w:rsid w:val="005A179A"/>
    <w:rsid w:val="005B6E73"/>
    <w:rsid w:val="005F360B"/>
    <w:rsid w:val="005F7B71"/>
    <w:rsid w:val="00626916"/>
    <w:rsid w:val="00630297"/>
    <w:rsid w:val="0063485E"/>
    <w:rsid w:val="00677DA7"/>
    <w:rsid w:val="006C4EC5"/>
    <w:rsid w:val="006C6BEC"/>
    <w:rsid w:val="006D1021"/>
    <w:rsid w:val="006E7B5C"/>
    <w:rsid w:val="00711808"/>
    <w:rsid w:val="007352D2"/>
    <w:rsid w:val="00741B74"/>
    <w:rsid w:val="00744447"/>
    <w:rsid w:val="0075318D"/>
    <w:rsid w:val="007A1C1D"/>
    <w:rsid w:val="007D3F98"/>
    <w:rsid w:val="007D52D3"/>
    <w:rsid w:val="007E22D6"/>
    <w:rsid w:val="007E6D98"/>
    <w:rsid w:val="007F2698"/>
    <w:rsid w:val="00806CCA"/>
    <w:rsid w:val="00813790"/>
    <w:rsid w:val="00840273"/>
    <w:rsid w:val="00842F0D"/>
    <w:rsid w:val="0086012D"/>
    <w:rsid w:val="008820EF"/>
    <w:rsid w:val="008821F1"/>
    <w:rsid w:val="00890078"/>
    <w:rsid w:val="008C5D65"/>
    <w:rsid w:val="00917248"/>
    <w:rsid w:val="00922691"/>
    <w:rsid w:val="00926B52"/>
    <w:rsid w:val="00941604"/>
    <w:rsid w:val="00953FB4"/>
    <w:rsid w:val="00955AF8"/>
    <w:rsid w:val="009761BC"/>
    <w:rsid w:val="009D4751"/>
    <w:rsid w:val="009D517A"/>
    <w:rsid w:val="009F059A"/>
    <w:rsid w:val="00A10BE6"/>
    <w:rsid w:val="00A33498"/>
    <w:rsid w:val="00A4528D"/>
    <w:rsid w:val="00A4536A"/>
    <w:rsid w:val="00A939BE"/>
    <w:rsid w:val="00A95637"/>
    <w:rsid w:val="00AB1E1A"/>
    <w:rsid w:val="00AB4228"/>
    <w:rsid w:val="00B0386A"/>
    <w:rsid w:val="00B3371E"/>
    <w:rsid w:val="00B41D52"/>
    <w:rsid w:val="00B546D9"/>
    <w:rsid w:val="00B67F46"/>
    <w:rsid w:val="00B70467"/>
    <w:rsid w:val="00B72F97"/>
    <w:rsid w:val="00BA1DBF"/>
    <w:rsid w:val="00BC19C3"/>
    <w:rsid w:val="00BC3FA8"/>
    <w:rsid w:val="00BD1504"/>
    <w:rsid w:val="00C02B0F"/>
    <w:rsid w:val="00C338EF"/>
    <w:rsid w:val="00C40A87"/>
    <w:rsid w:val="00C46363"/>
    <w:rsid w:val="00CE6315"/>
    <w:rsid w:val="00CF2A65"/>
    <w:rsid w:val="00D31CC2"/>
    <w:rsid w:val="00DF2C25"/>
    <w:rsid w:val="00DF655C"/>
    <w:rsid w:val="00E05ED0"/>
    <w:rsid w:val="00E24AD5"/>
    <w:rsid w:val="00E50174"/>
    <w:rsid w:val="00E524EB"/>
    <w:rsid w:val="00E52917"/>
    <w:rsid w:val="00E61DF7"/>
    <w:rsid w:val="00E91B74"/>
    <w:rsid w:val="00E93B55"/>
    <w:rsid w:val="00EB7869"/>
    <w:rsid w:val="00EC6C91"/>
    <w:rsid w:val="00ED4E79"/>
    <w:rsid w:val="00F00995"/>
    <w:rsid w:val="00F42A70"/>
    <w:rsid w:val="00F70163"/>
    <w:rsid w:val="00F97290"/>
    <w:rsid w:val="00FE40D9"/>
    <w:rsid w:val="00FE40E9"/>
    <w:rsid w:val="00FF3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001DFCF-1244-416D-A006-F071DEFA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56C4"/>
    <w:pPr>
      <w:spacing w:before="120" w:after="120"/>
    </w:pPr>
    <w:rPr>
      <w:sz w:val="24"/>
    </w:rPr>
  </w:style>
  <w:style w:type="paragraph" w:styleId="Kop1">
    <w:name w:val="heading 1"/>
    <w:basedOn w:val="Standaard"/>
    <w:next w:val="Standaard"/>
    <w:link w:val="Kop1Char"/>
    <w:uiPriority w:val="9"/>
    <w:qFormat/>
    <w:rsid w:val="00E24AD5"/>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523D16"/>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Kop3">
    <w:name w:val="heading 3"/>
    <w:basedOn w:val="Standaard"/>
    <w:next w:val="Standaard"/>
    <w:link w:val="Kop3Char"/>
    <w:uiPriority w:val="9"/>
    <w:unhideWhenUsed/>
    <w:qFormat/>
    <w:rsid w:val="00523D16"/>
    <w:pPr>
      <w:keepNext/>
      <w:keepLines/>
      <w:spacing w:before="200" w:after="0"/>
      <w:outlineLvl w:val="2"/>
    </w:pPr>
    <w:rPr>
      <w:rFonts w:asciiTheme="majorHAnsi" w:eastAsiaTheme="majorEastAsia" w:hAnsiTheme="majorHAnsi" w:cstheme="majorBidi"/>
      <w:b/>
      <w:bCs/>
      <w:color w:val="4F81BD" w:themeColor="accent1"/>
      <w:sz w:val="28"/>
    </w:rPr>
  </w:style>
  <w:style w:type="paragraph" w:styleId="Kop4">
    <w:name w:val="heading 4"/>
    <w:basedOn w:val="Standaard"/>
    <w:next w:val="Standaard"/>
    <w:link w:val="Kop4Char"/>
    <w:uiPriority w:val="9"/>
    <w:unhideWhenUsed/>
    <w:qFormat/>
    <w:rsid w:val="007D3F9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D06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065C"/>
    <w:rPr>
      <w:rFonts w:ascii="Tahoma" w:hAnsi="Tahoma" w:cs="Tahoma"/>
      <w:sz w:val="16"/>
      <w:szCs w:val="16"/>
    </w:rPr>
  </w:style>
  <w:style w:type="character" w:customStyle="1" w:styleId="Kop1Char">
    <w:name w:val="Kop 1 Char"/>
    <w:basedOn w:val="Standaardalinea-lettertype"/>
    <w:link w:val="Kop1"/>
    <w:uiPriority w:val="9"/>
    <w:rsid w:val="00E24AD5"/>
    <w:rPr>
      <w:rFonts w:asciiTheme="majorHAnsi" w:eastAsiaTheme="majorEastAsia" w:hAnsiTheme="majorHAnsi" w:cstheme="majorBidi"/>
      <w:b/>
      <w:bCs/>
      <w:color w:val="365F91" w:themeColor="accent1" w:themeShade="BF"/>
      <w:sz w:val="32"/>
      <w:szCs w:val="28"/>
      <w:lang w:val="nl-BE"/>
    </w:rPr>
  </w:style>
  <w:style w:type="character" w:customStyle="1" w:styleId="Kop2Char">
    <w:name w:val="Kop 2 Char"/>
    <w:basedOn w:val="Standaardalinea-lettertype"/>
    <w:link w:val="Kop2"/>
    <w:uiPriority w:val="9"/>
    <w:rsid w:val="00523D16"/>
    <w:rPr>
      <w:rFonts w:asciiTheme="majorHAnsi" w:eastAsiaTheme="majorEastAsia" w:hAnsiTheme="majorHAnsi" w:cstheme="majorBidi"/>
      <w:b/>
      <w:bCs/>
      <w:color w:val="4F81BD" w:themeColor="accent1"/>
      <w:sz w:val="28"/>
      <w:szCs w:val="26"/>
      <w:lang w:val="nl-BE"/>
    </w:rPr>
  </w:style>
  <w:style w:type="character" w:customStyle="1" w:styleId="Kop3Char">
    <w:name w:val="Kop 3 Char"/>
    <w:basedOn w:val="Standaardalinea-lettertype"/>
    <w:link w:val="Kop3"/>
    <w:uiPriority w:val="9"/>
    <w:rsid w:val="00523D16"/>
    <w:rPr>
      <w:rFonts w:asciiTheme="majorHAnsi" w:eastAsiaTheme="majorEastAsia" w:hAnsiTheme="majorHAnsi" w:cstheme="majorBidi"/>
      <w:b/>
      <w:bCs/>
      <w:color w:val="4F81BD" w:themeColor="accent1"/>
      <w:sz w:val="28"/>
      <w:lang w:val="nl-BE"/>
    </w:rPr>
  </w:style>
  <w:style w:type="character" w:customStyle="1" w:styleId="Kop4Char">
    <w:name w:val="Kop 4 Char"/>
    <w:basedOn w:val="Standaardalinea-lettertype"/>
    <w:link w:val="Kop4"/>
    <w:uiPriority w:val="9"/>
    <w:rsid w:val="007D3F98"/>
    <w:rPr>
      <w:rFonts w:asciiTheme="majorHAnsi" w:eastAsiaTheme="majorEastAsia" w:hAnsiTheme="majorHAnsi" w:cstheme="majorBidi"/>
      <w:b/>
      <w:bCs/>
      <w:i/>
      <w:iCs/>
      <w:color w:val="4F81BD" w:themeColor="accent1"/>
    </w:rPr>
  </w:style>
  <w:style w:type="paragraph" w:styleId="Normaalweb">
    <w:name w:val="Normal (Web)"/>
    <w:basedOn w:val="Standaard"/>
    <w:uiPriority w:val="99"/>
    <w:unhideWhenUsed/>
    <w:rsid w:val="00806CCA"/>
    <w:pPr>
      <w:spacing w:before="100" w:beforeAutospacing="1" w:after="100" w:afterAutospacing="1" w:line="240" w:lineRule="auto"/>
    </w:pPr>
    <w:rPr>
      <w:rFonts w:ascii="Times New Roman" w:eastAsia="Times New Roman" w:hAnsi="Times New Roman" w:cs="Times New Roman"/>
      <w:szCs w:val="24"/>
    </w:rPr>
  </w:style>
  <w:style w:type="table" w:styleId="Tabelraster">
    <w:name w:val="Table Grid"/>
    <w:basedOn w:val="Standaardtabel"/>
    <w:uiPriority w:val="59"/>
    <w:rsid w:val="00806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E40D9"/>
    <w:rPr>
      <w:color w:val="0000FF" w:themeColor="hyperlink"/>
      <w:u w:val="single"/>
    </w:rPr>
  </w:style>
  <w:style w:type="paragraph" w:styleId="Voetnoottekst">
    <w:name w:val="footnote text"/>
    <w:basedOn w:val="Standaard"/>
    <w:link w:val="VoetnoottekstChar"/>
    <w:uiPriority w:val="99"/>
    <w:unhideWhenUsed/>
    <w:rsid w:val="0063485E"/>
    <w:pPr>
      <w:spacing w:after="0" w:line="240" w:lineRule="auto"/>
    </w:pPr>
    <w:rPr>
      <w:sz w:val="20"/>
      <w:szCs w:val="20"/>
    </w:rPr>
  </w:style>
  <w:style w:type="character" w:customStyle="1" w:styleId="VoetnoottekstChar">
    <w:name w:val="Voetnoottekst Char"/>
    <w:basedOn w:val="Standaardalinea-lettertype"/>
    <w:link w:val="Voetnoottekst"/>
    <w:uiPriority w:val="99"/>
    <w:rsid w:val="0063485E"/>
    <w:rPr>
      <w:sz w:val="20"/>
      <w:szCs w:val="20"/>
    </w:rPr>
  </w:style>
  <w:style w:type="character" w:styleId="Voetnootmarkering">
    <w:name w:val="footnote reference"/>
    <w:basedOn w:val="Standaardalinea-lettertype"/>
    <w:uiPriority w:val="99"/>
    <w:semiHidden/>
    <w:unhideWhenUsed/>
    <w:rsid w:val="0063485E"/>
    <w:rPr>
      <w:vertAlign w:val="superscript"/>
    </w:rPr>
  </w:style>
  <w:style w:type="paragraph" w:styleId="Titel">
    <w:name w:val="Title"/>
    <w:basedOn w:val="Standaard"/>
    <w:next w:val="Standaard"/>
    <w:link w:val="TitelChar"/>
    <w:uiPriority w:val="10"/>
    <w:qFormat/>
    <w:rsid w:val="006348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3485E"/>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813790"/>
    <w:pPr>
      <w:ind w:left="720"/>
      <w:contextualSpacing/>
    </w:pPr>
  </w:style>
  <w:style w:type="paragraph" w:styleId="Eindnoottekst">
    <w:name w:val="endnote text"/>
    <w:basedOn w:val="Standaard"/>
    <w:link w:val="EindnoottekstChar"/>
    <w:uiPriority w:val="99"/>
    <w:semiHidden/>
    <w:unhideWhenUsed/>
    <w:rsid w:val="0063029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30297"/>
    <w:rPr>
      <w:sz w:val="20"/>
      <w:szCs w:val="20"/>
    </w:rPr>
  </w:style>
  <w:style w:type="character" w:styleId="Eindnootmarkering">
    <w:name w:val="endnote reference"/>
    <w:basedOn w:val="Standaardalinea-lettertype"/>
    <w:uiPriority w:val="99"/>
    <w:semiHidden/>
    <w:unhideWhenUsed/>
    <w:rsid w:val="00630297"/>
    <w:rPr>
      <w:vertAlign w:val="superscript"/>
    </w:rPr>
  </w:style>
  <w:style w:type="paragraph" w:styleId="Koptekst">
    <w:name w:val="header"/>
    <w:basedOn w:val="Standaard"/>
    <w:link w:val="KoptekstChar"/>
    <w:uiPriority w:val="99"/>
    <w:unhideWhenUsed/>
    <w:rsid w:val="00B41D5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41D52"/>
  </w:style>
  <w:style w:type="paragraph" w:styleId="Voettekst">
    <w:name w:val="footer"/>
    <w:basedOn w:val="Standaard"/>
    <w:link w:val="VoettekstChar"/>
    <w:uiPriority w:val="99"/>
    <w:unhideWhenUsed/>
    <w:rsid w:val="00B41D5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41D52"/>
  </w:style>
  <w:style w:type="character" w:styleId="GevolgdeHyperlink">
    <w:name w:val="FollowedHyperlink"/>
    <w:basedOn w:val="Standaardalinea-lettertype"/>
    <w:uiPriority w:val="99"/>
    <w:semiHidden/>
    <w:unhideWhenUsed/>
    <w:rsid w:val="007F2698"/>
    <w:rPr>
      <w:color w:val="800080" w:themeColor="followedHyperlink"/>
      <w:u w:val="single"/>
    </w:rPr>
  </w:style>
  <w:style w:type="paragraph" w:styleId="Geenafstand">
    <w:name w:val="No Spacing"/>
    <w:uiPriority w:val="1"/>
    <w:qFormat/>
    <w:rsid w:val="002C6FD8"/>
    <w:pPr>
      <w:spacing w:after="0" w:line="240" w:lineRule="auto"/>
    </w:pPr>
  </w:style>
  <w:style w:type="paragraph" w:customStyle="1" w:styleId="Bodytekst">
    <w:name w:val="Bodytekst"/>
    <w:basedOn w:val="Standaard"/>
    <w:qFormat/>
    <w:rsid w:val="002C6FD8"/>
    <w:pPr>
      <w:spacing w:after="0" w:line="240" w:lineRule="atLeast"/>
      <w:ind w:left="426"/>
    </w:pPr>
    <w:rPr>
      <w:rFonts w:ascii="Gill Sans MT" w:hAnsi="Gill Sans MT"/>
      <w:szCs w:val="24"/>
    </w:rPr>
  </w:style>
  <w:style w:type="character" w:styleId="Zwaar">
    <w:name w:val="Strong"/>
    <w:basedOn w:val="Standaardalinea-lettertype"/>
    <w:uiPriority w:val="22"/>
    <w:qFormat/>
    <w:rsid w:val="00A95637"/>
    <w:rPr>
      <w:b/>
      <w:bCs/>
    </w:rPr>
  </w:style>
  <w:style w:type="paragraph" w:styleId="Revisie">
    <w:name w:val="Revision"/>
    <w:hidden/>
    <w:uiPriority w:val="99"/>
    <w:semiHidden/>
    <w:rsid w:val="00467AFB"/>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7644">
      <w:bodyDiv w:val="1"/>
      <w:marLeft w:val="0"/>
      <w:marRight w:val="0"/>
      <w:marTop w:val="0"/>
      <w:marBottom w:val="0"/>
      <w:divBdr>
        <w:top w:val="none" w:sz="0" w:space="0" w:color="auto"/>
        <w:left w:val="none" w:sz="0" w:space="0" w:color="auto"/>
        <w:bottom w:val="none" w:sz="0" w:space="0" w:color="auto"/>
        <w:right w:val="none" w:sz="0" w:space="0" w:color="auto"/>
      </w:divBdr>
    </w:div>
    <w:div w:id="214127824">
      <w:bodyDiv w:val="1"/>
      <w:marLeft w:val="0"/>
      <w:marRight w:val="0"/>
      <w:marTop w:val="0"/>
      <w:marBottom w:val="0"/>
      <w:divBdr>
        <w:top w:val="none" w:sz="0" w:space="0" w:color="auto"/>
        <w:left w:val="none" w:sz="0" w:space="0" w:color="auto"/>
        <w:bottom w:val="none" w:sz="0" w:space="0" w:color="auto"/>
        <w:right w:val="none" w:sz="0" w:space="0" w:color="auto"/>
      </w:divBdr>
      <w:divsChild>
        <w:div w:id="1837381742">
          <w:marLeft w:val="1166"/>
          <w:marRight w:val="0"/>
          <w:marTop w:val="96"/>
          <w:marBottom w:val="0"/>
          <w:divBdr>
            <w:top w:val="none" w:sz="0" w:space="0" w:color="auto"/>
            <w:left w:val="none" w:sz="0" w:space="0" w:color="auto"/>
            <w:bottom w:val="none" w:sz="0" w:space="0" w:color="auto"/>
            <w:right w:val="none" w:sz="0" w:space="0" w:color="auto"/>
          </w:divBdr>
        </w:div>
        <w:div w:id="1064066871">
          <w:marLeft w:val="1166"/>
          <w:marRight w:val="0"/>
          <w:marTop w:val="96"/>
          <w:marBottom w:val="0"/>
          <w:divBdr>
            <w:top w:val="none" w:sz="0" w:space="0" w:color="auto"/>
            <w:left w:val="none" w:sz="0" w:space="0" w:color="auto"/>
            <w:bottom w:val="none" w:sz="0" w:space="0" w:color="auto"/>
            <w:right w:val="none" w:sz="0" w:space="0" w:color="auto"/>
          </w:divBdr>
        </w:div>
        <w:div w:id="209853076">
          <w:marLeft w:val="1166"/>
          <w:marRight w:val="0"/>
          <w:marTop w:val="96"/>
          <w:marBottom w:val="0"/>
          <w:divBdr>
            <w:top w:val="none" w:sz="0" w:space="0" w:color="auto"/>
            <w:left w:val="none" w:sz="0" w:space="0" w:color="auto"/>
            <w:bottom w:val="none" w:sz="0" w:space="0" w:color="auto"/>
            <w:right w:val="none" w:sz="0" w:space="0" w:color="auto"/>
          </w:divBdr>
        </w:div>
        <w:div w:id="485704986">
          <w:marLeft w:val="1166"/>
          <w:marRight w:val="0"/>
          <w:marTop w:val="96"/>
          <w:marBottom w:val="0"/>
          <w:divBdr>
            <w:top w:val="none" w:sz="0" w:space="0" w:color="auto"/>
            <w:left w:val="none" w:sz="0" w:space="0" w:color="auto"/>
            <w:bottom w:val="none" w:sz="0" w:space="0" w:color="auto"/>
            <w:right w:val="none" w:sz="0" w:space="0" w:color="auto"/>
          </w:divBdr>
        </w:div>
      </w:divsChild>
    </w:div>
    <w:div w:id="343746297">
      <w:bodyDiv w:val="1"/>
      <w:marLeft w:val="0"/>
      <w:marRight w:val="0"/>
      <w:marTop w:val="0"/>
      <w:marBottom w:val="0"/>
      <w:divBdr>
        <w:top w:val="none" w:sz="0" w:space="0" w:color="auto"/>
        <w:left w:val="none" w:sz="0" w:space="0" w:color="auto"/>
        <w:bottom w:val="none" w:sz="0" w:space="0" w:color="auto"/>
        <w:right w:val="none" w:sz="0" w:space="0" w:color="auto"/>
      </w:divBdr>
    </w:div>
    <w:div w:id="481699976">
      <w:bodyDiv w:val="1"/>
      <w:marLeft w:val="0"/>
      <w:marRight w:val="0"/>
      <w:marTop w:val="0"/>
      <w:marBottom w:val="0"/>
      <w:divBdr>
        <w:top w:val="none" w:sz="0" w:space="0" w:color="auto"/>
        <w:left w:val="none" w:sz="0" w:space="0" w:color="auto"/>
        <w:bottom w:val="none" w:sz="0" w:space="0" w:color="auto"/>
        <w:right w:val="none" w:sz="0" w:space="0" w:color="auto"/>
      </w:divBdr>
      <w:divsChild>
        <w:div w:id="961309029">
          <w:marLeft w:val="1166"/>
          <w:marRight w:val="0"/>
          <w:marTop w:val="96"/>
          <w:marBottom w:val="0"/>
          <w:divBdr>
            <w:top w:val="none" w:sz="0" w:space="0" w:color="auto"/>
            <w:left w:val="none" w:sz="0" w:space="0" w:color="auto"/>
            <w:bottom w:val="none" w:sz="0" w:space="0" w:color="auto"/>
            <w:right w:val="none" w:sz="0" w:space="0" w:color="auto"/>
          </w:divBdr>
        </w:div>
        <w:div w:id="2071921963">
          <w:marLeft w:val="1166"/>
          <w:marRight w:val="0"/>
          <w:marTop w:val="96"/>
          <w:marBottom w:val="0"/>
          <w:divBdr>
            <w:top w:val="none" w:sz="0" w:space="0" w:color="auto"/>
            <w:left w:val="none" w:sz="0" w:space="0" w:color="auto"/>
            <w:bottom w:val="none" w:sz="0" w:space="0" w:color="auto"/>
            <w:right w:val="none" w:sz="0" w:space="0" w:color="auto"/>
          </w:divBdr>
        </w:div>
        <w:div w:id="829373032">
          <w:marLeft w:val="1166"/>
          <w:marRight w:val="0"/>
          <w:marTop w:val="96"/>
          <w:marBottom w:val="0"/>
          <w:divBdr>
            <w:top w:val="none" w:sz="0" w:space="0" w:color="auto"/>
            <w:left w:val="none" w:sz="0" w:space="0" w:color="auto"/>
            <w:bottom w:val="none" w:sz="0" w:space="0" w:color="auto"/>
            <w:right w:val="none" w:sz="0" w:space="0" w:color="auto"/>
          </w:divBdr>
        </w:div>
        <w:div w:id="447746407">
          <w:marLeft w:val="1166"/>
          <w:marRight w:val="0"/>
          <w:marTop w:val="96"/>
          <w:marBottom w:val="0"/>
          <w:divBdr>
            <w:top w:val="none" w:sz="0" w:space="0" w:color="auto"/>
            <w:left w:val="none" w:sz="0" w:space="0" w:color="auto"/>
            <w:bottom w:val="none" w:sz="0" w:space="0" w:color="auto"/>
            <w:right w:val="none" w:sz="0" w:space="0" w:color="auto"/>
          </w:divBdr>
        </w:div>
      </w:divsChild>
    </w:div>
    <w:div w:id="631399845">
      <w:bodyDiv w:val="1"/>
      <w:marLeft w:val="0"/>
      <w:marRight w:val="0"/>
      <w:marTop w:val="0"/>
      <w:marBottom w:val="0"/>
      <w:divBdr>
        <w:top w:val="none" w:sz="0" w:space="0" w:color="auto"/>
        <w:left w:val="none" w:sz="0" w:space="0" w:color="auto"/>
        <w:bottom w:val="none" w:sz="0" w:space="0" w:color="auto"/>
        <w:right w:val="none" w:sz="0" w:space="0" w:color="auto"/>
      </w:divBdr>
    </w:div>
    <w:div w:id="963653652">
      <w:bodyDiv w:val="1"/>
      <w:marLeft w:val="0"/>
      <w:marRight w:val="0"/>
      <w:marTop w:val="0"/>
      <w:marBottom w:val="0"/>
      <w:divBdr>
        <w:top w:val="none" w:sz="0" w:space="0" w:color="auto"/>
        <w:left w:val="none" w:sz="0" w:space="0" w:color="auto"/>
        <w:bottom w:val="none" w:sz="0" w:space="0" w:color="auto"/>
        <w:right w:val="none" w:sz="0" w:space="0" w:color="auto"/>
      </w:divBdr>
    </w:div>
    <w:div w:id="1022702478">
      <w:bodyDiv w:val="1"/>
      <w:marLeft w:val="0"/>
      <w:marRight w:val="0"/>
      <w:marTop w:val="0"/>
      <w:marBottom w:val="0"/>
      <w:divBdr>
        <w:top w:val="none" w:sz="0" w:space="0" w:color="auto"/>
        <w:left w:val="none" w:sz="0" w:space="0" w:color="auto"/>
        <w:bottom w:val="none" w:sz="0" w:space="0" w:color="auto"/>
        <w:right w:val="none" w:sz="0" w:space="0" w:color="auto"/>
      </w:divBdr>
    </w:div>
    <w:div w:id="1057053541">
      <w:bodyDiv w:val="1"/>
      <w:marLeft w:val="0"/>
      <w:marRight w:val="0"/>
      <w:marTop w:val="0"/>
      <w:marBottom w:val="0"/>
      <w:divBdr>
        <w:top w:val="none" w:sz="0" w:space="0" w:color="auto"/>
        <w:left w:val="none" w:sz="0" w:space="0" w:color="auto"/>
        <w:bottom w:val="none" w:sz="0" w:space="0" w:color="auto"/>
        <w:right w:val="none" w:sz="0" w:space="0" w:color="auto"/>
      </w:divBdr>
    </w:div>
    <w:div w:id="1165124216">
      <w:bodyDiv w:val="1"/>
      <w:marLeft w:val="0"/>
      <w:marRight w:val="0"/>
      <w:marTop w:val="0"/>
      <w:marBottom w:val="0"/>
      <w:divBdr>
        <w:top w:val="none" w:sz="0" w:space="0" w:color="auto"/>
        <w:left w:val="none" w:sz="0" w:space="0" w:color="auto"/>
        <w:bottom w:val="none" w:sz="0" w:space="0" w:color="auto"/>
        <w:right w:val="none" w:sz="0" w:space="0" w:color="auto"/>
      </w:divBdr>
    </w:div>
    <w:div w:id="1249387877">
      <w:bodyDiv w:val="1"/>
      <w:marLeft w:val="0"/>
      <w:marRight w:val="0"/>
      <w:marTop w:val="0"/>
      <w:marBottom w:val="0"/>
      <w:divBdr>
        <w:top w:val="none" w:sz="0" w:space="0" w:color="auto"/>
        <w:left w:val="none" w:sz="0" w:space="0" w:color="auto"/>
        <w:bottom w:val="none" w:sz="0" w:space="0" w:color="auto"/>
        <w:right w:val="none" w:sz="0" w:space="0" w:color="auto"/>
      </w:divBdr>
    </w:div>
    <w:div w:id="1487361665">
      <w:bodyDiv w:val="1"/>
      <w:marLeft w:val="0"/>
      <w:marRight w:val="0"/>
      <w:marTop w:val="0"/>
      <w:marBottom w:val="0"/>
      <w:divBdr>
        <w:top w:val="none" w:sz="0" w:space="0" w:color="auto"/>
        <w:left w:val="none" w:sz="0" w:space="0" w:color="auto"/>
        <w:bottom w:val="none" w:sz="0" w:space="0" w:color="auto"/>
        <w:right w:val="none" w:sz="0" w:space="0" w:color="auto"/>
      </w:divBdr>
    </w:div>
    <w:div w:id="1558322571">
      <w:bodyDiv w:val="1"/>
      <w:marLeft w:val="0"/>
      <w:marRight w:val="0"/>
      <w:marTop w:val="0"/>
      <w:marBottom w:val="0"/>
      <w:divBdr>
        <w:top w:val="none" w:sz="0" w:space="0" w:color="auto"/>
        <w:left w:val="none" w:sz="0" w:space="0" w:color="auto"/>
        <w:bottom w:val="none" w:sz="0" w:space="0" w:color="auto"/>
        <w:right w:val="none" w:sz="0" w:space="0" w:color="auto"/>
      </w:divBdr>
    </w:div>
    <w:div w:id="1810396454">
      <w:bodyDiv w:val="1"/>
      <w:marLeft w:val="0"/>
      <w:marRight w:val="0"/>
      <w:marTop w:val="0"/>
      <w:marBottom w:val="0"/>
      <w:divBdr>
        <w:top w:val="none" w:sz="0" w:space="0" w:color="auto"/>
        <w:left w:val="none" w:sz="0" w:space="0" w:color="auto"/>
        <w:bottom w:val="none" w:sz="0" w:space="0" w:color="auto"/>
        <w:right w:val="none" w:sz="0" w:space="0" w:color="auto"/>
      </w:divBdr>
    </w:div>
    <w:div w:id="1953514349">
      <w:bodyDiv w:val="1"/>
      <w:marLeft w:val="0"/>
      <w:marRight w:val="0"/>
      <w:marTop w:val="0"/>
      <w:marBottom w:val="0"/>
      <w:divBdr>
        <w:top w:val="none" w:sz="0" w:space="0" w:color="auto"/>
        <w:left w:val="none" w:sz="0" w:space="0" w:color="auto"/>
        <w:bottom w:val="none" w:sz="0" w:space="0" w:color="auto"/>
        <w:right w:val="none" w:sz="0" w:space="0" w:color="auto"/>
      </w:divBdr>
    </w:div>
    <w:div w:id="2006668597">
      <w:bodyDiv w:val="1"/>
      <w:marLeft w:val="0"/>
      <w:marRight w:val="0"/>
      <w:marTop w:val="0"/>
      <w:marBottom w:val="0"/>
      <w:divBdr>
        <w:top w:val="none" w:sz="0" w:space="0" w:color="auto"/>
        <w:left w:val="none" w:sz="0" w:space="0" w:color="auto"/>
        <w:bottom w:val="none" w:sz="0" w:space="0" w:color="auto"/>
        <w:right w:val="none" w:sz="0" w:space="0" w:color="auto"/>
      </w:divBdr>
    </w:div>
    <w:div w:id="2124881450">
      <w:bodyDiv w:val="1"/>
      <w:marLeft w:val="0"/>
      <w:marRight w:val="0"/>
      <w:marTop w:val="0"/>
      <w:marBottom w:val="0"/>
      <w:divBdr>
        <w:top w:val="none" w:sz="0" w:space="0" w:color="auto"/>
        <w:left w:val="none" w:sz="0" w:space="0" w:color="auto"/>
        <w:bottom w:val="none" w:sz="0" w:space="0" w:color="auto"/>
        <w:right w:val="none" w:sz="0" w:space="0" w:color="auto"/>
      </w:divBdr>
    </w:div>
    <w:div w:id="2134320568">
      <w:bodyDiv w:val="1"/>
      <w:marLeft w:val="0"/>
      <w:marRight w:val="0"/>
      <w:marTop w:val="0"/>
      <w:marBottom w:val="0"/>
      <w:divBdr>
        <w:top w:val="none" w:sz="0" w:space="0" w:color="auto"/>
        <w:left w:val="none" w:sz="0" w:space="0" w:color="auto"/>
        <w:bottom w:val="none" w:sz="0" w:space="0" w:color="auto"/>
        <w:right w:val="none" w:sz="0" w:space="0" w:color="auto"/>
      </w:divBdr>
    </w:div>
    <w:div w:id="2139062057">
      <w:bodyDiv w:val="1"/>
      <w:marLeft w:val="0"/>
      <w:marRight w:val="0"/>
      <w:marTop w:val="0"/>
      <w:marBottom w:val="0"/>
      <w:divBdr>
        <w:top w:val="none" w:sz="0" w:space="0" w:color="auto"/>
        <w:left w:val="none" w:sz="0" w:space="0" w:color="auto"/>
        <w:bottom w:val="none" w:sz="0" w:space="0" w:color="auto"/>
        <w:right w:val="none" w:sz="0" w:space="0" w:color="auto"/>
      </w:divBdr>
    </w:div>
    <w:div w:id="21452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DB939-0647-4F29-AEC6-453AAC7B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1750</Words>
  <Characters>9629</Characters>
  <Application>Microsoft Office Word</Application>
  <DocSecurity>0</DocSecurity>
  <Lines>80</Lines>
  <Paragraphs>22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SmalS</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Marie-Laetitia Denayer</dc:creator>
  <cp:lastModifiedBy>Croes Herbert</cp:lastModifiedBy>
  <cp:revision>5</cp:revision>
  <cp:lastPrinted>2015-11-27T08:05:00Z</cp:lastPrinted>
  <dcterms:created xsi:type="dcterms:W3CDTF">2016-01-08T12:12:00Z</dcterms:created>
  <dcterms:modified xsi:type="dcterms:W3CDTF">2016-01-19T09:58:00Z</dcterms:modified>
</cp:coreProperties>
</file>