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18E6" w14:textId="77777777" w:rsidR="00850442" w:rsidRDefault="00850442" w:rsidP="00850442">
      <w:pPr>
        <w:ind w:left="709"/>
        <w:jc w:val="center"/>
        <w:rPr>
          <w:b/>
          <w:lang w:val="nl-BE"/>
        </w:rPr>
      </w:pPr>
    </w:p>
    <w:p w14:paraId="12D90460" w14:textId="77777777" w:rsidR="00850442" w:rsidRDefault="00850442" w:rsidP="00850442">
      <w:pPr>
        <w:ind w:left="709"/>
        <w:jc w:val="center"/>
        <w:rPr>
          <w:b/>
          <w:lang w:val="nl-BE"/>
        </w:rPr>
      </w:pPr>
      <w:r>
        <w:rPr>
          <w:b/>
          <w:noProof/>
          <w:lang w:val="en-US"/>
        </w:rPr>
        <mc:AlternateContent>
          <mc:Choice Requires="wps">
            <w:drawing>
              <wp:anchor distT="0" distB="0" distL="114300" distR="114300" simplePos="0" relativeHeight="251659264" behindDoc="0" locked="1" layoutInCell="1" allowOverlap="1" wp14:anchorId="73F689D3" wp14:editId="5412522C">
                <wp:simplePos x="0" y="0"/>
                <wp:positionH relativeFrom="page">
                  <wp:posOffset>619760</wp:posOffset>
                </wp:positionH>
                <wp:positionV relativeFrom="page">
                  <wp:posOffset>166370</wp:posOffset>
                </wp:positionV>
                <wp:extent cx="2530475" cy="2058670"/>
                <wp:effectExtent l="635" t="4445" r="2540" b="38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205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E1815" w14:textId="77777777" w:rsidR="00850442" w:rsidRPr="00720EC2" w:rsidRDefault="00850442" w:rsidP="00850442">
                            <w:pPr>
                              <w:pStyle w:val="Koptekst"/>
                              <w:tabs>
                                <w:tab w:val="clear" w:pos="4536"/>
                                <w:tab w:val="clear" w:pos="9072"/>
                              </w:tabs>
                              <w:rPr>
                                <w:rFonts w:ascii="Gill Sans MT" w:hAnsi="Gill Sans MT"/>
                              </w:rPr>
                            </w:pPr>
                            <w:r w:rsidRPr="009E1E81">
                              <w:rPr>
                                <w:rFonts w:ascii="Gill Sans MT" w:hAnsi="Gill Sans MT"/>
                                <w:noProof/>
                                <w:lang w:val="en-US"/>
                              </w:rPr>
                              <w:drawing>
                                <wp:inline distT="0" distB="0" distL="0" distR="0" wp14:anchorId="5C28B51D" wp14:editId="20B90549">
                                  <wp:extent cx="2794000" cy="2165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0" cy="2165350"/>
                                          </a:xfrm>
                                          <a:prstGeom prst="rect">
                                            <a:avLst/>
                                          </a:prstGeom>
                                          <a:noFill/>
                                          <a:ln>
                                            <a:noFill/>
                                          </a:ln>
                                        </pic:spPr>
                                      </pic:pic>
                                    </a:graphicData>
                                  </a:graphic>
                                </wp:inline>
                              </w:drawing>
                            </w:r>
                          </w:p>
                          <w:p w14:paraId="5C9EA290" w14:textId="77777777" w:rsidR="00850442" w:rsidRPr="00720EC2" w:rsidRDefault="00850442" w:rsidP="00850442">
                            <w:pPr>
                              <w:pStyle w:val="Koptekst"/>
                              <w:tabs>
                                <w:tab w:val="clear" w:pos="4536"/>
                                <w:tab w:val="clear" w:pos="9072"/>
                              </w:tabs>
                              <w:rPr>
                                <w:rFonts w:ascii="Gill Sans MT" w:hAnsi="Gill Sans MT"/>
                              </w:rPr>
                            </w:pPr>
                          </w:p>
                          <w:p w14:paraId="4CCF4C59" w14:textId="77777777" w:rsidR="00850442" w:rsidRPr="00720EC2" w:rsidRDefault="00850442" w:rsidP="00850442">
                            <w:pPr>
                              <w:pStyle w:val="Koptekst"/>
                              <w:tabs>
                                <w:tab w:val="clear" w:pos="4536"/>
                                <w:tab w:val="clear" w:pos="9072"/>
                              </w:tabs>
                              <w:rPr>
                                <w:rFonts w:ascii="Gill Sans MT" w:hAnsi="Gill Sans MT"/>
                              </w:rPr>
                            </w:pPr>
                          </w:p>
                          <w:p w14:paraId="47B0CA99" w14:textId="77777777" w:rsidR="00850442" w:rsidRPr="00720EC2" w:rsidRDefault="00850442" w:rsidP="00850442">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6459285F" w14:textId="77777777" w:rsidR="00850442" w:rsidRPr="00720EC2" w:rsidRDefault="00850442" w:rsidP="00850442">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1" w:history="1">
                              <w:r w:rsidRPr="00720EC2">
                                <w:rPr>
                                  <w:rStyle w:val="Hyperlink"/>
                                  <w:rFonts w:ascii="Gill Sans MT" w:hAnsi="Gill Sans MT"/>
                                  <w:b/>
                                  <w:i/>
                                  <w:color w:val="F9D73F"/>
                                  <w:sz w:val="16"/>
                                  <w:szCs w:val="16"/>
                                  <w:lang w:val="nl-BE"/>
                                </w:rPr>
                                <w:t>vraag@mi-is.be</w:t>
                              </w:r>
                            </w:hyperlink>
                          </w:p>
                          <w:p w14:paraId="4B6EA7B7" w14:textId="77777777" w:rsidR="00850442" w:rsidRPr="00720EC2" w:rsidRDefault="00850442" w:rsidP="00850442">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p w14:paraId="6F250433" w14:textId="77777777" w:rsidR="00850442" w:rsidRPr="00720EC2" w:rsidRDefault="00850442" w:rsidP="00850442">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689D3" id="_x0000_t202" coordsize="21600,21600" o:spt="202" path="m,l,21600r21600,l21600,xe">
                <v:stroke joinstyle="miter"/>
                <v:path gradientshapeok="t" o:connecttype="rect"/>
              </v:shapetype>
              <v:shape id="Tekstvak 3" o:spid="_x0000_s1026" type="#_x0000_t202" style="position:absolute;left:0;text-align:left;margin-left:48.8pt;margin-top:13.1pt;width:199.25pt;height:16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" filled="f" stroked="f">
                <v:textbox inset="1.13pt,1.13pt,1.13pt,1.13pt">
                  <w:txbxContent>
                    <w:p w14:paraId="2A6E1815" w14:textId="77777777" w:rsidR="00850442" w:rsidRPr="00720EC2" w:rsidRDefault="00850442" w:rsidP="00850442">
                      <w:pPr>
                        <w:pStyle w:val="Koptekst"/>
                        <w:tabs>
                          <w:tab w:val="clear" w:pos="4536"/>
                          <w:tab w:val="clear" w:pos="9072"/>
                        </w:tabs>
                        <w:rPr>
                          <w:rFonts w:ascii="Gill Sans MT" w:hAnsi="Gill Sans MT"/>
                        </w:rPr>
                      </w:pPr>
                      <w:r w:rsidRPr="009E1E81">
                        <w:rPr>
                          <w:rFonts w:ascii="Gill Sans MT" w:hAnsi="Gill Sans MT"/>
                          <w:noProof/>
                          <w:lang w:val="en-US"/>
                        </w:rPr>
                        <w:drawing>
                          <wp:inline distT="0" distB="0" distL="0" distR="0" wp14:anchorId="5C28B51D" wp14:editId="20B90549">
                            <wp:extent cx="2794000" cy="2165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0" cy="2165350"/>
                                    </a:xfrm>
                                    <a:prstGeom prst="rect">
                                      <a:avLst/>
                                    </a:prstGeom>
                                    <a:noFill/>
                                    <a:ln>
                                      <a:noFill/>
                                    </a:ln>
                                  </pic:spPr>
                                </pic:pic>
                              </a:graphicData>
                            </a:graphic>
                          </wp:inline>
                        </w:drawing>
                      </w:r>
                    </w:p>
                    <w:p w14:paraId="5C9EA290" w14:textId="77777777" w:rsidR="00850442" w:rsidRPr="00720EC2" w:rsidRDefault="00850442" w:rsidP="00850442">
                      <w:pPr>
                        <w:pStyle w:val="Koptekst"/>
                        <w:tabs>
                          <w:tab w:val="clear" w:pos="4536"/>
                          <w:tab w:val="clear" w:pos="9072"/>
                        </w:tabs>
                        <w:rPr>
                          <w:rFonts w:ascii="Gill Sans MT" w:hAnsi="Gill Sans MT"/>
                        </w:rPr>
                      </w:pPr>
                    </w:p>
                    <w:p w14:paraId="4CCF4C59" w14:textId="77777777" w:rsidR="00850442" w:rsidRPr="00720EC2" w:rsidRDefault="00850442" w:rsidP="00850442">
                      <w:pPr>
                        <w:pStyle w:val="Koptekst"/>
                        <w:tabs>
                          <w:tab w:val="clear" w:pos="4536"/>
                          <w:tab w:val="clear" w:pos="9072"/>
                        </w:tabs>
                        <w:rPr>
                          <w:rFonts w:ascii="Gill Sans MT" w:hAnsi="Gill Sans MT"/>
                        </w:rPr>
                      </w:pPr>
                    </w:p>
                    <w:p w14:paraId="47B0CA99" w14:textId="77777777" w:rsidR="00850442" w:rsidRPr="00720EC2" w:rsidRDefault="00850442" w:rsidP="00850442">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6459285F" w14:textId="77777777" w:rsidR="00850442" w:rsidRPr="00720EC2" w:rsidRDefault="00850442" w:rsidP="00850442">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2" w:history="1">
                        <w:r w:rsidRPr="00720EC2">
                          <w:rPr>
                            <w:rStyle w:val="Hyperlink"/>
                            <w:rFonts w:ascii="Gill Sans MT" w:hAnsi="Gill Sans MT"/>
                            <w:b/>
                            <w:i/>
                            <w:color w:val="F9D73F"/>
                            <w:sz w:val="16"/>
                            <w:szCs w:val="16"/>
                            <w:lang w:val="nl-BE"/>
                          </w:rPr>
                          <w:t>vraag@mi-is.be</w:t>
                        </w:r>
                      </w:hyperlink>
                    </w:p>
                    <w:p w14:paraId="4B6EA7B7" w14:textId="77777777" w:rsidR="00850442" w:rsidRPr="00720EC2" w:rsidRDefault="00850442" w:rsidP="00850442">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p w14:paraId="6F250433" w14:textId="77777777" w:rsidR="00850442" w:rsidRPr="00720EC2" w:rsidRDefault="00850442" w:rsidP="00850442">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p>
    <w:p w14:paraId="2A89A208" w14:textId="77777777" w:rsidR="00850442" w:rsidRDefault="00850442" w:rsidP="00850442">
      <w:pPr>
        <w:ind w:left="709"/>
        <w:jc w:val="center"/>
        <w:rPr>
          <w:b/>
          <w:lang w:val="nl-BE"/>
        </w:rPr>
      </w:pPr>
    </w:p>
    <w:tbl>
      <w:tblPr>
        <w:tblW w:w="0" w:type="auto"/>
        <w:tblInd w:w="4503" w:type="dxa"/>
        <w:tblLayout w:type="fixed"/>
        <w:tblLook w:val="0000" w:firstRow="0" w:lastRow="0" w:firstColumn="0" w:lastColumn="0" w:noHBand="0" w:noVBand="0"/>
      </w:tblPr>
      <w:tblGrid>
        <w:gridCol w:w="4252"/>
      </w:tblGrid>
      <w:tr w:rsidR="00850442" w:rsidRPr="008565E0" w14:paraId="481530A6" w14:textId="77777777" w:rsidTr="000F5F18">
        <w:trPr>
          <w:cantSplit/>
          <w:trHeight w:val="1710"/>
        </w:trPr>
        <w:tc>
          <w:tcPr>
            <w:tcW w:w="4252" w:type="dxa"/>
          </w:tcPr>
          <w:p w14:paraId="7D19C77F" w14:textId="77777777" w:rsidR="00850442" w:rsidRPr="00850442" w:rsidRDefault="00850442" w:rsidP="000F5F18">
            <w:pPr>
              <w:pStyle w:val="Koptekst"/>
              <w:tabs>
                <w:tab w:val="clear" w:pos="4536"/>
                <w:tab w:val="clear" w:pos="9072"/>
              </w:tabs>
              <w:jc w:val="both"/>
              <w:rPr>
                <w:b/>
                <w:bCs/>
                <w:lang w:val="nl-BE"/>
              </w:rPr>
            </w:pPr>
            <w:r w:rsidRPr="00850442">
              <w:rPr>
                <w:b/>
                <w:bCs/>
                <w:lang w:val="nl-BE"/>
              </w:rPr>
              <w:t>Aan de dames en heren Voorzitters van de openbare centra voor maatschappelijk welzijn</w:t>
            </w:r>
          </w:p>
          <w:p w14:paraId="610754FC" w14:textId="77777777" w:rsidR="00850442" w:rsidRDefault="00850442" w:rsidP="000F5F18">
            <w:pPr>
              <w:pStyle w:val="Koptekst"/>
              <w:tabs>
                <w:tab w:val="clear" w:pos="4536"/>
                <w:tab w:val="clear" w:pos="9072"/>
              </w:tabs>
              <w:rPr>
                <w:szCs w:val="22"/>
                <w:lang w:val="nl-BE"/>
              </w:rPr>
            </w:pPr>
          </w:p>
          <w:p w14:paraId="71543F81" w14:textId="77777777" w:rsidR="00850442" w:rsidRPr="00D868BB" w:rsidRDefault="00850442" w:rsidP="000F5F18">
            <w:pPr>
              <w:pStyle w:val="Koptekst"/>
              <w:tabs>
                <w:tab w:val="clear" w:pos="4536"/>
                <w:tab w:val="clear" w:pos="9072"/>
              </w:tabs>
              <w:rPr>
                <w:szCs w:val="22"/>
                <w:lang w:val="nl-BE"/>
              </w:rPr>
            </w:pPr>
          </w:p>
        </w:tc>
      </w:tr>
    </w:tbl>
    <w:p w14:paraId="6FF822A6" w14:textId="77777777" w:rsidR="00850442" w:rsidRPr="008F7E8A" w:rsidRDefault="00850442" w:rsidP="00850442">
      <w:pPr>
        <w:ind w:left="709"/>
        <w:jc w:val="center"/>
        <w:rPr>
          <w:b/>
          <w:lang w:val="nl-BE"/>
        </w:rPr>
      </w:pPr>
    </w:p>
    <w:p w14:paraId="1D562C0C" w14:textId="77777777" w:rsidR="00850442" w:rsidRDefault="00850442" w:rsidP="00850442">
      <w:pPr>
        <w:ind w:left="709"/>
        <w:jc w:val="both"/>
        <w:rPr>
          <w:lang w:val="nl-BE"/>
        </w:rPr>
      </w:pPr>
    </w:p>
    <w:tbl>
      <w:tblPr>
        <w:tblW w:w="10632" w:type="dxa"/>
        <w:tblInd w:w="-491" w:type="dxa"/>
        <w:tblLayout w:type="fixed"/>
        <w:tblLook w:val="0000" w:firstRow="0" w:lastRow="0" w:firstColumn="0" w:lastColumn="0" w:noHBand="0" w:noVBand="0"/>
      </w:tblPr>
      <w:tblGrid>
        <w:gridCol w:w="2694"/>
        <w:gridCol w:w="1417"/>
        <w:gridCol w:w="1701"/>
        <w:gridCol w:w="1342"/>
        <w:gridCol w:w="2344"/>
        <w:gridCol w:w="1134"/>
      </w:tblGrid>
      <w:tr w:rsidR="00850442" w:rsidRPr="006A13EA" w14:paraId="50693A38" w14:textId="77777777" w:rsidTr="00B641FE">
        <w:trPr>
          <w:cantSplit/>
          <w:trHeight w:val="337"/>
        </w:trPr>
        <w:tc>
          <w:tcPr>
            <w:tcW w:w="2694" w:type="dxa"/>
          </w:tcPr>
          <w:p w14:paraId="0DE49803" w14:textId="77777777" w:rsidR="00850442" w:rsidRPr="00850442" w:rsidRDefault="00850442" w:rsidP="000F5F18">
            <w:pPr>
              <w:rPr>
                <w:rFonts w:ascii="Gill Sans MT" w:hAnsi="Gill Sans MT"/>
                <w:sz w:val="17"/>
                <w:lang w:val="nl-BE"/>
              </w:rPr>
            </w:pPr>
          </w:p>
        </w:tc>
        <w:tc>
          <w:tcPr>
            <w:tcW w:w="1417" w:type="dxa"/>
          </w:tcPr>
          <w:p w14:paraId="15A861CA" w14:textId="77777777" w:rsidR="00850442" w:rsidRPr="00850442" w:rsidRDefault="00850442" w:rsidP="000F5F18">
            <w:pPr>
              <w:rPr>
                <w:rFonts w:ascii="Gill Sans MT" w:hAnsi="Gill Sans MT"/>
                <w:sz w:val="17"/>
                <w:lang w:val="nl-BE"/>
              </w:rPr>
            </w:pPr>
          </w:p>
        </w:tc>
        <w:tc>
          <w:tcPr>
            <w:tcW w:w="1701" w:type="dxa"/>
          </w:tcPr>
          <w:p w14:paraId="77BC4CC9" w14:textId="77777777" w:rsidR="00850442" w:rsidRPr="00850442" w:rsidRDefault="00850442" w:rsidP="000F5F18">
            <w:pPr>
              <w:rPr>
                <w:rFonts w:ascii="Gill Sans MT" w:hAnsi="Gill Sans MT"/>
                <w:sz w:val="17"/>
                <w:lang w:val="nl-BE"/>
              </w:rPr>
            </w:pPr>
          </w:p>
        </w:tc>
        <w:tc>
          <w:tcPr>
            <w:tcW w:w="1342" w:type="dxa"/>
          </w:tcPr>
          <w:p w14:paraId="0DDAA306" w14:textId="77777777" w:rsidR="00850442" w:rsidRPr="00850442" w:rsidRDefault="00850442" w:rsidP="000F5F18">
            <w:pPr>
              <w:rPr>
                <w:rFonts w:ascii="Gill Sans MT" w:hAnsi="Gill Sans MT"/>
                <w:sz w:val="17"/>
                <w:lang w:val="nl-BE"/>
              </w:rPr>
            </w:pPr>
          </w:p>
        </w:tc>
        <w:tc>
          <w:tcPr>
            <w:tcW w:w="2344" w:type="dxa"/>
          </w:tcPr>
          <w:p w14:paraId="17ACD527" w14:textId="6AE2626A" w:rsidR="00850442" w:rsidRPr="008D77E1" w:rsidRDefault="00850442" w:rsidP="000F5F18">
            <w:pPr>
              <w:rPr>
                <w:rFonts w:cs="Arial"/>
                <w:sz w:val="22"/>
                <w:szCs w:val="22"/>
              </w:rPr>
            </w:pPr>
            <w:proofErr w:type="spellStart"/>
            <w:r w:rsidRPr="008D77E1">
              <w:rPr>
                <w:rFonts w:cs="Arial"/>
                <w:sz w:val="22"/>
                <w:szCs w:val="22"/>
              </w:rPr>
              <w:t>Datum</w:t>
            </w:r>
            <w:proofErr w:type="spellEnd"/>
            <w:r w:rsidRPr="008D77E1">
              <w:rPr>
                <w:rFonts w:cs="Arial"/>
                <w:sz w:val="22"/>
                <w:szCs w:val="22"/>
              </w:rPr>
              <w:t> :</w:t>
            </w:r>
            <w:r w:rsidR="00B641FE">
              <w:rPr>
                <w:rFonts w:cs="Arial"/>
                <w:sz w:val="22"/>
                <w:szCs w:val="22"/>
              </w:rPr>
              <w:t xml:space="preserve"> 12 </w:t>
            </w:r>
            <w:proofErr w:type="spellStart"/>
            <w:r w:rsidR="00B641FE">
              <w:rPr>
                <w:rFonts w:cs="Arial"/>
                <w:sz w:val="22"/>
                <w:szCs w:val="22"/>
              </w:rPr>
              <w:t>juni</w:t>
            </w:r>
            <w:proofErr w:type="spellEnd"/>
            <w:r w:rsidR="00B641FE">
              <w:rPr>
                <w:rFonts w:cs="Arial"/>
                <w:sz w:val="22"/>
                <w:szCs w:val="22"/>
              </w:rPr>
              <w:t xml:space="preserve"> 2020</w:t>
            </w:r>
          </w:p>
        </w:tc>
        <w:tc>
          <w:tcPr>
            <w:tcW w:w="1134" w:type="dxa"/>
          </w:tcPr>
          <w:p w14:paraId="5C7A06F1" w14:textId="77777777" w:rsidR="00850442" w:rsidRPr="008D77E1" w:rsidRDefault="00850442" w:rsidP="000F5F18">
            <w:pPr>
              <w:rPr>
                <w:rFonts w:cs="Arial"/>
                <w:sz w:val="22"/>
                <w:szCs w:val="22"/>
              </w:rPr>
            </w:pPr>
          </w:p>
        </w:tc>
      </w:tr>
      <w:tr w:rsidR="00850442" w:rsidRPr="006A13EA" w14:paraId="24C0BA9A" w14:textId="77777777" w:rsidTr="00B641FE">
        <w:trPr>
          <w:cantSplit/>
          <w:trHeight w:val="187"/>
        </w:trPr>
        <w:tc>
          <w:tcPr>
            <w:tcW w:w="2694" w:type="dxa"/>
          </w:tcPr>
          <w:p w14:paraId="6FEB5B0B" w14:textId="77777777" w:rsidR="00850442" w:rsidRPr="006A13EA" w:rsidRDefault="00850442" w:rsidP="000F5F18">
            <w:pPr>
              <w:rPr>
                <w:rFonts w:ascii="Gill Sans MT" w:hAnsi="Gill Sans MT" w:cs="Arial"/>
                <w:sz w:val="17"/>
              </w:rPr>
            </w:pPr>
          </w:p>
        </w:tc>
        <w:tc>
          <w:tcPr>
            <w:tcW w:w="1417" w:type="dxa"/>
          </w:tcPr>
          <w:p w14:paraId="3310B9FF" w14:textId="77777777" w:rsidR="00850442" w:rsidRPr="006A13EA" w:rsidRDefault="00850442" w:rsidP="000F5F18">
            <w:pPr>
              <w:rPr>
                <w:rFonts w:ascii="Gill Sans MT" w:hAnsi="Gill Sans MT"/>
                <w:sz w:val="17"/>
              </w:rPr>
            </w:pPr>
          </w:p>
        </w:tc>
        <w:tc>
          <w:tcPr>
            <w:tcW w:w="1701" w:type="dxa"/>
          </w:tcPr>
          <w:p w14:paraId="23BC2F00" w14:textId="77777777" w:rsidR="00850442" w:rsidRPr="006A13EA" w:rsidRDefault="00850442" w:rsidP="000F5F18">
            <w:pPr>
              <w:rPr>
                <w:rFonts w:ascii="Gill Sans MT" w:hAnsi="Gill Sans MT"/>
                <w:sz w:val="17"/>
              </w:rPr>
            </w:pPr>
          </w:p>
        </w:tc>
        <w:tc>
          <w:tcPr>
            <w:tcW w:w="1342" w:type="dxa"/>
          </w:tcPr>
          <w:p w14:paraId="0563D1CB" w14:textId="77777777" w:rsidR="00850442" w:rsidRPr="006A13EA" w:rsidRDefault="00850442" w:rsidP="000F5F18">
            <w:pPr>
              <w:rPr>
                <w:rFonts w:ascii="Gill Sans MT" w:hAnsi="Gill Sans MT"/>
                <w:sz w:val="17"/>
              </w:rPr>
            </w:pPr>
          </w:p>
        </w:tc>
        <w:tc>
          <w:tcPr>
            <w:tcW w:w="2344" w:type="dxa"/>
          </w:tcPr>
          <w:p w14:paraId="61741476" w14:textId="77777777" w:rsidR="00850442" w:rsidRPr="006A13EA" w:rsidRDefault="00850442" w:rsidP="000F5F18">
            <w:pPr>
              <w:rPr>
                <w:rFonts w:ascii="Gill Sans MT" w:hAnsi="Gill Sans MT"/>
                <w:sz w:val="17"/>
              </w:rPr>
            </w:pPr>
          </w:p>
        </w:tc>
        <w:tc>
          <w:tcPr>
            <w:tcW w:w="1134" w:type="dxa"/>
          </w:tcPr>
          <w:p w14:paraId="3D41EA27" w14:textId="77777777" w:rsidR="00850442" w:rsidRPr="006A13EA" w:rsidRDefault="00850442" w:rsidP="000F5F18">
            <w:pPr>
              <w:rPr>
                <w:rFonts w:ascii="Gill Sans MT" w:hAnsi="Gill Sans MT" w:cs="Arial"/>
                <w:sz w:val="17"/>
              </w:rPr>
            </w:pPr>
          </w:p>
        </w:tc>
      </w:tr>
    </w:tbl>
    <w:p w14:paraId="10C37705" w14:textId="77777777" w:rsidR="00850442" w:rsidRDefault="00850442" w:rsidP="00850442">
      <w:pPr>
        <w:pStyle w:val="Letter"/>
        <w:rPr>
          <w:lang w:val="nl-BE"/>
        </w:rPr>
      </w:pPr>
    </w:p>
    <w:p w14:paraId="35B9C2D3" w14:textId="77777777" w:rsidR="00850442" w:rsidRPr="000B69C2" w:rsidRDefault="00850442" w:rsidP="00850442">
      <w:pPr>
        <w:pStyle w:val="Letter"/>
        <w:rPr>
          <w:b/>
          <w:lang w:val="nl-BE"/>
        </w:rPr>
      </w:pPr>
    </w:p>
    <w:p w14:paraId="3273E17C" w14:textId="235C97D0" w:rsidR="00850442" w:rsidRDefault="00850442" w:rsidP="00850442">
      <w:pPr>
        <w:pStyle w:val="Letter"/>
        <w:pBdr>
          <w:top w:val="single" w:sz="4" w:space="1" w:color="auto"/>
          <w:left w:val="single" w:sz="4" w:space="4" w:color="auto"/>
          <w:bottom w:val="single" w:sz="4" w:space="1" w:color="auto"/>
          <w:right w:val="single" w:sz="4" w:space="4" w:color="auto"/>
        </w:pBdr>
        <w:jc w:val="center"/>
        <w:rPr>
          <w:lang w:val="nl-BE"/>
        </w:rPr>
      </w:pPr>
      <w:r w:rsidRPr="000B69C2">
        <w:rPr>
          <w:b/>
          <w:sz w:val="28"/>
          <w:szCs w:val="28"/>
          <w:lang w:val="nl-BE"/>
        </w:rPr>
        <w:t>Omzendbrief</w:t>
      </w:r>
      <w:r>
        <w:rPr>
          <w:b/>
          <w:sz w:val="28"/>
          <w:szCs w:val="28"/>
          <w:lang w:val="nl-BE"/>
        </w:rPr>
        <w:t xml:space="preserve"> betreffende </w:t>
      </w:r>
      <w:r w:rsidRPr="00B66F44">
        <w:rPr>
          <w:b/>
          <w:sz w:val="28"/>
          <w:szCs w:val="28"/>
          <w:lang w:val="nl-BE"/>
        </w:rPr>
        <w:t xml:space="preserve">het Koninklijk besluit van </w:t>
      </w:r>
      <w:r w:rsidR="00F47641">
        <w:rPr>
          <w:b/>
          <w:sz w:val="28"/>
          <w:szCs w:val="28"/>
          <w:lang w:val="nl-BE"/>
        </w:rPr>
        <w:t xml:space="preserve">4 juni 2020 </w:t>
      </w:r>
      <w:r w:rsidRPr="00B66F44">
        <w:rPr>
          <w:b/>
          <w:sz w:val="28"/>
          <w:szCs w:val="28"/>
          <w:lang w:val="nl-BE"/>
        </w:rPr>
        <w:t xml:space="preserve">tot wijziging van het koninklijk besluit van 11 juli 2002 houdende het algemeen reglement betreffende het recht op maatschappelijke integratie in twee maatregelen die leefloonbegunstigden moeten ondersteunen </w:t>
      </w:r>
    </w:p>
    <w:p w14:paraId="229E1ACE" w14:textId="77777777" w:rsidR="00850442" w:rsidRDefault="00850442" w:rsidP="00850442">
      <w:pPr>
        <w:ind w:left="709"/>
        <w:jc w:val="both"/>
        <w:rPr>
          <w:lang w:val="nl-BE"/>
        </w:rPr>
      </w:pPr>
    </w:p>
    <w:p w14:paraId="267712A0" w14:textId="3238D550" w:rsidR="00850442" w:rsidRDefault="00502E1D" w:rsidP="00143279">
      <w:pPr>
        <w:jc w:val="both"/>
        <w:rPr>
          <w:lang w:val="nl-BE"/>
        </w:rPr>
      </w:pPr>
      <w:r>
        <w:rPr>
          <w:lang w:val="nl-BE"/>
        </w:rPr>
        <w:t>Mevrouw de Voorzitter</w:t>
      </w:r>
      <w:r w:rsidR="00850442" w:rsidRPr="002066C9">
        <w:rPr>
          <w:lang w:val="nl-BE"/>
        </w:rPr>
        <w:t>,</w:t>
      </w:r>
    </w:p>
    <w:p w14:paraId="48456830" w14:textId="6C19C105" w:rsidR="00502E1D" w:rsidRPr="002066C9" w:rsidRDefault="00502E1D" w:rsidP="00143279">
      <w:pPr>
        <w:jc w:val="both"/>
        <w:rPr>
          <w:lang w:val="nl-BE"/>
        </w:rPr>
      </w:pPr>
      <w:r>
        <w:rPr>
          <w:lang w:val="nl-BE"/>
        </w:rPr>
        <w:t>Mijnheer de Voorzitter,</w:t>
      </w:r>
    </w:p>
    <w:p w14:paraId="41124A09" w14:textId="77777777" w:rsidR="00850442" w:rsidRDefault="00850442" w:rsidP="00143279">
      <w:pPr>
        <w:jc w:val="both"/>
        <w:rPr>
          <w:lang w:val="nl-BE"/>
        </w:rPr>
      </w:pPr>
    </w:p>
    <w:p w14:paraId="75AF00CD" w14:textId="495C343B" w:rsidR="00850442" w:rsidRPr="002066C9" w:rsidRDefault="00850442" w:rsidP="00143279">
      <w:pPr>
        <w:jc w:val="both"/>
        <w:rPr>
          <w:lang w:val="nl-BE"/>
        </w:rPr>
      </w:pPr>
      <w:r w:rsidRPr="002066C9">
        <w:rPr>
          <w:lang w:val="nl-BE"/>
        </w:rPr>
        <w:t xml:space="preserve">In het kader van de strijd tegen de verspreiding van het coronavirus Covid-19 voorziet het Koninklijk besluit van </w:t>
      </w:r>
      <w:r w:rsidR="00F47641">
        <w:rPr>
          <w:lang w:val="nl-BE"/>
        </w:rPr>
        <w:t>4 juni 2020</w:t>
      </w:r>
      <w:r w:rsidRPr="002066C9">
        <w:rPr>
          <w:lang w:val="nl-BE"/>
        </w:rPr>
        <w:t xml:space="preserve"> tot wijziging van het koninklijk besluit van 11 juli 2002 houdende het algemeen reglement betreffende het recht op maatschappelijke integratie in twee maatregelen die leefloonbegunstigden moeten ondersteunen. </w:t>
      </w:r>
    </w:p>
    <w:p w14:paraId="55BEA7E4" w14:textId="77777777" w:rsidR="00850442" w:rsidRDefault="00850442" w:rsidP="00143279">
      <w:pPr>
        <w:jc w:val="both"/>
        <w:rPr>
          <w:lang w:val="nl-BE"/>
        </w:rPr>
      </w:pPr>
    </w:p>
    <w:p w14:paraId="0E3BB391" w14:textId="58D60332" w:rsidR="00850442" w:rsidRPr="002066C9" w:rsidRDefault="00850442" w:rsidP="00143279">
      <w:pPr>
        <w:jc w:val="both"/>
        <w:rPr>
          <w:lang w:val="nl-BE"/>
        </w:rPr>
      </w:pPr>
      <w:r w:rsidRPr="002066C9">
        <w:rPr>
          <w:lang w:val="nl-BE"/>
        </w:rPr>
        <w:t>Het gaat in de eerste plaats om een bijkomende vrijstelling in art</w:t>
      </w:r>
      <w:r w:rsidR="001B71C1">
        <w:rPr>
          <w:lang w:val="nl-BE"/>
        </w:rPr>
        <w:t>ikel</w:t>
      </w:r>
      <w:r w:rsidRPr="002066C9">
        <w:rPr>
          <w:lang w:val="nl-BE"/>
        </w:rPr>
        <w:t xml:space="preserve"> 22, §1 van het KB van 11 juli 2002 waardoor het loon dat een betrokkene ontvangt bij een tewerkstelling in een vitale sector niet in aanmerking zal worden genomen bij de berekening van het (aanvullend) leefloon en dit gedurende een bepaalde en beperkte periode. Deze bepaling heeft als doel om een leefloonbegunstigde die tijdelijk tewerkgesteld wordt in een vitale sector op dezelfde manier te behandelen als een persoon in een vergelijkbare situatie die ontvanger is van een tijdelijke werkloosheidsuitkering. </w:t>
      </w:r>
    </w:p>
    <w:p w14:paraId="23647E12" w14:textId="77777777" w:rsidR="00850442" w:rsidRDefault="00850442" w:rsidP="00143279">
      <w:pPr>
        <w:jc w:val="both"/>
        <w:rPr>
          <w:lang w:val="nl-BE"/>
        </w:rPr>
      </w:pPr>
    </w:p>
    <w:p w14:paraId="61453B73" w14:textId="0B787795" w:rsidR="00850442" w:rsidRDefault="001443B6" w:rsidP="00143279">
      <w:pPr>
        <w:jc w:val="both"/>
        <w:rPr>
          <w:lang w:val="nl-BE"/>
        </w:rPr>
      </w:pPr>
      <w:r>
        <w:rPr>
          <w:lang w:val="nl-BE"/>
        </w:rPr>
        <w:t>Ten tweede wordt artikel</w:t>
      </w:r>
      <w:r w:rsidR="00850442" w:rsidRPr="002066C9">
        <w:rPr>
          <w:lang w:val="nl-BE"/>
        </w:rPr>
        <w:t xml:space="preserve"> 35, §2 van het KB van 11 juli 2002 aangevuld waardoor ook jongeren die genieten van een studiebeurs gedurende deze tijdelijke periode recht </w:t>
      </w:r>
      <w:r w:rsidR="00850442" w:rsidRPr="002066C9">
        <w:rPr>
          <w:lang w:val="nl-BE"/>
        </w:rPr>
        <w:lastRenderedPageBreak/>
        <w:t>hebben op de SPI-vrijstelling voor jongeren die niet genieten van een studiebeurs, zijnde 253,88 euro (geïndexeerd bedrag op 1 maart 2020). Het gaat om het gelijk</w:t>
      </w:r>
      <w:r w:rsidR="005904F7">
        <w:rPr>
          <w:lang w:val="nl-BE"/>
        </w:rPr>
        <w:t>trekken</w:t>
      </w:r>
      <w:r w:rsidR="00850442" w:rsidRPr="002066C9">
        <w:rPr>
          <w:lang w:val="nl-BE"/>
        </w:rPr>
        <w:t xml:space="preserve"> </w:t>
      </w:r>
      <w:r w:rsidR="005904F7">
        <w:rPr>
          <w:lang w:val="nl-BE"/>
        </w:rPr>
        <w:t>van de in aanmerking te nemen beroepsinkomsten v</w:t>
      </w:r>
      <w:r w:rsidR="00DE4DDC">
        <w:rPr>
          <w:lang w:val="nl-BE"/>
        </w:rPr>
        <w:t>oor</w:t>
      </w:r>
      <w:r w:rsidR="005904F7">
        <w:rPr>
          <w:lang w:val="nl-BE"/>
        </w:rPr>
        <w:t xml:space="preserve"> </w:t>
      </w:r>
      <w:r w:rsidR="00DE4DDC">
        <w:rPr>
          <w:lang w:val="nl-BE"/>
        </w:rPr>
        <w:t>beurs- en niet-beursstudenten</w:t>
      </w:r>
      <w:r w:rsidR="005904F7">
        <w:rPr>
          <w:lang w:val="nl-BE"/>
        </w:rPr>
        <w:t xml:space="preserve"> en dit gedurende de crisis. </w:t>
      </w:r>
      <w:r w:rsidR="00850442" w:rsidRPr="002066C9">
        <w:rPr>
          <w:lang w:val="nl-BE"/>
        </w:rPr>
        <w:t xml:space="preserve">Het doel van deze maatregel bestaat erin om arbeid die verricht wordt door </w:t>
      </w:r>
      <w:r w:rsidR="007C1AC4" w:rsidRPr="002A3EE9">
        <w:rPr>
          <w:lang w:val="nl-BE"/>
        </w:rPr>
        <w:t>alle</w:t>
      </w:r>
      <w:r w:rsidR="007C1AC4">
        <w:rPr>
          <w:lang w:val="nl-BE"/>
        </w:rPr>
        <w:t xml:space="preserve"> </w:t>
      </w:r>
      <w:r w:rsidR="00850442" w:rsidRPr="002066C9">
        <w:rPr>
          <w:lang w:val="nl-BE"/>
        </w:rPr>
        <w:t>studenten in deze periode op dezelfde manier in rekening te brengen voor de berekening van het leefloon.</w:t>
      </w:r>
    </w:p>
    <w:p w14:paraId="38068C7C" w14:textId="77777777" w:rsidR="00850442" w:rsidRPr="002066C9" w:rsidRDefault="00850442" w:rsidP="00850442">
      <w:pPr>
        <w:rPr>
          <w:lang w:val="nl-BE"/>
        </w:rPr>
      </w:pPr>
    </w:p>
    <w:p w14:paraId="6E48457D" w14:textId="77777777" w:rsidR="00850442" w:rsidRDefault="00850442" w:rsidP="00850442">
      <w:pPr>
        <w:pStyle w:val="Kop1"/>
        <w:keepLines/>
        <w:numPr>
          <w:ilvl w:val="0"/>
          <w:numId w:val="3"/>
        </w:numPr>
        <w:spacing w:before="240" w:line="360" w:lineRule="auto"/>
        <w:jc w:val="both"/>
        <w:rPr>
          <w:lang w:val="nl-BE"/>
        </w:rPr>
      </w:pPr>
      <w:r w:rsidRPr="002066C9">
        <w:rPr>
          <w:lang w:val="nl-BE"/>
        </w:rPr>
        <w:t>Tijdelijke cumulatie tussen tewerkstelling in vitale sectoren en het ontvangen van leefloon</w:t>
      </w:r>
    </w:p>
    <w:p w14:paraId="659EC172" w14:textId="77777777" w:rsidR="00850442" w:rsidRPr="00BA4277" w:rsidRDefault="00850442" w:rsidP="00850442">
      <w:pPr>
        <w:rPr>
          <w:lang w:val="nl-BE"/>
        </w:rPr>
      </w:pPr>
    </w:p>
    <w:p w14:paraId="16702821" w14:textId="1952B32F" w:rsidR="00850442" w:rsidRPr="002066C9" w:rsidRDefault="00850442" w:rsidP="00143279">
      <w:pPr>
        <w:pBdr>
          <w:top w:val="single" w:sz="4" w:space="1" w:color="auto"/>
          <w:left w:val="single" w:sz="4" w:space="4" w:color="auto"/>
          <w:bottom w:val="single" w:sz="4" w:space="1" w:color="auto"/>
          <w:right w:val="single" w:sz="4" w:space="4" w:color="auto"/>
          <w:bar w:val="single" w:sz="4" w:color="auto"/>
        </w:pBdr>
        <w:jc w:val="both"/>
        <w:rPr>
          <w:i/>
          <w:iCs/>
          <w:lang w:val="nl-BE"/>
        </w:rPr>
      </w:pPr>
      <w:r w:rsidRPr="002066C9">
        <w:rPr>
          <w:i/>
          <w:iCs/>
          <w:lang w:val="nl-BE"/>
        </w:rPr>
        <w:t>Artikel 22, § 1, van het koninklijk besluit van 11 juli 2002 houdende het algemeen reglement van het recht op maatschappelijke integratie wordt als volgt aangevuld</w:t>
      </w:r>
      <w:r w:rsidR="00143279">
        <w:rPr>
          <w:i/>
          <w:iCs/>
          <w:lang w:val="nl-BE"/>
        </w:rPr>
        <w:t xml:space="preserve"> </w:t>
      </w:r>
      <w:r w:rsidRPr="002066C9">
        <w:rPr>
          <w:i/>
          <w:iCs/>
          <w:lang w:val="nl-BE"/>
        </w:rPr>
        <w:t xml:space="preserve">: </w:t>
      </w:r>
    </w:p>
    <w:p w14:paraId="67C03B2C" w14:textId="6D86F37B" w:rsidR="00850442" w:rsidRPr="002066C9" w:rsidRDefault="00850442" w:rsidP="00143279">
      <w:pPr>
        <w:pBdr>
          <w:top w:val="single" w:sz="4" w:space="1" w:color="auto"/>
          <w:left w:val="single" w:sz="4" w:space="4" w:color="auto"/>
          <w:bottom w:val="single" w:sz="4" w:space="1" w:color="auto"/>
          <w:right w:val="single" w:sz="4" w:space="4" w:color="auto"/>
          <w:bar w:val="single" w:sz="4" w:color="auto"/>
        </w:pBdr>
        <w:jc w:val="both"/>
        <w:rPr>
          <w:i/>
          <w:iCs/>
          <w:lang w:val="nl-BE"/>
        </w:rPr>
      </w:pPr>
      <w:r w:rsidRPr="002066C9">
        <w:rPr>
          <w:i/>
          <w:iCs/>
          <w:lang w:val="nl-BE"/>
        </w:rPr>
        <w:t>"</w:t>
      </w:r>
      <w:bookmarkStart w:id="0" w:name="_GoBack"/>
      <w:r w:rsidR="008565E0">
        <w:rPr>
          <w:i/>
          <w:iCs/>
          <w:lang w:val="nl-BE"/>
        </w:rPr>
        <w:t>s</w:t>
      </w:r>
      <w:r w:rsidRPr="002066C9">
        <w:rPr>
          <w:i/>
          <w:iCs/>
          <w:lang w:val="nl-BE"/>
        </w:rPr>
        <w:t>)</w:t>
      </w:r>
      <w:bookmarkEnd w:id="0"/>
      <w:r w:rsidRPr="002066C9">
        <w:rPr>
          <w:i/>
          <w:iCs/>
          <w:lang w:val="nl-BE"/>
        </w:rPr>
        <w:t xml:space="preserve"> de  </w:t>
      </w:r>
      <w:r w:rsidRPr="002066C9">
        <w:rPr>
          <w:i/>
          <w:iCs/>
          <w:u w:val="single"/>
          <w:lang w:val="nl-BE"/>
        </w:rPr>
        <w:t>bezoldiging</w:t>
      </w:r>
      <w:r w:rsidRPr="002066C9">
        <w:rPr>
          <w:i/>
          <w:iCs/>
          <w:lang w:val="nl-BE"/>
        </w:rPr>
        <w:t xml:space="preserve"> ontvangen door de betrokkene </w:t>
      </w:r>
      <w:r w:rsidRPr="002066C9">
        <w:rPr>
          <w:i/>
          <w:iCs/>
          <w:u w:val="single"/>
          <w:lang w:val="nl-BE"/>
        </w:rPr>
        <w:t>tewerkgesteld in vitale sectoren zoals bepaald bij artikel 1 van het koninklijk besluit van 23 april 2020</w:t>
      </w:r>
      <w:r w:rsidRPr="002066C9">
        <w:rPr>
          <w:i/>
          <w:iCs/>
          <w:lang w:val="nl-BE"/>
        </w:rPr>
        <w:t xml:space="preserve"> tot het tijdelijk versoepelen van de voorwaarden waaronder werklozen, al dan niet met  bedrijfstoeslag, kunnen worden tewerkgesteld in vitale sectoren en tot het tijdelijk bevriezen van de degressiviteit van de volledige werkloosheidsuitkering. Deze vrijstelling is enkel van toepassing </w:t>
      </w:r>
      <w:r w:rsidRPr="002066C9">
        <w:rPr>
          <w:i/>
          <w:iCs/>
          <w:u w:val="single"/>
          <w:lang w:val="nl-BE"/>
        </w:rPr>
        <w:t>gedurende  de periode bepaald in artikel 7 van het koninklijk besluit van 23 april 2020</w:t>
      </w:r>
      <w:r w:rsidRPr="002066C9">
        <w:rPr>
          <w:i/>
          <w:iCs/>
          <w:lang w:val="nl-BE"/>
        </w:rPr>
        <w:t xml:space="preserve"> tot het tijdelijk versoepelen van de voorwaarden waaronder werklozen, al dan niet met  bedrijfstoeslag, kunnen worden tewerkgesteld in vitale sectoren en tot het tijdelijk bevriezen van de degressiviteit van de volledige werkloosheidsuitkering.”</w:t>
      </w:r>
    </w:p>
    <w:p w14:paraId="54AB083C" w14:textId="77777777" w:rsidR="00850442" w:rsidRDefault="00850442" w:rsidP="00850442">
      <w:pPr>
        <w:rPr>
          <w:lang w:val="nl-BE"/>
        </w:rPr>
      </w:pPr>
    </w:p>
    <w:p w14:paraId="4067CC4D" w14:textId="77777777" w:rsidR="00850442" w:rsidRPr="002066C9" w:rsidRDefault="00850442" w:rsidP="00850442">
      <w:pPr>
        <w:pStyle w:val="Kop2"/>
        <w:keepLines/>
        <w:numPr>
          <w:ilvl w:val="1"/>
          <w:numId w:val="1"/>
        </w:numPr>
        <w:spacing w:before="240" w:line="360" w:lineRule="auto"/>
        <w:jc w:val="both"/>
        <w:rPr>
          <w:lang w:val="nl-BE"/>
        </w:rPr>
      </w:pPr>
      <w:r w:rsidRPr="002066C9">
        <w:rPr>
          <w:lang w:val="nl-BE"/>
        </w:rPr>
        <w:t>Wat zijn de “vitale sectoren”?</w:t>
      </w:r>
    </w:p>
    <w:p w14:paraId="69156C07" w14:textId="77777777" w:rsidR="00850442" w:rsidRPr="002066C9" w:rsidRDefault="00850442" w:rsidP="00143279">
      <w:pPr>
        <w:jc w:val="both"/>
        <w:rPr>
          <w:lang w:val="nl-BE"/>
        </w:rPr>
      </w:pPr>
      <w:r w:rsidRPr="002066C9">
        <w:rPr>
          <w:lang w:val="nl-BE"/>
        </w:rPr>
        <w:t>Uit het KB van 23 april 2020</w:t>
      </w:r>
      <w:r>
        <w:rPr>
          <w:rStyle w:val="Voetnootmarkering"/>
        </w:rPr>
        <w:footnoteReference w:id="1"/>
      </w:r>
      <w:r w:rsidRPr="002066C9">
        <w:rPr>
          <w:lang w:val="nl-BE"/>
        </w:rPr>
        <w:t xml:space="preserve"> blijkt dat de vitale sectoren beperkt worden tot de volgende paritaire comités:</w:t>
      </w:r>
    </w:p>
    <w:p w14:paraId="75DE4260" w14:textId="77777777" w:rsidR="00850442" w:rsidRPr="00850442" w:rsidRDefault="00850442" w:rsidP="00143279">
      <w:pPr>
        <w:pStyle w:val="Lijstalinea"/>
        <w:numPr>
          <w:ilvl w:val="0"/>
          <w:numId w:val="2"/>
        </w:numPr>
        <w:jc w:val="both"/>
        <w:rPr>
          <w:lang w:val="nl-BE"/>
        </w:rPr>
      </w:pPr>
      <w:r w:rsidRPr="00850442">
        <w:rPr>
          <w:lang w:val="nl-BE"/>
        </w:rPr>
        <w:t>Paritair Comité voor de landbouw nr. 144, voor zover de werknemer uitsluitend wordt tewerkgesteld op de eigen gronden van de werkgever</w:t>
      </w:r>
    </w:p>
    <w:p w14:paraId="6AA5440D" w14:textId="77777777" w:rsidR="00850442" w:rsidRPr="00850442" w:rsidRDefault="00850442" w:rsidP="00143279">
      <w:pPr>
        <w:pStyle w:val="Lijstalinea"/>
        <w:numPr>
          <w:ilvl w:val="0"/>
          <w:numId w:val="2"/>
        </w:numPr>
        <w:jc w:val="both"/>
        <w:rPr>
          <w:lang w:val="nl-BE"/>
        </w:rPr>
      </w:pPr>
      <w:r w:rsidRPr="00850442">
        <w:rPr>
          <w:lang w:val="nl-BE"/>
        </w:rPr>
        <w:t>Paritair Comité voor het tuinbouwbedrijf nr. 145, Met uitzondering van de sector inplanting en onderhoud van parken en tuinen</w:t>
      </w:r>
    </w:p>
    <w:p w14:paraId="61308535" w14:textId="77777777" w:rsidR="00850442" w:rsidRPr="00850442" w:rsidRDefault="00850442" w:rsidP="00143279">
      <w:pPr>
        <w:pStyle w:val="Lijstalinea"/>
        <w:numPr>
          <w:ilvl w:val="0"/>
          <w:numId w:val="2"/>
        </w:numPr>
        <w:jc w:val="both"/>
        <w:rPr>
          <w:lang w:val="nl-BE"/>
        </w:rPr>
      </w:pPr>
      <w:r w:rsidRPr="00850442">
        <w:rPr>
          <w:lang w:val="nl-BE"/>
        </w:rPr>
        <w:t>Paritair Comité voor het bosbouwbedrijf nr. 146</w:t>
      </w:r>
    </w:p>
    <w:p w14:paraId="1D731DF8" w14:textId="77777777" w:rsidR="00850442" w:rsidRPr="00850442" w:rsidRDefault="00850442" w:rsidP="00143279">
      <w:pPr>
        <w:pStyle w:val="Lijstalinea"/>
        <w:numPr>
          <w:ilvl w:val="0"/>
          <w:numId w:val="2"/>
        </w:numPr>
        <w:jc w:val="both"/>
        <w:rPr>
          <w:lang w:val="nl-BE"/>
        </w:rPr>
      </w:pPr>
      <w:r w:rsidRPr="00850442">
        <w:rPr>
          <w:lang w:val="nl-BE"/>
        </w:rPr>
        <w:lastRenderedPageBreak/>
        <w:t>Paritair Comité voor de uitzendarbeid en de erkende ondernemingen die buurtwerken of –diensten leveren nr. 322, voor zover de uitzendarbeider wordt tewerkgesteld bij een gebruiker in één van de bovengenoemde sectoren</w:t>
      </w:r>
    </w:p>
    <w:p w14:paraId="64517328" w14:textId="77777777" w:rsidR="00850442" w:rsidRDefault="00850442" w:rsidP="00143279">
      <w:pPr>
        <w:jc w:val="both"/>
        <w:rPr>
          <w:i/>
          <w:iCs/>
          <w:lang w:val="nl-BE"/>
        </w:rPr>
      </w:pPr>
    </w:p>
    <w:p w14:paraId="23BBAAFC" w14:textId="77777777" w:rsidR="00850442" w:rsidRDefault="00850442" w:rsidP="00143279">
      <w:pPr>
        <w:jc w:val="both"/>
        <w:rPr>
          <w:lang w:val="nl-BE"/>
        </w:rPr>
      </w:pPr>
      <w:r>
        <w:rPr>
          <w:lang w:val="nl-BE"/>
        </w:rPr>
        <w:t xml:space="preserve">Het nummer van het paritair comité kan teruggevonden worden in de DMFA-stroom, onder de details van het arbeidscontract (zie hieronder een printscreen van </w:t>
      </w:r>
      <w:proofErr w:type="spellStart"/>
      <w:r>
        <w:rPr>
          <w:lang w:val="nl-BE"/>
        </w:rPr>
        <w:t>Primaweb</w:t>
      </w:r>
      <w:proofErr w:type="spellEnd"/>
      <w:r>
        <w:rPr>
          <w:lang w:val="nl-BE"/>
        </w:rPr>
        <w:t>):</w:t>
      </w:r>
    </w:p>
    <w:p w14:paraId="719B5D23" w14:textId="77777777" w:rsidR="00850442" w:rsidRPr="00E01B2B" w:rsidRDefault="00850442" w:rsidP="00850442">
      <w:pPr>
        <w:rPr>
          <w:lang w:val="nl-BE"/>
        </w:rPr>
      </w:pPr>
      <w:r>
        <w:rPr>
          <w:noProof/>
          <w:lang w:val="en-US"/>
        </w:rPr>
        <w:drawing>
          <wp:inline distT="0" distB="0" distL="0" distR="0" wp14:anchorId="5DE738D3" wp14:editId="0A7BE480">
            <wp:extent cx="5842000" cy="1822450"/>
            <wp:effectExtent l="0" t="0" r="6350" b="6350"/>
            <wp:docPr id="1" name="Afbeelding 1" descr="DM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F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00" cy="1822450"/>
                    </a:xfrm>
                    <a:prstGeom prst="rect">
                      <a:avLst/>
                    </a:prstGeom>
                    <a:noFill/>
                    <a:ln>
                      <a:noFill/>
                    </a:ln>
                  </pic:spPr>
                </pic:pic>
              </a:graphicData>
            </a:graphic>
          </wp:inline>
        </w:drawing>
      </w:r>
    </w:p>
    <w:p w14:paraId="7050EE84" w14:textId="77777777" w:rsidR="00850442" w:rsidRDefault="00850442" w:rsidP="00850442">
      <w:pPr>
        <w:rPr>
          <w:i/>
          <w:iCs/>
          <w:lang w:val="nl-BE"/>
        </w:rPr>
      </w:pPr>
    </w:p>
    <w:p w14:paraId="6BDB1FE2" w14:textId="09757A52" w:rsidR="00850442" w:rsidRDefault="00850442" w:rsidP="00143279">
      <w:pPr>
        <w:jc w:val="both"/>
        <w:rPr>
          <w:lang w:val="nl-BE"/>
        </w:rPr>
      </w:pPr>
      <w:r w:rsidRPr="002066C9">
        <w:rPr>
          <w:i/>
          <w:iCs/>
          <w:lang w:val="nl-BE"/>
        </w:rPr>
        <w:t xml:space="preserve">In </w:t>
      </w:r>
      <w:proofErr w:type="spellStart"/>
      <w:r w:rsidRPr="002066C9">
        <w:rPr>
          <w:i/>
          <w:iCs/>
          <w:lang w:val="nl-BE"/>
        </w:rPr>
        <w:t>concreto</w:t>
      </w:r>
      <w:proofErr w:type="spellEnd"/>
      <w:r w:rsidRPr="002066C9">
        <w:rPr>
          <w:lang w:val="nl-BE"/>
        </w:rPr>
        <w:t xml:space="preserve"> gaat het dus om de land-, tuin- en bosbouwsector. Ofwel gaat het om een rechtstreekse tewerkstelling door een werkgever, ofwel om een tewerkstelling als uitzendkracht via een uitzendbureau dat als werkgever fungeert. Bijgevolg zal het loon van een leefloonbegunstigde die voor een beperkte en bepaalde periode werkt in de land-, tuin- of bosbouwsector niet in aanmerking kunnen worden genomen op basis van art. 22, §1, </w:t>
      </w:r>
      <w:r w:rsidR="008565E0">
        <w:rPr>
          <w:lang w:val="nl-BE"/>
        </w:rPr>
        <w:t>s</w:t>
      </w:r>
      <w:r w:rsidRPr="002066C9">
        <w:rPr>
          <w:lang w:val="nl-BE"/>
        </w:rPr>
        <w:t xml:space="preserve">) van het KB van 11 juli 2002. De betrokkene zal dus niet louter omwille van deze inkomsten zijn of haar recht op (aanvullend) leefloon kunnen verliezen of verminderd zien. </w:t>
      </w:r>
    </w:p>
    <w:p w14:paraId="50630A86" w14:textId="77777777" w:rsidR="00850442" w:rsidRPr="002066C9" w:rsidRDefault="00850442" w:rsidP="00850442">
      <w:pPr>
        <w:rPr>
          <w:lang w:val="nl-BE"/>
        </w:rPr>
      </w:pPr>
    </w:p>
    <w:p w14:paraId="0297A667" w14:textId="54899216" w:rsidR="00850442" w:rsidRPr="002066C9" w:rsidRDefault="00850442" w:rsidP="00850442">
      <w:pPr>
        <w:pStyle w:val="Kop2"/>
        <w:keepLines/>
        <w:numPr>
          <w:ilvl w:val="1"/>
          <w:numId w:val="1"/>
        </w:numPr>
        <w:spacing w:before="240" w:line="360" w:lineRule="auto"/>
        <w:jc w:val="both"/>
        <w:rPr>
          <w:lang w:val="nl-BE"/>
        </w:rPr>
      </w:pPr>
      <w:r w:rsidRPr="002066C9">
        <w:rPr>
          <w:lang w:val="nl-BE"/>
        </w:rPr>
        <w:t xml:space="preserve">Vanaf wanneer is er sprake van een tewerkstelling in de zin van art. 22, §1, </w:t>
      </w:r>
      <w:r w:rsidR="008565E0">
        <w:rPr>
          <w:lang w:val="nl-BE"/>
        </w:rPr>
        <w:t>s</w:t>
      </w:r>
      <w:r w:rsidRPr="002066C9">
        <w:rPr>
          <w:lang w:val="nl-BE"/>
        </w:rPr>
        <w:t>) van het KB van 11 juli 2002?</w:t>
      </w:r>
    </w:p>
    <w:p w14:paraId="0ED76A3A" w14:textId="4F66C994" w:rsidR="00850442" w:rsidRDefault="00850442" w:rsidP="00143279">
      <w:pPr>
        <w:jc w:val="both"/>
        <w:rPr>
          <w:lang w:val="nl-BE"/>
        </w:rPr>
      </w:pPr>
      <w:r w:rsidRPr="002066C9">
        <w:rPr>
          <w:lang w:val="nl-BE"/>
        </w:rPr>
        <w:t xml:space="preserve">De activiteit die werd begonnen in een vitale sector moet schriftelijk worden vastgelegd in een arbeidsovereenkomst van bepaalde duur. </w:t>
      </w:r>
      <w:r w:rsidRPr="002A3EE9">
        <w:rPr>
          <w:lang w:val="nl-BE"/>
        </w:rPr>
        <w:t xml:space="preserve">De vrijstelling geldt </w:t>
      </w:r>
      <w:r w:rsidR="00D05912" w:rsidRPr="002A3EE9">
        <w:rPr>
          <w:lang w:val="nl-BE"/>
        </w:rPr>
        <w:t xml:space="preserve">van 1 april </w:t>
      </w:r>
      <w:r w:rsidRPr="002A3EE9">
        <w:rPr>
          <w:lang w:val="nl-BE"/>
        </w:rPr>
        <w:t>tot ten laatste 3</w:t>
      </w:r>
      <w:r w:rsidR="00143279" w:rsidRPr="002A3EE9">
        <w:rPr>
          <w:lang w:val="nl-BE"/>
        </w:rPr>
        <w:t>0</w:t>
      </w:r>
      <w:r w:rsidRPr="002A3EE9">
        <w:rPr>
          <w:lang w:val="nl-BE"/>
        </w:rPr>
        <w:t xml:space="preserve"> </w:t>
      </w:r>
      <w:r w:rsidR="00143279" w:rsidRPr="002A3EE9">
        <w:rPr>
          <w:lang w:val="nl-BE"/>
        </w:rPr>
        <w:t>juni</w:t>
      </w:r>
      <w:r w:rsidRPr="002A3EE9">
        <w:rPr>
          <w:lang w:val="nl-BE"/>
        </w:rPr>
        <w:t xml:space="preserve"> 2020</w:t>
      </w:r>
      <w:r w:rsidR="0065256A">
        <w:rPr>
          <w:lang w:val="nl-BE"/>
        </w:rPr>
        <w:t>, maar zal waarschijnlijk</w:t>
      </w:r>
      <w:r w:rsidR="003F012D" w:rsidRPr="002066C9">
        <w:rPr>
          <w:lang w:val="nl-BE"/>
        </w:rPr>
        <w:t xml:space="preserve"> worden verlengd</w:t>
      </w:r>
      <w:r w:rsidR="003F012D">
        <w:rPr>
          <w:lang w:val="nl-BE"/>
        </w:rPr>
        <w:t>.</w:t>
      </w:r>
    </w:p>
    <w:p w14:paraId="35500902" w14:textId="77777777" w:rsidR="001443B6" w:rsidRPr="002066C9" w:rsidRDefault="001443B6" w:rsidP="00143279">
      <w:pPr>
        <w:jc w:val="both"/>
        <w:rPr>
          <w:lang w:val="nl-BE"/>
        </w:rPr>
      </w:pPr>
    </w:p>
    <w:p w14:paraId="7912FE5F" w14:textId="77777777" w:rsidR="00850442" w:rsidRDefault="00850442" w:rsidP="00143279">
      <w:pPr>
        <w:jc w:val="both"/>
        <w:rPr>
          <w:lang w:val="nl-BE"/>
        </w:rPr>
      </w:pPr>
      <w:r w:rsidRPr="002066C9">
        <w:rPr>
          <w:lang w:val="nl-BE"/>
        </w:rPr>
        <w:t>Het is tevens mogelijk om te werken bij meerdere werkgevers die deel uitmaken van de vitale sectoren. Er is geen opgelegde beperking, waardoor men achtereenvolgens of tezelfdertijd kan werken voor één of meerdere werkgevers uit een vitale sector. Als er voor meerdere werkgevers gewerkt wordt, moet elk van die activiteiten weliswaar gemeld worden aan het OCMW.</w:t>
      </w:r>
    </w:p>
    <w:p w14:paraId="68B58868" w14:textId="77777777" w:rsidR="00850442" w:rsidRPr="002066C9" w:rsidRDefault="00850442" w:rsidP="00850442">
      <w:pPr>
        <w:rPr>
          <w:lang w:val="nl-BE"/>
        </w:rPr>
      </w:pPr>
    </w:p>
    <w:p w14:paraId="173EEE67" w14:textId="77777777" w:rsidR="00850442" w:rsidRDefault="00850442" w:rsidP="00850442">
      <w:pPr>
        <w:pStyle w:val="Kop2"/>
        <w:keepLines/>
        <w:numPr>
          <w:ilvl w:val="1"/>
          <w:numId w:val="1"/>
        </w:numPr>
        <w:spacing w:before="240" w:line="360" w:lineRule="auto"/>
        <w:jc w:val="both"/>
      </w:pPr>
      <w:proofErr w:type="spellStart"/>
      <w:r>
        <w:lastRenderedPageBreak/>
        <w:t>Medewerkingsplicht</w:t>
      </w:r>
      <w:proofErr w:type="spellEnd"/>
      <w:r>
        <w:t xml:space="preserve"> </w:t>
      </w:r>
      <w:proofErr w:type="spellStart"/>
      <w:r>
        <w:t>ten</w:t>
      </w:r>
      <w:proofErr w:type="spellEnd"/>
      <w:r>
        <w:t xml:space="preserve"> </w:t>
      </w:r>
      <w:proofErr w:type="spellStart"/>
      <w:r>
        <w:t>aanzien</w:t>
      </w:r>
      <w:proofErr w:type="spellEnd"/>
      <w:r>
        <w:t xml:space="preserve"> van OCMW</w:t>
      </w:r>
    </w:p>
    <w:p w14:paraId="644C991E" w14:textId="77777777" w:rsidR="00850442" w:rsidRDefault="00850442" w:rsidP="00A11071">
      <w:pPr>
        <w:jc w:val="both"/>
        <w:rPr>
          <w:lang w:val="nl-BE"/>
        </w:rPr>
      </w:pPr>
      <w:r w:rsidRPr="002066C9">
        <w:rPr>
          <w:lang w:val="nl-BE"/>
        </w:rPr>
        <w:t>In het kader van de medewerkingsplicht is het van belang dat de betrokkene het OCMW verwittigt wanneer men van zins is om uitzonderlijk een tijdelijke loontrekkende activiteit aan te vatten bij een werkgever of verschillende werkgevers die behoren tot één of meer van de vitale sectoren. Logischerwijs dient de betrokkene in dit kader ook melding te maken wanneer hij of zij beslist deze tewerkstelling stop te zetten.</w:t>
      </w:r>
    </w:p>
    <w:p w14:paraId="699AFA79" w14:textId="77777777" w:rsidR="00850442" w:rsidRPr="002066C9" w:rsidRDefault="00850442" w:rsidP="00850442">
      <w:pPr>
        <w:rPr>
          <w:lang w:val="nl-BE"/>
        </w:rPr>
      </w:pPr>
    </w:p>
    <w:p w14:paraId="7987E758" w14:textId="77777777" w:rsidR="00850442" w:rsidRDefault="00850442" w:rsidP="00850442">
      <w:pPr>
        <w:pStyle w:val="Kop2"/>
        <w:keepLines/>
        <w:numPr>
          <w:ilvl w:val="1"/>
          <w:numId w:val="1"/>
        </w:numPr>
        <w:spacing w:before="240" w:line="360" w:lineRule="auto"/>
        <w:jc w:val="both"/>
      </w:pPr>
      <w:proofErr w:type="spellStart"/>
      <w:r>
        <w:t>Geldigheidsduur</w:t>
      </w:r>
      <w:proofErr w:type="spellEnd"/>
    </w:p>
    <w:p w14:paraId="6F63CAD6" w14:textId="30286FC3" w:rsidR="00850442" w:rsidRPr="008439FB" w:rsidRDefault="00850442" w:rsidP="00A11071">
      <w:pPr>
        <w:jc w:val="both"/>
        <w:rPr>
          <w:lang w:val="nl-BE"/>
        </w:rPr>
      </w:pPr>
      <w:r w:rsidRPr="002066C9">
        <w:rPr>
          <w:lang w:val="nl-BE"/>
        </w:rPr>
        <w:t>Deze maatregel heeft uitwerking van 1 april 2020</w:t>
      </w:r>
      <w:r w:rsidR="003F012D">
        <w:rPr>
          <w:lang w:val="nl-BE"/>
        </w:rPr>
        <w:t xml:space="preserve"> tot en met</w:t>
      </w:r>
      <w:r w:rsidRPr="002066C9">
        <w:rPr>
          <w:lang w:val="nl-BE"/>
        </w:rPr>
        <w:t xml:space="preserve"> </w:t>
      </w:r>
      <w:r w:rsidRPr="002A3EE9">
        <w:rPr>
          <w:lang w:val="nl-BE"/>
        </w:rPr>
        <w:t>3</w:t>
      </w:r>
      <w:r w:rsidR="008439FB" w:rsidRPr="002A3EE9">
        <w:rPr>
          <w:lang w:val="nl-BE"/>
        </w:rPr>
        <w:t>0 juni</w:t>
      </w:r>
      <w:r w:rsidRPr="002A3EE9">
        <w:rPr>
          <w:lang w:val="nl-BE"/>
        </w:rPr>
        <w:t xml:space="preserve"> 2020</w:t>
      </w:r>
      <w:r w:rsidR="0065256A">
        <w:rPr>
          <w:lang w:val="nl-BE"/>
        </w:rPr>
        <w:t>, maar zal waarschijnlijk wo</w:t>
      </w:r>
      <w:r w:rsidR="003F012D" w:rsidRPr="002066C9">
        <w:rPr>
          <w:lang w:val="nl-BE"/>
        </w:rPr>
        <w:t>rden verlengd</w:t>
      </w:r>
      <w:r w:rsidR="003F012D">
        <w:rPr>
          <w:lang w:val="nl-BE"/>
        </w:rPr>
        <w:t>.</w:t>
      </w:r>
    </w:p>
    <w:p w14:paraId="626955AC" w14:textId="77777777" w:rsidR="00850442" w:rsidRDefault="00850442" w:rsidP="00850442">
      <w:pPr>
        <w:pStyle w:val="Kop1"/>
        <w:keepLines/>
        <w:numPr>
          <w:ilvl w:val="0"/>
          <w:numId w:val="1"/>
        </w:numPr>
        <w:spacing w:before="240" w:line="360" w:lineRule="auto"/>
        <w:jc w:val="both"/>
        <w:rPr>
          <w:lang w:val="nl-BE"/>
        </w:rPr>
      </w:pPr>
      <w:r w:rsidRPr="002066C9">
        <w:rPr>
          <w:lang w:val="nl-BE"/>
        </w:rPr>
        <w:t>Tijdelijke gelijkstelling beurs- en niet-beursstudenten</w:t>
      </w:r>
    </w:p>
    <w:p w14:paraId="7E0890E8" w14:textId="77777777" w:rsidR="00850442" w:rsidRPr="00BA4277" w:rsidRDefault="00850442" w:rsidP="00850442">
      <w:pPr>
        <w:rPr>
          <w:lang w:val="nl-BE"/>
        </w:rPr>
      </w:pPr>
    </w:p>
    <w:p w14:paraId="29AC03ED" w14:textId="77777777" w:rsidR="00850442" w:rsidRPr="002066C9" w:rsidRDefault="00850442" w:rsidP="008439FB">
      <w:pPr>
        <w:pBdr>
          <w:top w:val="single" w:sz="4" w:space="1" w:color="auto"/>
          <w:left w:val="single" w:sz="4" w:space="4" w:color="auto"/>
          <w:bottom w:val="single" w:sz="4" w:space="1" w:color="auto"/>
          <w:right w:val="single" w:sz="4" w:space="4" w:color="auto"/>
          <w:bar w:val="single" w:sz="4" w:color="auto"/>
        </w:pBdr>
        <w:jc w:val="both"/>
        <w:rPr>
          <w:i/>
          <w:iCs/>
          <w:lang w:val="nl-BE"/>
        </w:rPr>
      </w:pPr>
      <w:r w:rsidRPr="002066C9">
        <w:rPr>
          <w:i/>
          <w:iCs/>
          <w:lang w:val="nl-BE"/>
        </w:rPr>
        <w:t xml:space="preserve">Artikel 35 paragraaf 2, van het koninklijk besluit van 11 juli 2002 houdende het algemeen reglement betreffende het recht op maatschappelijke integratie wordt aangevuld met een lid, luidende: : </w:t>
      </w:r>
    </w:p>
    <w:p w14:paraId="471F6773" w14:textId="43AE8AC7" w:rsidR="00850442" w:rsidRPr="002066C9" w:rsidRDefault="00850442" w:rsidP="008439FB">
      <w:pPr>
        <w:pBdr>
          <w:top w:val="single" w:sz="4" w:space="1" w:color="auto"/>
          <w:left w:val="single" w:sz="4" w:space="4" w:color="auto"/>
          <w:bottom w:val="single" w:sz="4" w:space="1" w:color="auto"/>
          <w:right w:val="single" w:sz="4" w:space="4" w:color="auto"/>
          <w:bar w:val="single" w:sz="4" w:color="auto"/>
        </w:pBdr>
        <w:jc w:val="both"/>
        <w:rPr>
          <w:i/>
          <w:iCs/>
          <w:lang w:val="nl-BE"/>
        </w:rPr>
      </w:pPr>
      <w:r w:rsidRPr="002066C9">
        <w:rPr>
          <w:i/>
          <w:iCs/>
          <w:lang w:val="nl-BE"/>
        </w:rPr>
        <w:t xml:space="preserve">“In afwijking van het eerste lid,  worden de netto-inkomsten verworven door tewerkstelling in aanmerking genomen onder aftrek van een bedrag van 177,76 EUR per maand voor de jongeren die genieten van een studiebeurs </w:t>
      </w:r>
      <w:r w:rsidRPr="002066C9">
        <w:rPr>
          <w:i/>
          <w:iCs/>
          <w:u w:val="single"/>
          <w:lang w:val="nl-BE"/>
        </w:rPr>
        <w:t>gedurende de periode bepaald in artikel 7 van het koninklijk besluit van 23 april 2020</w:t>
      </w:r>
      <w:r w:rsidRPr="002066C9">
        <w:rPr>
          <w:i/>
          <w:iCs/>
          <w:lang w:val="nl-BE"/>
        </w:rPr>
        <w:t xml:space="preserve"> tot het tijdelijk versoepelen van de voorwaarden waaronder werklozen, al dan niet met  bedrijfstoeslag, kunnen worden tewerkgesteld in vitale sectoren en tot het tijdelijk bevriezen van de degressiviteit van de volledige werkloosheidsuitkering.”</w:t>
      </w:r>
    </w:p>
    <w:p w14:paraId="1AD08424" w14:textId="77777777" w:rsidR="00850442" w:rsidRDefault="00850442" w:rsidP="00850442">
      <w:pPr>
        <w:rPr>
          <w:lang w:val="nl-BE"/>
        </w:rPr>
      </w:pPr>
    </w:p>
    <w:p w14:paraId="4C6A18FE" w14:textId="75365825" w:rsidR="00850442" w:rsidRDefault="00850442" w:rsidP="008439FB">
      <w:pPr>
        <w:jc w:val="both"/>
        <w:rPr>
          <w:lang w:val="nl-BE"/>
        </w:rPr>
      </w:pPr>
      <w:r w:rsidRPr="002066C9">
        <w:rPr>
          <w:lang w:val="nl-BE"/>
        </w:rPr>
        <w:t xml:space="preserve">Zoals voordien al aangehaald wordt hierdoor gedurende </w:t>
      </w:r>
      <w:r w:rsidRPr="002A3EE9">
        <w:rPr>
          <w:lang w:val="nl-BE"/>
        </w:rPr>
        <w:t xml:space="preserve">een bepaalde </w:t>
      </w:r>
      <w:r w:rsidR="008439FB" w:rsidRPr="002A3EE9">
        <w:rPr>
          <w:lang w:val="nl-BE"/>
        </w:rPr>
        <w:t>en beperkte</w:t>
      </w:r>
      <w:r w:rsidR="008439FB">
        <w:rPr>
          <w:lang w:val="nl-BE"/>
        </w:rPr>
        <w:t xml:space="preserve"> </w:t>
      </w:r>
      <w:r w:rsidRPr="002066C9">
        <w:rPr>
          <w:lang w:val="nl-BE"/>
        </w:rPr>
        <w:t xml:space="preserve">periode het verschil in SPI-vrijstelling van beurs- en niet-beursstudenten weggewerkt. Er wordt hierbij immers rekening gehouden met het feit dat de </w:t>
      </w:r>
      <w:proofErr w:type="spellStart"/>
      <w:r w:rsidRPr="002066C9">
        <w:rPr>
          <w:lang w:val="nl-BE"/>
        </w:rPr>
        <w:t>lockdown</w:t>
      </w:r>
      <w:proofErr w:type="spellEnd"/>
      <w:r w:rsidRPr="002066C9">
        <w:rPr>
          <w:lang w:val="nl-BE"/>
        </w:rPr>
        <w:t xml:space="preserve"> een invloed heeft op elke student die arbeid verricht, ongeacht of deze een beurs ontvangt of niet. In tegenstelling tot de maatregel die een tijdelijke tewerkstelling in een vitale sector cumuleert met een leefloon, is de maatregel betreffende de studenten niet gelinkt aan een vitale sector. </w:t>
      </w:r>
      <w:r w:rsidR="00DE4DDC">
        <w:rPr>
          <w:lang w:val="nl-BE"/>
        </w:rPr>
        <w:t>De maatregelen k</w:t>
      </w:r>
      <w:r w:rsidR="00D05912">
        <w:rPr>
          <w:lang w:val="nl-BE"/>
        </w:rPr>
        <w:t>unnen</w:t>
      </w:r>
      <w:r w:rsidR="00DE4DDC">
        <w:rPr>
          <w:lang w:val="nl-BE"/>
        </w:rPr>
        <w:t xml:space="preserve"> dus toegepast worden voor</w:t>
      </w:r>
      <w:r w:rsidRPr="002066C9">
        <w:rPr>
          <w:lang w:val="nl-BE"/>
        </w:rPr>
        <w:t xml:space="preserve"> arbeid verricht in zowel vitale sectoren als in niet-vitale sectoren gedurende de COVID-19 crisis.</w:t>
      </w:r>
    </w:p>
    <w:p w14:paraId="7D02A076" w14:textId="77777777" w:rsidR="00D05912" w:rsidRDefault="00D05912" w:rsidP="00850442">
      <w:pPr>
        <w:rPr>
          <w:lang w:val="nl-BE"/>
        </w:rPr>
      </w:pPr>
      <w:bookmarkStart w:id="1" w:name="_Hlk41646843"/>
    </w:p>
    <w:p w14:paraId="1D4D9FCB" w14:textId="33645AEA" w:rsidR="00850442" w:rsidRDefault="00760CD5" w:rsidP="001443B6">
      <w:pPr>
        <w:jc w:val="both"/>
        <w:rPr>
          <w:lang w:val="nl-BE"/>
        </w:rPr>
      </w:pPr>
      <w:r>
        <w:rPr>
          <w:lang w:val="nl-BE"/>
        </w:rPr>
        <w:t>Dus in het ge</w:t>
      </w:r>
      <w:r w:rsidR="0024732A">
        <w:rPr>
          <w:lang w:val="nl-BE"/>
        </w:rPr>
        <w:t xml:space="preserve">val van </w:t>
      </w:r>
      <w:r>
        <w:rPr>
          <w:lang w:val="nl-BE"/>
        </w:rPr>
        <w:t>een student</w:t>
      </w:r>
      <w:r w:rsidR="0024732A">
        <w:rPr>
          <w:lang w:val="nl-BE"/>
        </w:rPr>
        <w:t xml:space="preserve"> die</w:t>
      </w:r>
      <w:r>
        <w:rPr>
          <w:lang w:val="nl-BE"/>
        </w:rPr>
        <w:t xml:space="preserve"> in een vitale sector werkt, mogen deze inkomsten niet in </w:t>
      </w:r>
      <w:r w:rsidR="0024732A">
        <w:rPr>
          <w:lang w:val="nl-BE"/>
        </w:rPr>
        <w:t>aanmerking genomen worden op grond van artikel 22</w:t>
      </w:r>
      <w:r w:rsidR="0024732A" w:rsidRPr="0024732A">
        <w:rPr>
          <w:lang w:val="nl-BE"/>
        </w:rPr>
        <w:t xml:space="preserve">, §1, </w:t>
      </w:r>
      <w:r w:rsidR="008565E0">
        <w:rPr>
          <w:lang w:val="nl-BE"/>
        </w:rPr>
        <w:t>s</w:t>
      </w:r>
      <w:r w:rsidR="0024732A" w:rsidRPr="0024732A">
        <w:rPr>
          <w:lang w:val="nl-BE"/>
        </w:rPr>
        <w:t xml:space="preserve">) van het KB van 11 </w:t>
      </w:r>
      <w:r w:rsidR="0024732A" w:rsidRPr="0024732A">
        <w:rPr>
          <w:lang w:val="nl-BE"/>
        </w:rPr>
        <w:lastRenderedPageBreak/>
        <w:t>juli 2002</w:t>
      </w:r>
      <w:r w:rsidR="0024732A">
        <w:rPr>
          <w:lang w:val="nl-BE"/>
        </w:rPr>
        <w:t xml:space="preserve">. Het is niet nodig om artikel 35 van het KB van 11 juli 2002 toe te passen op deze inkomsten </w:t>
      </w:r>
      <w:r w:rsidR="00F51C95">
        <w:rPr>
          <w:lang w:val="nl-BE"/>
        </w:rPr>
        <w:t>aan</w:t>
      </w:r>
      <w:r w:rsidR="0024732A">
        <w:rPr>
          <w:lang w:val="nl-BE"/>
        </w:rPr>
        <w:t xml:space="preserve">gezien het OCMW geen rekening mag houden met deze inkomsten. </w:t>
      </w:r>
      <w:r w:rsidR="00F51C95">
        <w:rPr>
          <w:lang w:val="nl-BE"/>
        </w:rPr>
        <w:t>Indien</w:t>
      </w:r>
      <w:r w:rsidR="0024732A">
        <w:rPr>
          <w:lang w:val="nl-BE"/>
        </w:rPr>
        <w:t xml:space="preserve"> de student gedurende dezelfde periode in een vitale sector EN in een niet-vitale sector</w:t>
      </w:r>
      <w:r w:rsidR="00F51C95">
        <w:rPr>
          <w:lang w:val="nl-BE"/>
        </w:rPr>
        <w:t xml:space="preserve"> werkt</w:t>
      </w:r>
      <w:r w:rsidR="0024732A">
        <w:rPr>
          <w:lang w:val="nl-BE"/>
        </w:rPr>
        <w:t xml:space="preserve">, dan </w:t>
      </w:r>
      <w:r w:rsidR="00F51C95">
        <w:rPr>
          <w:lang w:val="nl-BE"/>
        </w:rPr>
        <w:t>moet</w:t>
      </w:r>
      <w:r w:rsidR="0024732A">
        <w:rPr>
          <w:lang w:val="nl-BE"/>
        </w:rPr>
        <w:t xml:space="preserve"> artikel 35 van het KB van 11 juli 20020 worden toegepast op het deel van de inkomsten d</w:t>
      </w:r>
      <w:r w:rsidR="00F51C95">
        <w:rPr>
          <w:lang w:val="nl-BE"/>
        </w:rPr>
        <w:t>at</w:t>
      </w:r>
      <w:r w:rsidR="0024732A">
        <w:rPr>
          <w:lang w:val="nl-BE"/>
        </w:rPr>
        <w:t xml:space="preserve"> niet afkomstig </w:t>
      </w:r>
      <w:r w:rsidR="00F51C95">
        <w:rPr>
          <w:lang w:val="nl-BE"/>
        </w:rPr>
        <w:t xml:space="preserve">is van het werk dat in </w:t>
      </w:r>
      <w:r w:rsidR="0024732A">
        <w:rPr>
          <w:lang w:val="nl-BE"/>
        </w:rPr>
        <w:t>de vitale sector</w:t>
      </w:r>
      <w:r w:rsidR="00F51C95">
        <w:rPr>
          <w:lang w:val="nl-BE"/>
        </w:rPr>
        <w:t xml:space="preserve"> werd verricht</w:t>
      </w:r>
      <w:r w:rsidR="0024732A">
        <w:rPr>
          <w:lang w:val="nl-BE"/>
        </w:rPr>
        <w:t>.</w:t>
      </w:r>
    </w:p>
    <w:p w14:paraId="06892CB4" w14:textId="77777777" w:rsidR="00F51C95" w:rsidRPr="002066C9" w:rsidRDefault="00F51C95" w:rsidP="00850442">
      <w:pPr>
        <w:rPr>
          <w:lang w:val="nl-BE"/>
        </w:rPr>
      </w:pPr>
    </w:p>
    <w:bookmarkEnd w:id="1"/>
    <w:p w14:paraId="45F7E837" w14:textId="77777777" w:rsidR="00850442" w:rsidRDefault="00850442" w:rsidP="00850442">
      <w:pPr>
        <w:pStyle w:val="Kop2"/>
        <w:keepLines/>
        <w:numPr>
          <w:ilvl w:val="1"/>
          <w:numId w:val="1"/>
        </w:numPr>
        <w:spacing w:before="240" w:line="360" w:lineRule="auto"/>
        <w:jc w:val="both"/>
      </w:pPr>
      <w:proofErr w:type="spellStart"/>
      <w:r>
        <w:t>Geldigheidsduur</w:t>
      </w:r>
      <w:proofErr w:type="spellEnd"/>
    </w:p>
    <w:p w14:paraId="52946C08" w14:textId="29D57BB6" w:rsidR="00850442" w:rsidRPr="008439FB" w:rsidRDefault="00850442" w:rsidP="001443B6">
      <w:pPr>
        <w:jc w:val="both"/>
        <w:rPr>
          <w:lang w:val="nl-BE"/>
        </w:rPr>
      </w:pPr>
      <w:r w:rsidRPr="002066C9">
        <w:rPr>
          <w:lang w:val="nl-BE"/>
        </w:rPr>
        <w:t>Deze maatregel heeft uitwerking met ingang van 1 mei 2020</w:t>
      </w:r>
      <w:r w:rsidR="003F012D">
        <w:rPr>
          <w:lang w:val="nl-BE"/>
        </w:rPr>
        <w:t xml:space="preserve"> en eindigt op</w:t>
      </w:r>
      <w:r w:rsidRPr="00BB60C5">
        <w:rPr>
          <w:lang w:val="nl-BE"/>
        </w:rPr>
        <w:t xml:space="preserve"> </w:t>
      </w:r>
      <w:r w:rsidR="008439FB" w:rsidRPr="00BB60C5">
        <w:rPr>
          <w:lang w:val="nl-BE"/>
        </w:rPr>
        <w:t>30</w:t>
      </w:r>
      <w:r w:rsidRPr="00BB60C5">
        <w:rPr>
          <w:lang w:val="nl-BE"/>
        </w:rPr>
        <w:t xml:space="preserve"> </w:t>
      </w:r>
      <w:r w:rsidR="008439FB" w:rsidRPr="00BB60C5">
        <w:rPr>
          <w:lang w:val="nl-BE"/>
        </w:rPr>
        <w:t>juni</w:t>
      </w:r>
      <w:r w:rsidRPr="00BB60C5">
        <w:rPr>
          <w:lang w:val="nl-BE"/>
        </w:rPr>
        <w:t xml:space="preserve"> 2020</w:t>
      </w:r>
      <w:r w:rsidR="0065256A">
        <w:rPr>
          <w:lang w:val="nl-BE"/>
        </w:rPr>
        <w:t>, maar zal waarschijnlijk</w:t>
      </w:r>
      <w:r w:rsidR="003F012D" w:rsidRPr="002066C9">
        <w:rPr>
          <w:lang w:val="nl-BE"/>
        </w:rPr>
        <w:t xml:space="preserve"> worden verlengd</w:t>
      </w:r>
      <w:r w:rsidR="003F012D">
        <w:rPr>
          <w:lang w:val="nl-BE"/>
        </w:rPr>
        <w:t>.</w:t>
      </w:r>
    </w:p>
    <w:p w14:paraId="230157E2" w14:textId="77777777" w:rsidR="00850442" w:rsidRPr="008439FB" w:rsidRDefault="00850442" w:rsidP="00850442">
      <w:pPr>
        <w:rPr>
          <w:lang w:val="nl-BE"/>
        </w:rPr>
      </w:pPr>
    </w:p>
    <w:p w14:paraId="05953EF0" w14:textId="77777777" w:rsidR="00850442" w:rsidRPr="008E6F1A" w:rsidRDefault="00850442" w:rsidP="00850442">
      <w:pPr>
        <w:pStyle w:val="Kop2"/>
        <w:keepLines/>
        <w:numPr>
          <w:ilvl w:val="1"/>
          <w:numId w:val="1"/>
        </w:numPr>
        <w:spacing w:before="240" w:line="360" w:lineRule="auto"/>
        <w:jc w:val="both"/>
      </w:pPr>
      <w:proofErr w:type="spellStart"/>
      <w:r>
        <w:t>Encodering</w:t>
      </w:r>
      <w:proofErr w:type="spellEnd"/>
    </w:p>
    <w:p w14:paraId="499C3BC1" w14:textId="750C1E0E" w:rsidR="00850442" w:rsidRDefault="00850442" w:rsidP="008439FB">
      <w:pPr>
        <w:jc w:val="both"/>
        <w:rPr>
          <w:lang w:val="nl-BE"/>
        </w:rPr>
      </w:pPr>
      <w:r w:rsidRPr="002066C9">
        <w:rPr>
          <w:lang w:val="nl-BE"/>
        </w:rPr>
        <w:t xml:space="preserve">Wat het </w:t>
      </w:r>
      <w:proofErr w:type="spellStart"/>
      <w:r w:rsidRPr="002066C9">
        <w:rPr>
          <w:lang w:val="nl-BE"/>
        </w:rPr>
        <w:t>encoderen</w:t>
      </w:r>
      <w:proofErr w:type="spellEnd"/>
      <w:r w:rsidRPr="002066C9">
        <w:rPr>
          <w:lang w:val="nl-BE"/>
        </w:rPr>
        <w:t xml:space="preserve"> gedurende deze beperkte periode betreft in de applicatie Novaprima, volstaat het om de studenten die genieten van een studiebeurs te </w:t>
      </w:r>
      <w:proofErr w:type="spellStart"/>
      <w:r w:rsidRPr="002066C9">
        <w:rPr>
          <w:lang w:val="nl-BE"/>
        </w:rPr>
        <w:t>encoderen</w:t>
      </w:r>
      <w:proofErr w:type="spellEnd"/>
      <w:r w:rsidRPr="002066C9">
        <w:rPr>
          <w:lang w:val="nl-BE"/>
        </w:rPr>
        <w:t xml:space="preserve"> met de code bepaald voor studenten die niet genieten van een studiebeurs. </w:t>
      </w:r>
      <w:r w:rsidRPr="00850442">
        <w:rPr>
          <w:lang w:val="nl-BE"/>
        </w:rPr>
        <w:t xml:space="preserve">Er zijn geen wijzigingen in de codes gebeurd. </w:t>
      </w:r>
    </w:p>
    <w:p w14:paraId="6CE9F6AB" w14:textId="66A8FA6D" w:rsidR="006E496C" w:rsidRDefault="006E496C" w:rsidP="008439FB">
      <w:pPr>
        <w:jc w:val="both"/>
        <w:rPr>
          <w:lang w:val="nl-BE"/>
        </w:rPr>
      </w:pPr>
    </w:p>
    <w:p w14:paraId="09AD284B" w14:textId="77777777" w:rsidR="00850442" w:rsidRDefault="00850442" w:rsidP="00850442">
      <w:pPr>
        <w:pStyle w:val="Koptekst"/>
        <w:spacing w:line="288" w:lineRule="auto"/>
        <w:jc w:val="both"/>
        <w:rPr>
          <w:rFonts w:ascii="Calibri" w:hAnsi="Calibri"/>
          <w:lang w:val="nl-BE"/>
        </w:rPr>
      </w:pPr>
    </w:p>
    <w:p w14:paraId="52EF7C2B" w14:textId="77777777" w:rsidR="00850442" w:rsidRDefault="00850442" w:rsidP="00850442">
      <w:pPr>
        <w:pStyle w:val="Koptekst"/>
        <w:spacing w:line="288" w:lineRule="auto"/>
        <w:jc w:val="both"/>
        <w:rPr>
          <w:rFonts w:ascii="Calibri" w:hAnsi="Calibri"/>
          <w:lang w:val="nl-BE"/>
        </w:rPr>
      </w:pPr>
    </w:p>
    <w:p w14:paraId="487B5CEE" w14:textId="77777777" w:rsidR="00850442" w:rsidRPr="00407171" w:rsidRDefault="00850442" w:rsidP="00850442">
      <w:pPr>
        <w:pStyle w:val="Koptekst"/>
        <w:spacing w:line="288" w:lineRule="auto"/>
        <w:jc w:val="both"/>
        <w:rPr>
          <w:rFonts w:ascii="Calibri" w:hAnsi="Calibri"/>
          <w:lang w:val="nl-BE"/>
        </w:rPr>
      </w:pPr>
    </w:p>
    <w:p w14:paraId="3FA8F219" w14:textId="77777777" w:rsidR="00850442" w:rsidRPr="00407171" w:rsidRDefault="00850442" w:rsidP="00850442">
      <w:pPr>
        <w:rPr>
          <w:bCs/>
          <w:lang w:val="nl-BE"/>
        </w:rPr>
      </w:pPr>
      <w:r w:rsidRPr="00407171">
        <w:rPr>
          <w:lang w:val="nl-NL"/>
        </w:rPr>
        <w:t>Hoogachtend,</w:t>
      </w:r>
    </w:p>
    <w:p w14:paraId="4F5C888A" w14:textId="77777777" w:rsidR="00850442" w:rsidRPr="00D86C3F" w:rsidRDefault="00850442" w:rsidP="00850442">
      <w:pPr>
        <w:rPr>
          <w:rFonts w:ascii="Times New Roman" w:hAnsi="Times New Roman"/>
          <w:bCs/>
          <w:lang w:val="nl-BE"/>
        </w:rPr>
      </w:pPr>
    </w:p>
    <w:p w14:paraId="2BEEFFB5" w14:textId="77777777" w:rsidR="00850442" w:rsidRDefault="00850442" w:rsidP="00850442">
      <w:pPr>
        <w:rPr>
          <w:lang w:val="nl-BE"/>
        </w:rPr>
      </w:pPr>
      <w:r>
        <w:rPr>
          <w:lang w:val="nl-BE"/>
        </w:rPr>
        <w:tab/>
      </w:r>
    </w:p>
    <w:p w14:paraId="0AD499F9" w14:textId="77777777" w:rsidR="00850442" w:rsidRDefault="00850442" w:rsidP="00850442">
      <w:pPr>
        <w:rPr>
          <w:lang w:val="nl-NL"/>
        </w:rPr>
      </w:pPr>
    </w:p>
    <w:p w14:paraId="1923A96B" w14:textId="77777777" w:rsidR="00850442" w:rsidRPr="00407171" w:rsidRDefault="00850442" w:rsidP="001443B6">
      <w:pPr>
        <w:ind w:left="3600"/>
        <w:jc w:val="center"/>
        <w:rPr>
          <w:lang w:val="nl-NL"/>
        </w:rPr>
      </w:pPr>
      <w:r w:rsidRPr="00407171">
        <w:rPr>
          <w:lang w:val="nl-NL"/>
        </w:rPr>
        <w:t>De Minister van M</w:t>
      </w:r>
      <w:r>
        <w:rPr>
          <w:lang w:val="nl-NL"/>
        </w:rPr>
        <w:t xml:space="preserve">iddenstand, Zelfstandigen, </w:t>
      </w:r>
      <w:proofErr w:type="spellStart"/>
      <w:r>
        <w:rPr>
          <w:lang w:val="nl-NL"/>
        </w:rPr>
        <w:t>KMO’s</w:t>
      </w:r>
      <w:proofErr w:type="spellEnd"/>
      <w:r>
        <w:rPr>
          <w:lang w:val="nl-NL"/>
        </w:rPr>
        <w:t>, Landbouw en M</w:t>
      </w:r>
      <w:r w:rsidRPr="00407171">
        <w:rPr>
          <w:lang w:val="nl-NL"/>
        </w:rPr>
        <w:t>aatschappelijke Integratie,</w:t>
      </w:r>
    </w:p>
    <w:p w14:paraId="08273E0C" w14:textId="77777777" w:rsidR="00850442" w:rsidRPr="00407171" w:rsidRDefault="00850442" w:rsidP="001443B6">
      <w:pPr>
        <w:ind w:left="3600"/>
        <w:jc w:val="center"/>
        <w:rPr>
          <w:bCs/>
          <w:lang w:val="nl-NL"/>
        </w:rPr>
      </w:pPr>
    </w:p>
    <w:p w14:paraId="64841378" w14:textId="77777777" w:rsidR="00850442" w:rsidRPr="00407171" w:rsidRDefault="00850442" w:rsidP="001443B6">
      <w:pPr>
        <w:ind w:left="3600"/>
        <w:jc w:val="center"/>
        <w:rPr>
          <w:bCs/>
          <w:lang w:val="nl-NL"/>
        </w:rPr>
      </w:pPr>
    </w:p>
    <w:p w14:paraId="39EBDCE1" w14:textId="77777777" w:rsidR="00850442" w:rsidRPr="00407171" w:rsidRDefault="00850442" w:rsidP="001443B6">
      <w:pPr>
        <w:ind w:left="3600"/>
        <w:jc w:val="center"/>
        <w:rPr>
          <w:bCs/>
          <w:lang w:val="nl-NL"/>
        </w:rPr>
      </w:pPr>
    </w:p>
    <w:p w14:paraId="28856800" w14:textId="77777777" w:rsidR="00850442" w:rsidRPr="00407171" w:rsidRDefault="00850442" w:rsidP="001443B6">
      <w:pPr>
        <w:ind w:left="3600"/>
        <w:jc w:val="center"/>
        <w:rPr>
          <w:bCs/>
          <w:lang w:val="nl-NL"/>
        </w:rPr>
      </w:pPr>
    </w:p>
    <w:p w14:paraId="20F38DAF" w14:textId="0295148B" w:rsidR="00850442" w:rsidRPr="00407171" w:rsidRDefault="00AE5D6B" w:rsidP="001443B6">
      <w:pPr>
        <w:ind w:left="3600"/>
        <w:jc w:val="center"/>
        <w:rPr>
          <w:bCs/>
          <w:lang w:val="nl-NL"/>
        </w:rPr>
      </w:pPr>
      <w:r>
        <w:rPr>
          <w:bCs/>
          <w:lang w:val="nl-NL"/>
        </w:rPr>
        <w:t>Getekend</w:t>
      </w:r>
    </w:p>
    <w:p w14:paraId="3A8F4991" w14:textId="77777777" w:rsidR="00850442" w:rsidRPr="00407171" w:rsidRDefault="00850442" w:rsidP="001443B6">
      <w:pPr>
        <w:ind w:left="3600"/>
        <w:jc w:val="center"/>
        <w:rPr>
          <w:bCs/>
          <w:lang w:val="nl-NL"/>
        </w:rPr>
      </w:pPr>
    </w:p>
    <w:p w14:paraId="26061519" w14:textId="77777777" w:rsidR="00850442" w:rsidRPr="00407171" w:rsidRDefault="00850442" w:rsidP="001443B6">
      <w:pPr>
        <w:ind w:left="3600"/>
        <w:jc w:val="center"/>
        <w:rPr>
          <w:i/>
          <w:lang w:val="nl-BE"/>
        </w:rPr>
      </w:pPr>
      <w:r w:rsidRPr="00407171">
        <w:rPr>
          <w:bCs/>
          <w:lang w:val="nl-BE"/>
        </w:rPr>
        <w:t>D</w:t>
      </w:r>
      <w:r>
        <w:rPr>
          <w:bCs/>
          <w:lang w:val="nl-BE"/>
        </w:rPr>
        <w:t>enis</w:t>
      </w:r>
      <w:r w:rsidRPr="00407171">
        <w:rPr>
          <w:bCs/>
          <w:lang w:val="nl-BE"/>
        </w:rPr>
        <w:t xml:space="preserve"> DUCARME</w:t>
      </w:r>
    </w:p>
    <w:p w14:paraId="73F75EA3" w14:textId="77777777" w:rsidR="00003D42" w:rsidRDefault="00003D42"/>
    <w:sectPr w:rsidR="00003D42" w:rsidSect="004261FF">
      <w:headerReference w:type="even" r:id="rId14"/>
      <w:headerReference w:type="default" r:id="rId15"/>
      <w:footerReference w:type="even" r:id="rId16"/>
      <w:footerReference w:type="default" r:id="rId17"/>
      <w:footerReference w:type="first" r:id="rId18"/>
      <w:pgSz w:w="11906" w:h="16838" w:code="9"/>
      <w:pgMar w:top="993" w:right="1558" w:bottom="539"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E0128" w14:textId="77777777" w:rsidR="005473FF" w:rsidRDefault="005473FF" w:rsidP="00850442">
      <w:pPr>
        <w:spacing w:line="240" w:lineRule="auto"/>
      </w:pPr>
      <w:r>
        <w:separator/>
      </w:r>
    </w:p>
  </w:endnote>
  <w:endnote w:type="continuationSeparator" w:id="0">
    <w:p w14:paraId="447224A7" w14:textId="77777777" w:rsidR="005473FF" w:rsidRDefault="005473FF" w:rsidP="00850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F2D5" w14:textId="77777777" w:rsidR="00747F21" w:rsidRDefault="006E496C" w:rsidP="00BA108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A38CFA" w14:textId="77777777" w:rsidR="00747F21" w:rsidRDefault="005473FF" w:rsidP="0081142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6FD0" w14:textId="76FFAFD2" w:rsidR="004261FF" w:rsidRDefault="006E496C">
    <w:pPr>
      <w:pStyle w:val="Voettekst"/>
      <w:jc w:val="right"/>
    </w:pPr>
    <w:r>
      <w:fldChar w:fldCharType="begin"/>
    </w:r>
    <w:r>
      <w:instrText>PAGE   \* MERGEFORMAT</w:instrText>
    </w:r>
    <w:r>
      <w:fldChar w:fldCharType="separate"/>
    </w:r>
    <w:r w:rsidR="001443B6" w:rsidRPr="001443B6">
      <w:rPr>
        <w:noProof/>
        <w:lang w:val="nl-NL"/>
      </w:rPr>
      <w:t>5</w:t>
    </w:r>
    <w:r>
      <w:fldChar w:fldCharType="end"/>
    </w:r>
  </w:p>
  <w:p w14:paraId="78303B07" w14:textId="77777777" w:rsidR="00747F21" w:rsidRDefault="005473FF" w:rsidP="00811424">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629" w:type="dxa"/>
      <w:tblLayout w:type="fixed"/>
      <w:tblCellMar>
        <w:left w:w="71" w:type="dxa"/>
        <w:right w:w="71" w:type="dxa"/>
      </w:tblCellMar>
      <w:tblLook w:val="0000" w:firstRow="0" w:lastRow="0" w:firstColumn="0" w:lastColumn="0" w:noHBand="0" w:noVBand="0"/>
    </w:tblPr>
    <w:tblGrid>
      <w:gridCol w:w="7938"/>
      <w:gridCol w:w="2977"/>
    </w:tblGrid>
    <w:tr w:rsidR="004261FF" w:rsidRPr="007459CE" w14:paraId="785412D4" w14:textId="77777777" w:rsidTr="004261FF">
      <w:trPr>
        <w:cantSplit/>
        <w:trHeight w:val="705"/>
      </w:trPr>
      <w:tc>
        <w:tcPr>
          <w:tcW w:w="7938" w:type="dxa"/>
        </w:tcPr>
        <w:p w14:paraId="0114DBC2" w14:textId="77777777" w:rsidR="004261FF" w:rsidRPr="004261FF" w:rsidRDefault="006E496C" w:rsidP="004261FF">
          <w:pPr>
            <w:rPr>
              <w:rFonts w:ascii="Gill Sans MT" w:hAnsi="Gill Sans MT"/>
              <w:sz w:val="16"/>
              <w:szCs w:val="16"/>
              <w:lang w:val="nl-BE"/>
            </w:rPr>
          </w:pPr>
          <w:r w:rsidRPr="004261FF">
            <w:rPr>
              <w:rFonts w:ascii="Gill Sans MT" w:hAnsi="Gill Sans MT"/>
              <w:sz w:val="16"/>
              <w:lang w:val="nl-BE"/>
            </w:rPr>
            <w:t>POD Maatschappelijke Integratie, Armoedebestrijding, Sociale Economie en Grootstedenbeleid</w:t>
          </w:r>
        </w:p>
        <w:p w14:paraId="183F5DF2" w14:textId="77777777" w:rsidR="004261FF" w:rsidRPr="004261FF" w:rsidRDefault="006E496C" w:rsidP="004261FF">
          <w:pPr>
            <w:rPr>
              <w:rFonts w:ascii="Gill Sans MT" w:hAnsi="Gill Sans MT"/>
              <w:sz w:val="16"/>
              <w:szCs w:val="16"/>
              <w:lang w:val="nl-BE"/>
            </w:rPr>
          </w:pPr>
          <w:r w:rsidRPr="004261FF">
            <w:rPr>
              <w:rFonts w:ascii="Gill Sans MT" w:hAnsi="Gill Sans MT"/>
              <w:sz w:val="16"/>
              <w:lang w:val="nl-BE"/>
            </w:rPr>
            <w:t xml:space="preserve">Administratief Centrum Kruidtuin - Finance </w:t>
          </w:r>
          <w:proofErr w:type="spellStart"/>
          <w:r w:rsidRPr="004261FF">
            <w:rPr>
              <w:rFonts w:ascii="Gill Sans MT" w:hAnsi="Gill Sans MT"/>
              <w:sz w:val="16"/>
              <w:lang w:val="nl-BE"/>
            </w:rPr>
            <w:t>Tower</w:t>
          </w:r>
          <w:proofErr w:type="spellEnd"/>
          <w:r w:rsidRPr="004261FF">
            <w:rPr>
              <w:rFonts w:ascii="Gill Sans MT" w:hAnsi="Gill Sans MT"/>
              <w:sz w:val="16"/>
              <w:lang w:val="nl-BE"/>
            </w:rPr>
            <w:t xml:space="preserve"> - Kruidtuinlaan 50, bus 165 – 1000 Brussel </w:t>
          </w:r>
          <w:r w:rsidRPr="004261FF">
            <w:rPr>
              <w:rFonts w:ascii="Gill Sans MT" w:hAnsi="Gill Sans MT"/>
              <w:color w:val="F9D73F"/>
              <w:sz w:val="16"/>
              <w:lang w:val="nl-BE"/>
            </w:rPr>
            <w:t xml:space="preserve">– </w:t>
          </w:r>
          <w:hyperlink r:id="rId1" w:history="1">
            <w:r w:rsidRPr="004261FF">
              <w:rPr>
                <w:rStyle w:val="Hyperlink"/>
                <w:rFonts w:ascii="Gill Sans MT" w:hAnsi="Gill Sans MT"/>
                <w:color w:val="F9D73F"/>
                <w:sz w:val="16"/>
                <w:lang w:val="nl-BE"/>
              </w:rPr>
              <w:t>http://www.mi-is.be</w:t>
            </w:r>
          </w:hyperlink>
          <w:r w:rsidRPr="004261FF">
            <w:rPr>
              <w:lang w:val="nl-BE"/>
            </w:rPr>
            <w:br/>
          </w:r>
          <w:r w:rsidRPr="004261FF">
            <w:rPr>
              <w:rFonts w:ascii="Gill Sans MT" w:hAnsi="Gill Sans MT"/>
              <w:sz w:val="16"/>
              <w:lang w:val="nl-BE"/>
            </w:rPr>
            <w:t>tel +32 2 508 85 85– fax +32 2 508 85 10–</w:t>
          </w:r>
          <w:r w:rsidRPr="004261FF">
            <w:rPr>
              <w:rFonts w:ascii="Gill Sans MT" w:hAnsi="Gill Sans MT"/>
              <w:color w:val="F9D73F"/>
              <w:sz w:val="16"/>
              <w:lang w:val="nl-BE"/>
            </w:rPr>
            <w:t xml:space="preserve"> </w:t>
          </w:r>
          <w:hyperlink r:id="rId2" w:history="1">
            <w:r w:rsidRPr="004261FF">
              <w:rPr>
                <w:rStyle w:val="Hyperlink"/>
                <w:rFonts w:ascii="Gill Sans MT" w:hAnsi="Gill Sans MT"/>
                <w:color w:val="F9D73F"/>
                <w:sz w:val="16"/>
                <w:lang w:val="nl-BE"/>
              </w:rPr>
              <w:t>vraag@mi-is.be</w:t>
            </w:r>
          </w:hyperlink>
          <w:r w:rsidRPr="004261FF">
            <w:rPr>
              <w:rFonts w:ascii="Gill Sans MT" w:hAnsi="Gill Sans MT"/>
              <w:color w:val="FFFF00"/>
              <w:sz w:val="16"/>
              <w:lang w:val="nl-BE"/>
            </w:rPr>
            <w:t xml:space="preserve"> </w:t>
          </w:r>
        </w:p>
      </w:tc>
      <w:tc>
        <w:tcPr>
          <w:tcW w:w="2977" w:type="dxa"/>
        </w:tcPr>
        <w:p w14:paraId="5203D6CB" w14:textId="77777777" w:rsidR="004261FF" w:rsidRPr="007459CE" w:rsidRDefault="00850442" w:rsidP="004261FF">
          <w:pPr>
            <w:jc w:val="right"/>
            <w:rPr>
              <w:rFonts w:ascii="Gill Sans MT" w:hAnsi="Gill Sans MT"/>
              <w:sz w:val="20"/>
            </w:rPr>
          </w:pPr>
          <w:r w:rsidRPr="004261FF">
            <w:rPr>
              <w:rFonts w:ascii="Gill Sans MT" w:hAnsi="Gill Sans MT"/>
              <w:noProof/>
              <w:sz w:val="20"/>
              <w:lang w:val="en-US"/>
            </w:rPr>
            <w:drawing>
              <wp:inline distT="0" distB="0" distL="0" distR="0" wp14:anchorId="7E9DF1D9" wp14:editId="0C540A05">
                <wp:extent cx="1803400" cy="292100"/>
                <wp:effectExtent l="0" t="0" r="6350" b="0"/>
                <wp:docPr id="4" name="Afbeelding 4"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3400" cy="292100"/>
                        </a:xfrm>
                        <a:prstGeom prst="rect">
                          <a:avLst/>
                        </a:prstGeom>
                        <a:noFill/>
                        <a:ln>
                          <a:noFill/>
                        </a:ln>
                      </pic:spPr>
                    </pic:pic>
                  </a:graphicData>
                </a:graphic>
              </wp:inline>
            </w:drawing>
          </w:r>
        </w:p>
      </w:tc>
    </w:tr>
  </w:tbl>
  <w:p w14:paraId="4C6358E2" w14:textId="77777777" w:rsidR="00747F21" w:rsidRDefault="005473FF" w:rsidP="004261FF">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C2A5D" w14:textId="77777777" w:rsidR="005473FF" w:rsidRDefault="005473FF" w:rsidP="00850442">
      <w:pPr>
        <w:spacing w:line="240" w:lineRule="auto"/>
      </w:pPr>
      <w:r>
        <w:separator/>
      </w:r>
    </w:p>
  </w:footnote>
  <w:footnote w:type="continuationSeparator" w:id="0">
    <w:p w14:paraId="7F65C38D" w14:textId="77777777" w:rsidR="005473FF" w:rsidRDefault="005473FF" w:rsidP="00850442">
      <w:pPr>
        <w:spacing w:line="240" w:lineRule="auto"/>
      </w:pPr>
      <w:r>
        <w:continuationSeparator/>
      </w:r>
    </w:p>
  </w:footnote>
  <w:footnote w:id="1">
    <w:p w14:paraId="0F1122C8" w14:textId="77777777" w:rsidR="00850442" w:rsidRDefault="00850442" w:rsidP="00850442">
      <w:pPr>
        <w:pStyle w:val="Voetnoottekst"/>
      </w:pPr>
      <w:r>
        <w:rPr>
          <w:rStyle w:val="Voetnootmarkering"/>
        </w:rPr>
        <w:footnoteRef/>
      </w:r>
      <w:r>
        <w:t xml:space="preserve"> </w:t>
      </w:r>
      <w:r>
        <w:rPr>
          <w:sz w:val="18"/>
          <w:szCs w:val="18"/>
        </w:rPr>
        <w:t>Koninklijk</w:t>
      </w:r>
      <w:r w:rsidRPr="004C1CC0">
        <w:rPr>
          <w:sz w:val="18"/>
          <w:szCs w:val="18"/>
        </w:rPr>
        <w:t xml:space="preserve"> besluit van 23 april 2020 tot het tijdelijk versoepelen van de voorwaarden waaronder werklozen, al dan niet met  bedrijfstoeslag, kunnen worden tewerkgesteld in vitale sectoren en tot het tijdelijk bevriezen van de degressiviteit van de volledige werkloosheidsuitkering.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942E" w14:textId="77777777" w:rsidR="00747F21" w:rsidRDefault="006E496C">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E75695F" w14:textId="77777777" w:rsidR="00747F21" w:rsidRDefault="005473FF">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2B52" w14:textId="77777777" w:rsidR="00747F21" w:rsidRDefault="005473FF" w:rsidP="004261FF">
    <w:pPr>
      <w:pStyle w:val="Koptekst"/>
      <w:ind w:right="35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0E21D20"/>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127D764A"/>
    <w:multiLevelType w:val="hybridMultilevel"/>
    <w:tmpl w:val="A42CC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6D6289"/>
    <w:multiLevelType w:val="multilevel"/>
    <w:tmpl w:val="5BB49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A380282"/>
    <w:multiLevelType w:val="hybridMultilevel"/>
    <w:tmpl w:val="9A0E99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42"/>
    <w:rsid w:val="00003D42"/>
    <w:rsid w:val="000B1148"/>
    <w:rsid w:val="00140EFC"/>
    <w:rsid w:val="00143279"/>
    <w:rsid w:val="001443B6"/>
    <w:rsid w:val="0015171D"/>
    <w:rsid w:val="00156488"/>
    <w:rsid w:val="001B71C1"/>
    <w:rsid w:val="001C1279"/>
    <w:rsid w:val="0024732A"/>
    <w:rsid w:val="002A3EE9"/>
    <w:rsid w:val="00361599"/>
    <w:rsid w:val="003F012D"/>
    <w:rsid w:val="00502E1D"/>
    <w:rsid w:val="005473FF"/>
    <w:rsid w:val="005904F7"/>
    <w:rsid w:val="0065256A"/>
    <w:rsid w:val="00675C26"/>
    <w:rsid w:val="006E496C"/>
    <w:rsid w:val="00760CD5"/>
    <w:rsid w:val="007C1AC4"/>
    <w:rsid w:val="008439FB"/>
    <w:rsid w:val="00850442"/>
    <w:rsid w:val="008565E0"/>
    <w:rsid w:val="00A11071"/>
    <w:rsid w:val="00AB64CF"/>
    <w:rsid w:val="00AE5D6B"/>
    <w:rsid w:val="00B641FE"/>
    <w:rsid w:val="00BB60C5"/>
    <w:rsid w:val="00BC47E4"/>
    <w:rsid w:val="00C42366"/>
    <w:rsid w:val="00C672F3"/>
    <w:rsid w:val="00D05912"/>
    <w:rsid w:val="00DC1B6D"/>
    <w:rsid w:val="00DE4DDC"/>
    <w:rsid w:val="00E66623"/>
    <w:rsid w:val="00F47641"/>
    <w:rsid w:val="00F51C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8520"/>
  <w15:chartTrackingRefBased/>
  <w15:docId w15:val="{D60A7CC5-F6CF-4B1D-988E-0BF4C7E4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50442"/>
    <w:pPr>
      <w:spacing w:after="0" w:line="312" w:lineRule="auto"/>
    </w:pPr>
    <w:rPr>
      <w:rFonts w:ascii="Arial" w:eastAsia="Times New Roman" w:hAnsi="Arial" w:cs="Times New Roman"/>
      <w:sz w:val="24"/>
      <w:szCs w:val="20"/>
      <w:lang w:val="fr-FR"/>
    </w:rPr>
  </w:style>
  <w:style w:type="paragraph" w:styleId="Kop1">
    <w:name w:val="heading 1"/>
    <w:basedOn w:val="Standaard"/>
    <w:next w:val="Standaard"/>
    <w:link w:val="Kop1Char"/>
    <w:qFormat/>
    <w:rsid w:val="00850442"/>
    <w:pPr>
      <w:keepNext/>
      <w:numPr>
        <w:numId w:val="4"/>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outlineLvl w:val="0"/>
    </w:pPr>
    <w:rPr>
      <w:b/>
      <w:kern w:val="28"/>
      <w:sz w:val="28"/>
    </w:rPr>
  </w:style>
  <w:style w:type="paragraph" w:styleId="Kop2">
    <w:name w:val="heading 2"/>
    <w:basedOn w:val="Standaard"/>
    <w:next w:val="Standaard"/>
    <w:link w:val="Kop2Char"/>
    <w:qFormat/>
    <w:rsid w:val="00850442"/>
    <w:pPr>
      <w:keepNext/>
      <w:numPr>
        <w:ilvl w:val="1"/>
        <w:numId w:val="4"/>
      </w:numPr>
      <w:pBdr>
        <w:top w:val="single" w:sz="6" w:space="1" w:color="auto" w:shadow="1"/>
        <w:left w:val="single" w:sz="6" w:space="1" w:color="auto" w:shadow="1"/>
        <w:bottom w:val="single" w:sz="6" w:space="1" w:color="auto" w:shadow="1"/>
        <w:right w:val="single" w:sz="6" w:space="1" w:color="auto" w:shadow="1"/>
      </w:pBdr>
      <w:spacing w:before="360" w:after="240"/>
      <w:outlineLvl w:val="1"/>
    </w:pPr>
    <w:rPr>
      <w:b/>
      <w:sz w:val="28"/>
    </w:rPr>
  </w:style>
  <w:style w:type="paragraph" w:styleId="Kop3">
    <w:name w:val="heading 3"/>
    <w:basedOn w:val="Standaard"/>
    <w:next w:val="Standaard"/>
    <w:link w:val="Kop3Char"/>
    <w:qFormat/>
    <w:rsid w:val="00850442"/>
    <w:pPr>
      <w:keepNext/>
      <w:numPr>
        <w:ilvl w:val="2"/>
        <w:numId w:val="4"/>
      </w:numPr>
      <w:spacing w:before="360" w:after="240"/>
      <w:outlineLvl w:val="2"/>
    </w:pPr>
    <w:rPr>
      <w:b/>
      <w:u w:val="double"/>
    </w:rPr>
  </w:style>
  <w:style w:type="paragraph" w:styleId="Kop4">
    <w:name w:val="heading 4"/>
    <w:basedOn w:val="Standaard"/>
    <w:next w:val="Standaard"/>
    <w:link w:val="Kop4Char"/>
    <w:qFormat/>
    <w:rsid w:val="00850442"/>
    <w:pPr>
      <w:keepNext/>
      <w:numPr>
        <w:ilvl w:val="3"/>
        <w:numId w:val="4"/>
      </w:numPr>
      <w:spacing w:before="240"/>
      <w:outlineLvl w:val="3"/>
    </w:pPr>
    <w:rPr>
      <w:b/>
      <w:i/>
      <w:u w:val="single"/>
    </w:rPr>
  </w:style>
  <w:style w:type="paragraph" w:styleId="Kop5">
    <w:name w:val="heading 5"/>
    <w:basedOn w:val="Standaard"/>
    <w:next w:val="Standaard"/>
    <w:link w:val="Kop5Char"/>
    <w:qFormat/>
    <w:rsid w:val="00850442"/>
    <w:pPr>
      <w:numPr>
        <w:ilvl w:val="4"/>
        <w:numId w:val="4"/>
      </w:numPr>
      <w:spacing w:before="240"/>
      <w:outlineLvl w:val="4"/>
    </w:pPr>
    <w:rPr>
      <w:u w:val="single"/>
    </w:rPr>
  </w:style>
  <w:style w:type="paragraph" w:styleId="Kop6">
    <w:name w:val="heading 6"/>
    <w:basedOn w:val="Standaard"/>
    <w:next w:val="Standaard"/>
    <w:link w:val="Kop6Char"/>
    <w:qFormat/>
    <w:rsid w:val="00850442"/>
    <w:pPr>
      <w:numPr>
        <w:ilvl w:val="5"/>
        <w:numId w:val="4"/>
      </w:numPr>
      <w:spacing w:before="240"/>
      <w:outlineLvl w:val="5"/>
    </w:pPr>
    <w:rPr>
      <w:u w:val="dotted"/>
    </w:rPr>
  </w:style>
  <w:style w:type="paragraph" w:styleId="Kop7">
    <w:name w:val="heading 7"/>
    <w:basedOn w:val="Standaard"/>
    <w:next w:val="Standaard"/>
    <w:link w:val="Kop7Char"/>
    <w:qFormat/>
    <w:rsid w:val="00850442"/>
    <w:pPr>
      <w:numPr>
        <w:ilvl w:val="6"/>
        <w:numId w:val="4"/>
      </w:numPr>
      <w:spacing w:before="240"/>
      <w:outlineLvl w:val="6"/>
    </w:pPr>
  </w:style>
  <w:style w:type="paragraph" w:styleId="Kop8">
    <w:name w:val="heading 8"/>
    <w:basedOn w:val="Standaard"/>
    <w:next w:val="Standaard"/>
    <w:link w:val="Kop8Char"/>
    <w:qFormat/>
    <w:rsid w:val="00850442"/>
    <w:pPr>
      <w:numPr>
        <w:ilvl w:val="7"/>
        <w:numId w:val="4"/>
      </w:numPr>
      <w:spacing w:before="240" w:after="60"/>
      <w:outlineLvl w:val="7"/>
    </w:pPr>
    <w:rPr>
      <w:i/>
    </w:rPr>
  </w:style>
  <w:style w:type="paragraph" w:styleId="Kop9">
    <w:name w:val="heading 9"/>
    <w:basedOn w:val="Standaard"/>
    <w:next w:val="Standaard"/>
    <w:link w:val="Kop9Char"/>
    <w:qFormat/>
    <w:rsid w:val="00850442"/>
    <w:pPr>
      <w:numPr>
        <w:ilvl w:val="8"/>
        <w:numId w:val="4"/>
      </w:num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0442"/>
    <w:rPr>
      <w:rFonts w:ascii="Arial" w:eastAsia="Times New Roman" w:hAnsi="Arial" w:cs="Times New Roman"/>
      <w:b/>
      <w:kern w:val="28"/>
      <w:sz w:val="28"/>
      <w:szCs w:val="20"/>
      <w:shd w:val="pct20" w:color="auto" w:fill="auto"/>
      <w:lang w:val="fr-FR"/>
    </w:rPr>
  </w:style>
  <w:style w:type="character" w:customStyle="1" w:styleId="Kop2Char">
    <w:name w:val="Kop 2 Char"/>
    <w:basedOn w:val="Standaardalinea-lettertype"/>
    <w:link w:val="Kop2"/>
    <w:rsid w:val="00850442"/>
    <w:rPr>
      <w:rFonts w:ascii="Arial" w:eastAsia="Times New Roman" w:hAnsi="Arial" w:cs="Times New Roman"/>
      <w:b/>
      <w:sz w:val="28"/>
      <w:szCs w:val="20"/>
      <w:lang w:val="fr-FR"/>
    </w:rPr>
  </w:style>
  <w:style w:type="character" w:customStyle="1" w:styleId="Kop3Char">
    <w:name w:val="Kop 3 Char"/>
    <w:basedOn w:val="Standaardalinea-lettertype"/>
    <w:link w:val="Kop3"/>
    <w:rsid w:val="00850442"/>
    <w:rPr>
      <w:rFonts w:ascii="Arial" w:eastAsia="Times New Roman" w:hAnsi="Arial" w:cs="Times New Roman"/>
      <w:b/>
      <w:sz w:val="24"/>
      <w:szCs w:val="20"/>
      <w:u w:val="double"/>
      <w:lang w:val="fr-FR"/>
    </w:rPr>
  </w:style>
  <w:style w:type="character" w:customStyle="1" w:styleId="Kop4Char">
    <w:name w:val="Kop 4 Char"/>
    <w:basedOn w:val="Standaardalinea-lettertype"/>
    <w:link w:val="Kop4"/>
    <w:rsid w:val="00850442"/>
    <w:rPr>
      <w:rFonts w:ascii="Arial" w:eastAsia="Times New Roman" w:hAnsi="Arial" w:cs="Times New Roman"/>
      <w:b/>
      <w:i/>
      <w:sz w:val="24"/>
      <w:szCs w:val="20"/>
      <w:u w:val="single"/>
      <w:lang w:val="fr-FR"/>
    </w:rPr>
  </w:style>
  <w:style w:type="character" w:customStyle="1" w:styleId="Kop5Char">
    <w:name w:val="Kop 5 Char"/>
    <w:basedOn w:val="Standaardalinea-lettertype"/>
    <w:link w:val="Kop5"/>
    <w:rsid w:val="00850442"/>
    <w:rPr>
      <w:rFonts w:ascii="Arial" w:eastAsia="Times New Roman" w:hAnsi="Arial" w:cs="Times New Roman"/>
      <w:sz w:val="24"/>
      <w:szCs w:val="20"/>
      <w:u w:val="single"/>
      <w:lang w:val="fr-FR"/>
    </w:rPr>
  </w:style>
  <w:style w:type="character" w:customStyle="1" w:styleId="Kop6Char">
    <w:name w:val="Kop 6 Char"/>
    <w:basedOn w:val="Standaardalinea-lettertype"/>
    <w:link w:val="Kop6"/>
    <w:rsid w:val="00850442"/>
    <w:rPr>
      <w:rFonts w:ascii="Arial" w:eastAsia="Times New Roman" w:hAnsi="Arial" w:cs="Times New Roman"/>
      <w:sz w:val="24"/>
      <w:szCs w:val="20"/>
      <w:u w:val="dotted"/>
      <w:lang w:val="fr-FR"/>
    </w:rPr>
  </w:style>
  <w:style w:type="character" w:customStyle="1" w:styleId="Kop7Char">
    <w:name w:val="Kop 7 Char"/>
    <w:basedOn w:val="Standaardalinea-lettertype"/>
    <w:link w:val="Kop7"/>
    <w:rsid w:val="00850442"/>
    <w:rPr>
      <w:rFonts w:ascii="Arial" w:eastAsia="Times New Roman" w:hAnsi="Arial" w:cs="Times New Roman"/>
      <w:sz w:val="24"/>
      <w:szCs w:val="20"/>
      <w:lang w:val="fr-FR"/>
    </w:rPr>
  </w:style>
  <w:style w:type="character" w:customStyle="1" w:styleId="Kop8Char">
    <w:name w:val="Kop 8 Char"/>
    <w:basedOn w:val="Standaardalinea-lettertype"/>
    <w:link w:val="Kop8"/>
    <w:rsid w:val="00850442"/>
    <w:rPr>
      <w:rFonts w:ascii="Arial" w:eastAsia="Times New Roman" w:hAnsi="Arial" w:cs="Times New Roman"/>
      <w:i/>
      <w:sz w:val="24"/>
      <w:szCs w:val="20"/>
      <w:lang w:val="fr-FR"/>
    </w:rPr>
  </w:style>
  <w:style w:type="character" w:customStyle="1" w:styleId="Kop9Char">
    <w:name w:val="Kop 9 Char"/>
    <w:basedOn w:val="Standaardalinea-lettertype"/>
    <w:link w:val="Kop9"/>
    <w:rsid w:val="00850442"/>
    <w:rPr>
      <w:rFonts w:ascii="Arial" w:eastAsia="Times New Roman" w:hAnsi="Arial" w:cs="Times New Roman"/>
      <w:i/>
      <w:sz w:val="24"/>
      <w:szCs w:val="20"/>
      <w:lang w:val="fr-FR"/>
    </w:rPr>
  </w:style>
  <w:style w:type="character" w:styleId="Hyperlink">
    <w:name w:val="Hyperlink"/>
    <w:rsid w:val="00850442"/>
    <w:rPr>
      <w:color w:val="0000FF"/>
      <w:u w:val="single"/>
    </w:rPr>
  </w:style>
  <w:style w:type="paragraph" w:styleId="Koptekst">
    <w:name w:val="header"/>
    <w:basedOn w:val="Standaard"/>
    <w:link w:val="KoptekstChar"/>
    <w:uiPriority w:val="99"/>
    <w:rsid w:val="00850442"/>
    <w:pPr>
      <w:tabs>
        <w:tab w:val="center" w:pos="4536"/>
        <w:tab w:val="right" w:pos="9072"/>
      </w:tabs>
    </w:pPr>
    <w:rPr>
      <w:lang w:val="fr-BE"/>
    </w:rPr>
  </w:style>
  <w:style w:type="character" w:customStyle="1" w:styleId="KoptekstChar">
    <w:name w:val="Koptekst Char"/>
    <w:basedOn w:val="Standaardalinea-lettertype"/>
    <w:link w:val="Koptekst"/>
    <w:uiPriority w:val="99"/>
    <w:rsid w:val="00850442"/>
    <w:rPr>
      <w:rFonts w:ascii="Arial" w:eastAsia="Times New Roman" w:hAnsi="Arial" w:cs="Times New Roman"/>
      <w:sz w:val="24"/>
      <w:szCs w:val="20"/>
      <w:lang w:val="fr-BE"/>
    </w:rPr>
  </w:style>
  <w:style w:type="character" w:styleId="Paginanummer">
    <w:name w:val="page number"/>
    <w:basedOn w:val="Standaardalinea-lettertype"/>
    <w:rsid w:val="00850442"/>
  </w:style>
  <w:style w:type="paragraph" w:styleId="Voettekst">
    <w:name w:val="footer"/>
    <w:basedOn w:val="Standaard"/>
    <w:link w:val="VoettekstChar"/>
    <w:uiPriority w:val="99"/>
    <w:rsid w:val="00850442"/>
    <w:pPr>
      <w:tabs>
        <w:tab w:val="center" w:pos="4536"/>
        <w:tab w:val="right" w:pos="9072"/>
      </w:tabs>
    </w:pPr>
    <w:rPr>
      <w:lang w:val="fr-BE"/>
    </w:rPr>
  </w:style>
  <w:style w:type="character" w:customStyle="1" w:styleId="VoettekstChar">
    <w:name w:val="Voettekst Char"/>
    <w:basedOn w:val="Standaardalinea-lettertype"/>
    <w:link w:val="Voettekst"/>
    <w:uiPriority w:val="99"/>
    <w:rsid w:val="00850442"/>
    <w:rPr>
      <w:rFonts w:ascii="Arial" w:eastAsia="Times New Roman" w:hAnsi="Arial" w:cs="Times New Roman"/>
      <w:sz w:val="24"/>
      <w:szCs w:val="20"/>
      <w:lang w:val="fr-BE"/>
    </w:rPr>
  </w:style>
  <w:style w:type="paragraph" w:customStyle="1" w:styleId="Letter">
    <w:name w:val="Letter"/>
    <w:basedOn w:val="Standaard"/>
    <w:rsid w:val="00850442"/>
    <w:rPr>
      <w:sz w:val="22"/>
    </w:rPr>
  </w:style>
  <w:style w:type="paragraph" w:styleId="Lijstalinea">
    <w:name w:val="List Paragraph"/>
    <w:basedOn w:val="Standaard"/>
    <w:uiPriority w:val="34"/>
    <w:qFormat/>
    <w:rsid w:val="00850442"/>
    <w:pPr>
      <w:ind w:left="708"/>
    </w:pPr>
  </w:style>
  <w:style w:type="paragraph" w:styleId="Voetnoottekst">
    <w:name w:val="footnote text"/>
    <w:basedOn w:val="Standaard"/>
    <w:link w:val="VoetnoottekstChar"/>
    <w:uiPriority w:val="99"/>
    <w:unhideWhenUsed/>
    <w:rsid w:val="00850442"/>
    <w:pPr>
      <w:jc w:val="both"/>
    </w:pPr>
    <w:rPr>
      <w:rFonts w:ascii="Calibri" w:hAnsi="Calibri"/>
      <w:sz w:val="20"/>
      <w:lang w:val="nl-BE"/>
    </w:rPr>
  </w:style>
  <w:style w:type="character" w:customStyle="1" w:styleId="VoetnoottekstChar">
    <w:name w:val="Voetnoottekst Char"/>
    <w:basedOn w:val="Standaardalinea-lettertype"/>
    <w:link w:val="Voetnoottekst"/>
    <w:uiPriority w:val="99"/>
    <w:rsid w:val="00850442"/>
    <w:rPr>
      <w:rFonts w:ascii="Calibri" w:eastAsia="Times New Roman" w:hAnsi="Calibri" w:cs="Times New Roman"/>
      <w:sz w:val="20"/>
      <w:szCs w:val="20"/>
    </w:rPr>
  </w:style>
  <w:style w:type="character" w:styleId="Voetnootmarkering">
    <w:name w:val="footnote reference"/>
    <w:uiPriority w:val="99"/>
    <w:unhideWhenUsed/>
    <w:rsid w:val="00850442"/>
    <w:rPr>
      <w:vertAlign w:val="superscript"/>
    </w:rPr>
  </w:style>
  <w:style w:type="paragraph" w:styleId="Ballontekst">
    <w:name w:val="Balloon Text"/>
    <w:basedOn w:val="Standaard"/>
    <w:link w:val="BallontekstChar"/>
    <w:uiPriority w:val="99"/>
    <w:semiHidden/>
    <w:unhideWhenUsed/>
    <w:rsid w:val="007C1AC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1AC4"/>
    <w:rPr>
      <w:rFonts w:ascii="Segoe UI" w:eastAsia="Times New Roman" w:hAnsi="Segoe UI" w:cs="Segoe UI"/>
      <w:sz w:val="18"/>
      <w:szCs w:val="18"/>
      <w:lang w:val="fr-FR"/>
    </w:rPr>
  </w:style>
  <w:style w:type="character" w:styleId="Verwijzingopmerking">
    <w:name w:val="annotation reference"/>
    <w:basedOn w:val="Standaardalinea-lettertype"/>
    <w:uiPriority w:val="99"/>
    <w:semiHidden/>
    <w:unhideWhenUsed/>
    <w:rsid w:val="007C1AC4"/>
    <w:rPr>
      <w:sz w:val="16"/>
      <w:szCs w:val="16"/>
    </w:rPr>
  </w:style>
  <w:style w:type="paragraph" w:styleId="Tekstopmerking">
    <w:name w:val="annotation text"/>
    <w:basedOn w:val="Standaard"/>
    <w:link w:val="TekstopmerkingChar"/>
    <w:uiPriority w:val="99"/>
    <w:semiHidden/>
    <w:unhideWhenUsed/>
    <w:rsid w:val="007C1AC4"/>
    <w:pPr>
      <w:spacing w:line="240" w:lineRule="auto"/>
    </w:pPr>
    <w:rPr>
      <w:sz w:val="20"/>
    </w:rPr>
  </w:style>
  <w:style w:type="character" w:customStyle="1" w:styleId="TekstopmerkingChar">
    <w:name w:val="Tekst opmerking Char"/>
    <w:basedOn w:val="Standaardalinea-lettertype"/>
    <w:link w:val="Tekstopmerking"/>
    <w:uiPriority w:val="99"/>
    <w:semiHidden/>
    <w:rsid w:val="007C1AC4"/>
    <w:rPr>
      <w:rFonts w:ascii="Arial" w:eastAsia="Times New Roman" w:hAnsi="Arial" w:cs="Times New Roman"/>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7C1AC4"/>
    <w:rPr>
      <w:b/>
      <w:bCs/>
    </w:rPr>
  </w:style>
  <w:style w:type="character" w:customStyle="1" w:styleId="OnderwerpvanopmerkingChar">
    <w:name w:val="Onderwerp van opmerking Char"/>
    <w:basedOn w:val="TekstopmerkingChar"/>
    <w:link w:val="Onderwerpvanopmerking"/>
    <w:uiPriority w:val="99"/>
    <w:semiHidden/>
    <w:rsid w:val="007C1AC4"/>
    <w:rPr>
      <w:rFonts w:ascii="Arial" w:eastAsia="Times New Roman" w:hAnsi="Arial"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raag@mi-is.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raag@mi-is.b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vraag@mi-is.be" TargetMode="External"/><Relationship Id="rId1" Type="http://schemas.openxmlformats.org/officeDocument/2006/relationships/hyperlink" Target="http://www.mi-i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1" ma:contentTypeDescription="Een nieuw document maken." ma:contentTypeScope="" ma:versionID="8aec780dd90eaf81f5915ce2da119b6a">
  <xsd:schema xmlns:xsd="http://www.w3.org/2001/XMLSchema" xmlns:xs="http://www.w3.org/2001/XMLSchema" xmlns:p="http://schemas.microsoft.com/office/2006/metadata/properties" xmlns:ns2="4c6a26a4-0da3-46ff-90ba-c4347004d7d6" targetNamespace="http://schemas.microsoft.com/office/2006/metadata/properties" ma:root="true" ma:fieldsID="d2193c261a0e073ebb53f44f26cc7c17" ns2:_="">
    <xsd:import namespace="4c6a26a4-0da3-46ff-90ba-c4347004d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7254C-3835-4562-AC5F-60B56643DE2B}">
  <ds:schemaRefs>
    <ds:schemaRef ds:uri="http://schemas.microsoft.com/sharepoint/v3/contenttype/forms"/>
  </ds:schemaRefs>
</ds:datastoreItem>
</file>

<file path=customXml/itemProps2.xml><?xml version="1.0" encoding="utf-8"?>
<ds:datastoreItem xmlns:ds="http://schemas.openxmlformats.org/officeDocument/2006/customXml" ds:itemID="{E6097EB2-0750-47AE-88C0-3FB4B55F05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08E69E-F527-4EC3-A5C6-651E1E2C4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26a4-0da3-46ff-90ba-c4347004d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1301</Words>
  <Characters>7158</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Rabaut Jolien</dc:creator>
  <cp:keywords/>
  <dc:description/>
  <cp:lastModifiedBy>Pool Melanie</cp:lastModifiedBy>
  <cp:revision>3</cp:revision>
  <dcterms:created xsi:type="dcterms:W3CDTF">2020-06-22T08:38:00Z</dcterms:created>
  <dcterms:modified xsi:type="dcterms:W3CDTF">2020-06-22T08:39:00Z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0x01010031A53F0D21310E4F960F2089D1C64D47</vt:lpwstr>
  </property>
</Properties>
</file>