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765B15" w:rsidRDefault="00273FFE" w:rsidP="006C79E4">
      <w:pPr>
        <w:pStyle w:val="Titel"/>
        <w:jc w:val="both"/>
        <w:rPr>
          <w:rFonts w:ascii="Gill Sans MT" w:hAnsi="Gill Sans MT"/>
          <w:lang w:val="fr-FR"/>
        </w:rPr>
      </w:pPr>
      <w:r w:rsidRPr="00765B15">
        <w:rPr>
          <w:rFonts w:ascii="Gill Sans MT" w:hAnsi="Gill Sans MT"/>
          <w:lang w:val="fr-FR"/>
        </w:rPr>
        <w:t>Résumé du rapport annuel FEAD 2014</w:t>
      </w:r>
    </w:p>
    <w:p w:rsidR="00273FFE" w:rsidRPr="00765B15" w:rsidRDefault="00273FFE" w:rsidP="006C79E4">
      <w:pPr>
        <w:pStyle w:val="Kop1"/>
        <w:numPr>
          <w:ilvl w:val="0"/>
          <w:numId w:val="0"/>
        </w:numPr>
        <w:jc w:val="both"/>
        <w:rPr>
          <w:rFonts w:ascii="Gill Sans MT" w:hAnsi="Gill Sans MT"/>
          <w:lang w:val="fr-FR"/>
        </w:rPr>
      </w:pPr>
      <w:r w:rsidRPr="00765B15">
        <w:rPr>
          <w:rFonts w:ascii="Gill Sans MT" w:hAnsi="Gill Sans MT"/>
          <w:lang w:val="fr-FR"/>
        </w:rPr>
        <w:t>2014 : l'année des grands changements !</w:t>
      </w:r>
    </w:p>
    <w:p w:rsidR="00273FFE" w:rsidRPr="00765B15" w:rsidRDefault="00273FFE" w:rsidP="006C79E4">
      <w:pPr>
        <w:jc w:val="both"/>
        <w:rPr>
          <w:rFonts w:ascii="Gill Sans MT" w:hAnsi="Gill Sans MT"/>
          <w:sz w:val="22"/>
          <w:szCs w:val="22"/>
          <w:lang w:val="fr-FR"/>
        </w:rPr>
      </w:pPr>
    </w:p>
    <w:p w:rsidR="00273FFE" w:rsidRPr="00E9345C" w:rsidRDefault="00273FFE" w:rsidP="006C79E4">
      <w:pPr>
        <w:jc w:val="both"/>
        <w:rPr>
          <w:rFonts w:ascii="Gill Sans MT" w:hAnsi="Gill Sans MT"/>
          <w:sz w:val="22"/>
          <w:szCs w:val="22"/>
          <w:lang w:val="fr-FR"/>
        </w:rPr>
      </w:pPr>
      <w:r w:rsidRPr="00765B15">
        <w:rPr>
          <w:rFonts w:ascii="Gill Sans MT" w:hAnsi="Gill Sans MT"/>
          <w:sz w:val="22"/>
          <w:lang w:val="fr-FR"/>
        </w:rPr>
        <w:t xml:space="preserve">En 2014, l'objectif global était de </w:t>
      </w:r>
      <w:r w:rsidRPr="00E9345C">
        <w:rPr>
          <w:rFonts w:ascii="Gill Sans MT" w:hAnsi="Gill Sans MT"/>
          <w:sz w:val="22"/>
          <w:lang w:val="fr-FR"/>
        </w:rPr>
        <w:t xml:space="preserve">garantir </w:t>
      </w:r>
      <w:r w:rsidR="00842AB7" w:rsidRPr="00E9345C">
        <w:rPr>
          <w:rFonts w:ascii="Gill Sans MT" w:hAnsi="Gill Sans MT"/>
          <w:sz w:val="22"/>
          <w:lang w:val="fr-FR"/>
        </w:rPr>
        <w:t>la continuité de</w:t>
      </w:r>
      <w:r w:rsidRPr="00E9345C">
        <w:rPr>
          <w:rFonts w:ascii="Gill Sans MT" w:hAnsi="Gill Sans MT"/>
          <w:sz w:val="22"/>
          <w:lang w:val="fr-FR"/>
        </w:rPr>
        <w:t xml:space="preserve"> l'aide alimentaire européenne, l'année ayant en effet été marquée par des changements majeurs et </w:t>
      </w:r>
      <w:r w:rsidR="00842AB7" w:rsidRPr="00E9345C">
        <w:rPr>
          <w:rFonts w:ascii="Gill Sans MT" w:hAnsi="Gill Sans MT"/>
          <w:sz w:val="22"/>
          <w:lang w:val="fr-FR"/>
        </w:rPr>
        <w:t>un certain nombre</w:t>
      </w:r>
      <w:r w:rsidRPr="00E9345C">
        <w:rPr>
          <w:rFonts w:ascii="Gill Sans MT" w:hAnsi="Gill Sans MT"/>
          <w:sz w:val="22"/>
          <w:lang w:val="fr-FR"/>
        </w:rPr>
        <w:t xml:space="preserve"> d</w:t>
      </w:r>
      <w:r w:rsidR="00DF5940" w:rsidRPr="00E9345C">
        <w:rPr>
          <w:rFonts w:ascii="Gill Sans MT" w:hAnsi="Gill Sans MT"/>
          <w:sz w:val="22"/>
          <w:lang w:val="fr-FR"/>
        </w:rPr>
        <w:t>’</w:t>
      </w:r>
      <w:r w:rsidRPr="00E9345C">
        <w:rPr>
          <w:rFonts w:ascii="Gill Sans MT" w:hAnsi="Gill Sans MT"/>
          <w:sz w:val="22"/>
          <w:lang w:val="fr-FR"/>
        </w:rPr>
        <w:t xml:space="preserve">incertitudes. </w:t>
      </w:r>
    </w:p>
    <w:p w:rsidR="00273FFE" w:rsidRPr="00E9345C" w:rsidRDefault="00273FFE" w:rsidP="006C79E4">
      <w:pPr>
        <w:jc w:val="both"/>
        <w:rPr>
          <w:rFonts w:ascii="Gill Sans MT" w:hAnsi="Gill Sans MT"/>
          <w:sz w:val="22"/>
          <w:szCs w:val="22"/>
          <w:lang w:val="fr-FR"/>
        </w:rPr>
      </w:pPr>
      <w:r w:rsidRPr="00E9345C">
        <w:rPr>
          <w:rFonts w:ascii="Gill Sans MT" w:hAnsi="Gill Sans MT"/>
          <w:sz w:val="22"/>
          <w:lang w:val="fr-FR"/>
        </w:rPr>
        <w:t>Au niveau européen, le programme européen d'aide alimentaire</w:t>
      </w:r>
      <w:r w:rsidR="00842AB7" w:rsidRPr="00E9345C">
        <w:rPr>
          <w:rFonts w:ascii="Gill Sans MT" w:hAnsi="Gill Sans MT"/>
          <w:sz w:val="22"/>
          <w:lang w:val="fr-FR"/>
        </w:rPr>
        <w:t xml:space="preserve"> (PEAD)</w:t>
      </w:r>
      <w:r w:rsidRPr="00E9345C">
        <w:rPr>
          <w:rFonts w:ascii="Gill Sans MT" w:hAnsi="Gill Sans MT"/>
          <w:sz w:val="22"/>
          <w:lang w:val="fr-FR"/>
        </w:rPr>
        <w:t xml:space="preserve"> a été remplacé par le Fonds européen d'aide aux plus démunis (FEAD). Au niveau belge, le Bureau d'intervention et de restitution </w:t>
      </w:r>
      <w:r w:rsidR="00DF5940" w:rsidRPr="00E9345C">
        <w:rPr>
          <w:rFonts w:ascii="Gill Sans MT" w:hAnsi="Gill Sans MT"/>
          <w:sz w:val="22"/>
          <w:lang w:val="fr-FR"/>
        </w:rPr>
        <w:t xml:space="preserve">Belge </w:t>
      </w:r>
      <w:r w:rsidRPr="00E9345C">
        <w:rPr>
          <w:rFonts w:ascii="Gill Sans MT" w:hAnsi="Gill Sans MT"/>
          <w:sz w:val="22"/>
          <w:lang w:val="fr-FR"/>
        </w:rPr>
        <w:t>(BIRB), auparavant responsable de la gestion du programme européen d'aide alimentaire en Belgique, a été régionalisé.</w:t>
      </w:r>
      <w:r w:rsidRPr="00E9345C">
        <w:rPr>
          <w:rFonts w:ascii="Gill Sans MT" w:hAnsi="Gill Sans MT"/>
          <w:sz w:val="22"/>
          <w:szCs w:val="22"/>
          <w:lang w:val="fr-FR"/>
        </w:rPr>
        <w:tab/>
      </w:r>
      <w:r w:rsidRPr="00E9345C">
        <w:rPr>
          <w:rFonts w:ascii="Gill Sans MT" w:hAnsi="Gill Sans MT"/>
          <w:sz w:val="22"/>
          <w:szCs w:val="22"/>
          <w:lang w:val="fr-FR"/>
        </w:rPr>
        <w:br/>
      </w:r>
      <w:r w:rsidRPr="00E9345C">
        <w:rPr>
          <w:rFonts w:ascii="Gill Sans MT" w:hAnsi="Gill Sans MT"/>
          <w:sz w:val="22"/>
          <w:lang w:val="fr-FR"/>
        </w:rPr>
        <w:t>Enfin, le SPP Intégration sociale (SPP IS) a été désigné comme responsable de la gestion du FEAD en Belgique pour la période de programmation 2014-2020.</w:t>
      </w:r>
    </w:p>
    <w:p w:rsidR="00273FFE" w:rsidRPr="00E9345C" w:rsidRDefault="00273FFE" w:rsidP="006C79E4">
      <w:pPr>
        <w:jc w:val="both"/>
        <w:rPr>
          <w:rFonts w:ascii="Gill Sans MT" w:hAnsi="Gill Sans MT"/>
          <w:sz w:val="22"/>
          <w:szCs w:val="22"/>
          <w:lang w:val="fr-FR"/>
        </w:rPr>
      </w:pPr>
    </w:p>
    <w:p w:rsidR="00273FFE" w:rsidRPr="00E9345C" w:rsidRDefault="00273FFE" w:rsidP="006C79E4">
      <w:pPr>
        <w:jc w:val="both"/>
        <w:rPr>
          <w:rFonts w:ascii="Gill Sans MT" w:hAnsi="Gill Sans MT"/>
          <w:sz w:val="22"/>
          <w:szCs w:val="22"/>
          <w:lang w:val="fr-FR"/>
        </w:rPr>
      </w:pPr>
      <w:r w:rsidRPr="00E9345C">
        <w:rPr>
          <w:rFonts w:ascii="Gill Sans MT" w:hAnsi="Gill Sans MT"/>
          <w:sz w:val="22"/>
          <w:lang w:val="fr-FR"/>
        </w:rPr>
        <w:t xml:space="preserve">Afin d’optimiser le transfert </w:t>
      </w:r>
      <w:r w:rsidRPr="00E9345C">
        <w:rPr>
          <w:rFonts w:ascii="Gill Sans MT" w:hAnsi="Gill Sans MT"/>
          <w:strike/>
          <w:sz w:val="22"/>
          <w:lang w:val="fr-FR"/>
        </w:rPr>
        <w:t>de connaissances et</w:t>
      </w:r>
      <w:r w:rsidRPr="00E9345C">
        <w:rPr>
          <w:rFonts w:ascii="Gill Sans MT" w:hAnsi="Gill Sans MT"/>
          <w:sz w:val="22"/>
          <w:lang w:val="fr-FR"/>
        </w:rPr>
        <w:t xml:space="preserve"> d’expertise, l’année 2014 a débuté par un transfert de connaissances entre le BIRB et le SPP IS.</w:t>
      </w:r>
      <w:r w:rsidR="00E41BA5" w:rsidRPr="00E9345C">
        <w:rPr>
          <w:rFonts w:ascii="Gill Sans MT" w:hAnsi="Gill Sans MT"/>
          <w:sz w:val="22"/>
          <w:szCs w:val="22"/>
          <w:lang w:val="fr-FR"/>
        </w:rPr>
        <w:tab/>
      </w:r>
      <w:r w:rsidR="00E41BA5" w:rsidRPr="00E9345C">
        <w:rPr>
          <w:rFonts w:ascii="Gill Sans MT" w:hAnsi="Gill Sans MT"/>
          <w:sz w:val="22"/>
          <w:szCs w:val="22"/>
          <w:lang w:val="fr-FR"/>
        </w:rPr>
        <w:br/>
      </w:r>
      <w:r w:rsidRPr="00E9345C">
        <w:rPr>
          <w:rFonts w:ascii="Gill Sans MT" w:hAnsi="Gill Sans MT"/>
          <w:sz w:val="22"/>
          <w:lang w:val="fr-FR"/>
        </w:rPr>
        <w:t xml:space="preserve">Une grande partie du temps a également été consacrée à l'élaboration du programme opérationnel (PO) pour la période de programmation 2014-2020. Dans ce PO, chaque État membre doit définir comment </w:t>
      </w:r>
      <w:r w:rsidR="00842AB7" w:rsidRPr="00E9345C">
        <w:rPr>
          <w:rFonts w:ascii="Gill Sans MT" w:hAnsi="Gill Sans MT"/>
          <w:sz w:val="22"/>
          <w:lang w:val="fr-FR"/>
        </w:rPr>
        <w:t xml:space="preserve">seront utilisées </w:t>
      </w:r>
      <w:r w:rsidRPr="00E9345C">
        <w:rPr>
          <w:rFonts w:ascii="Gill Sans MT" w:hAnsi="Gill Sans MT"/>
          <w:sz w:val="22"/>
          <w:lang w:val="fr-FR"/>
        </w:rPr>
        <w:t>les ressources disponibles pour la période 2014-2020. La date limite de soumission de ce programme était le 11 septembre 2014.</w:t>
      </w:r>
    </w:p>
    <w:p w:rsidR="00E41BA5" w:rsidRPr="00E9345C" w:rsidRDefault="00E41BA5" w:rsidP="006C79E4">
      <w:pPr>
        <w:jc w:val="both"/>
        <w:rPr>
          <w:rFonts w:ascii="Gill Sans MT" w:hAnsi="Gill Sans MT"/>
          <w:sz w:val="22"/>
          <w:szCs w:val="22"/>
          <w:lang w:val="fr-FR"/>
        </w:rPr>
      </w:pPr>
    </w:p>
    <w:p w:rsidR="00E41BA5" w:rsidRPr="00E9345C" w:rsidRDefault="00E41BA5" w:rsidP="006C79E4">
      <w:pPr>
        <w:jc w:val="both"/>
        <w:rPr>
          <w:rFonts w:ascii="Gill Sans MT" w:hAnsi="Gill Sans MT"/>
          <w:sz w:val="22"/>
          <w:szCs w:val="22"/>
          <w:lang w:val="fr-FR"/>
        </w:rPr>
      </w:pPr>
      <w:r w:rsidRPr="00E9345C">
        <w:rPr>
          <w:rFonts w:ascii="Gill Sans MT" w:hAnsi="Gill Sans MT"/>
          <w:sz w:val="22"/>
          <w:lang w:val="fr-FR"/>
        </w:rPr>
        <w:t>Il a été décidé, en vue d'assurer la continuité de l'a</w:t>
      </w:r>
      <w:r w:rsidR="00842AB7" w:rsidRPr="00E9345C">
        <w:rPr>
          <w:rFonts w:ascii="Gill Sans MT" w:hAnsi="Gill Sans MT"/>
          <w:sz w:val="22"/>
          <w:lang w:val="fr-FR"/>
        </w:rPr>
        <w:t>ide</w:t>
      </w:r>
      <w:r w:rsidRPr="00E9345C">
        <w:rPr>
          <w:rFonts w:ascii="Gill Sans MT" w:hAnsi="Gill Sans MT"/>
          <w:sz w:val="22"/>
          <w:lang w:val="fr-FR"/>
        </w:rPr>
        <w:t xml:space="preserve">, de reprendre le système </w:t>
      </w:r>
      <w:r w:rsidR="00842AB7" w:rsidRPr="00E9345C">
        <w:rPr>
          <w:rFonts w:ascii="Gill Sans MT" w:hAnsi="Gill Sans MT"/>
          <w:sz w:val="22"/>
          <w:lang w:val="fr-FR"/>
        </w:rPr>
        <w:t xml:space="preserve">mis en place par le BIRB </w:t>
      </w:r>
      <w:r w:rsidRPr="00E9345C">
        <w:rPr>
          <w:rFonts w:ascii="Gill Sans MT" w:hAnsi="Gill Sans MT"/>
          <w:sz w:val="22"/>
          <w:lang w:val="fr-FR"/>
        </w:rPr>
        <w:t>dans son intégralité. Ce système comprend les étapes suivantes :</w:t>
      </w:r>
    </w:p>
    <w:p w:rsidR="00D324DE" w:rsidRPr="00E9345C" w:rsidRDefault="00D324DE" w:rsidP="006C79E4">
      <w:pPr>
        <w:jc w:val="both"/>
        <w:rPr>
          <w:rFonts w:ascii="Gill Sans MT" w:hAnsi="Gill Sans MT"/>
          <w:sz w:val="22"/>
          <w:szCs w:val="22"/>
          <w:lang w:val="fr-FR"/>
        </w:rPr>
      </w:pPr>
    </w:p>
    <w:p w:rsidR="004877C6" w:rsidRPr="00E9345C" w:rsidRDefault="00AC5883" w:rsidP="00AD00A7">
      <w:pPr>
        <w:pStyle w:val="Lijstalinea"/>
        <w:numPr>
          <w:ilvl w:val="0"/>
          <w:numId w:val="1"/>
        </w:numPr>
        <w:jc w:val="both"/>
        <w:rPr>
          <w:rFonts w:ascii="Gill Sans MT" w:hAnsi="Gill Sans MT"/>
          <w:sz w:val="22"/>
          <w:szCs w:val="22"/>
          <w:lang w:val="fr-FR"/>
        </w:rPr>
      </w:pPr>
      <w:r w:rsidRPr="00E9345C">
        <w:rPr>
          <w:rFonts w:ascii="Gill Sans MT" w:hAnsi="Gill Sans MT"/>
          <w:b/>
          <w:sz w:val="22"/>
          <w:lang w:val="fr-FR"/>
        </w:rPr>
        <w:t>Élaboration de la liste des produits pour la campagne concernée.</w:t>
      </w:r>
      <w:r w:rsidR="00AD00A7" w:rsidRPr="00E9345C">
        <w:rPr>
          <w:rFonts w:ascii="Gill Sans MT" w:hAnsi="Gill Sans MT"/>
          <w:sz w:val="22"/>
          <w:szCs w:val="22"/>
          <w:lang w:val="fr-FR"/>
        </w:rPr>
        <w:tab/>
      </w:r>
    </w:p>
    <w:p w:rsidR="00AD00A7" w:rsidRPr="00765B15" w:rsidRDefault="00AD00A7" w:rsidP="004877C6">
      <w:pPr>
        <w:pStyle w:val="Lijstalinea"/>
        <w:ind w:left="786"/>
        <w:jc w:val="both"/>
        <w:rPr>
          <w:rFonts w:ascii="Gill Sans MT" w:hAnsi="Gill Sans MT"/>
          <w:sz w:val="22"/>
          <w:szCs w:val="22"/>
          <w:lang w:val="fr-FR"/>
        </w:rPr>
      </w:pPr>
      <w:r w:rsidRPr="00765B15">
        <w:rPr>
          <w:rFonts w:ascii="Gill Sans MT" w:hAnsi="Gill Sans MT"/>
          <w:sz w:val="22"/>
          <w:lang w:val="fr-FR"/>
        </w:rPr>
        <w:t>Il s'agissait, pour 2014, de 14 produits différents : lait demi-écrémé, saumon en conserve, filets de maquereau à la sauce tomate, carbonnades de bœuf, macaronis coupés, purée de pommes de terre en flocons, tomates pelées en cubes, petits pois et jeunes carottes cuits à la vapeur, champignons de Paris, cocktail de fruits au sirop léger, huile d’arachide, confiture extra aux quatre fruits rouges, céréales pour petit-déjeuner, pouding en poudre à la vanille.</w:t>
      </w:r>
    </w:p>
    <w:p w:rsidR="00AC5883" w:rsidRPr="00765B15" w:rsidRDefault="00AC5883" w:rsidP="006C79E4">
      <w:pPr>
        <w:pStyle w:val="Lijstalinea"/>
        <w:numPr>
          <w:ilvl w:val="0"/>
          <w:numId w:val="1"/>
        </w:numPr>
        <w:jc w:val="both"/>
        <w:rPr>
          <w:rFonts w:ascii="Gill Sans MT" w:hAnsi="Gill Sans MT"/>
          <w:b/>
          <w:sz w:val="22"/>
          <w:szCs w:val="22"/>
          <w:lang w:val="fr-FR"/>
        </w:rPr>
      </w:pPr>
      <w:r w:rsidRPr="00765B15">
        <w:rPr>
          <w:rFonts w:ascii="Gill Sans MT" w:hAnsi="Gill Sans MT"/>
          <w:b/>
          <w:sz w:val="22"/>
          <w:lang w:val="fr-FR"/>
        </w:rPr>
        <w:t>Commande de denrées alimentaires par les organisations partenaires et diffusion du « règlement 2014 ».</w:t>
      </w:r>
      <w:r w:rsidR="00C0093F" w:rsidRPr="00765B15">
        <w:rPr>
          <w:rFonts w:ascii="Gill Sans MT" w:hAnsi="Gill Sans MT"/>
          <w:b/>
          <w:sz w:val="22"/>
          <w:szCs w:val="22"/>
          <w:lang w:val="fr-FR"/>
        </w:rPr>
        <w:tab/>
      </w:r>
      <w:r w:rsidR="00C0093F" w:rsidRPr="00765B15">
        <w:rPr>
          <w:rFonts w:ascii="Gill Sans MT" w:hAnsi="Gill Sans MT"/>
          <w:b/>
          <w:sz w:val="22"/>
          <w:szCs w:val="22"/>
          <w:lang w:val="fr-FR"/>
        </w:rPr>
        <w:br/>
      </w:r>
      <w:r w:rsidR="00C0093F" w:rsidRPr="00765B15">
        <w:rPr>
          <w:rFonts w:ascii="Gill Sans MT" w:hAnsi="Gill Sans MT"/>
          <w:sz w:val="22"/>
          <w:szCs w:val="22"/>
          <w:lang w:val="fr-FR"/>
        </w:rPr>
        <w:t xml:space="preserve">Chaque CPAS et chaque organisation reconnue pouvait soumettre une commande de denrées alimentaires. En ce qui concerne les organisations partenaires reconnues, tous les agréments ont été entièrement repris </w:t>
      </w:r>
      <w:r w:rsidR="00996293">
        <w:rPr>
          <w:rFonts w:ascii="Gill Sans MT" w:hAnsi="Gill Sans MT"/>
          <w:sz w:val="22"/>
          <w:szCs w:val="22"/>
          <w:lang w:val="fr-FR"/>
        </w:rPr>
        <w:t>du</w:t>
      </w:r>
      <w:r w:rsidR="00C0093F" w:rsidRPr="00765B15">
        <w:rPr>
          <w:rFonts w:ascii="Gill Sans MT" w:hAnsi="Gill Sans MT"/>
          <w:sz w:val="22"/>
          <w:szCs w:val="22"/>
          <w:lang w:val="fr-FR"/>
        </w:rPr>
        <w:t xml:space="preserve"> BIRB.</w:t>
      </w:r>
    </w:p>
    <w:p w:rsidR="00F252C2" w:rsidRPr="00765B15" w:rsidRDefault="00F252C2" w:rsidP="00F252C2">
      <w:pPr>
        <w:pStyle w:val="Lijstalinea"/>
        <w:ind w:left="786"/>
        <w:jc w:val="both"/>
        <w:rPr>
          <w:rFonts w:ascii="Gill Sans MT" w:hAnsi="Gill Sans MT"/>
          <w:sz w:val="22"/>
          <w:szCs w:val="22"/>
          <w:lang w:val="fr-FR"/>
        </w:rPr>
      </w:pPr>
      <w:r w:rsidRPr="00765B15">
        <w:rPr>
          <w:rFonts w:ascii="Gill Sans MT" w:hAnsi="Gill Sans MT"/>
          <w:sz w:val="22"/>
          <w:lang w:val="fr-FR"/>
        </w:rPr>
        <w:t xml:space="preserve">La commande de denrées alimentaires devait se faire pour la première fois via un formulaire web électronique. Il s'agit tout de même d'un changement majeur pour les organisations qui, </w:t>
      </w:r>
      <w:r w:rsidR="00765B15" w:rsidRPr="00765B15">
        <w:rPr>
          <w:rFonts w:ascii="Gill Sans MT" w:hAnsi="Gill Sans MT"/>
          <w:sz w:val="22"/>
          <w:lang w:val="fr-FR"/>
        </w:rPr>
        <w:t>jusque-là</w:t>
      </w:r>
      <w:r w:rsidRPr="00765B15">
        <w:rPr>
          <w:rFonts w:ascii="Gill Sans MT" w:hAnsi="Gill Sans MT"/>
          <w:sz w:val="22"/>
          <w:lang w:val="fr-FR"/>
        </w:rPr>
        <w:t>, avaient l'habitude de tout faire sur papier.</w:t>
      </w:r>
    </w:p>
    <w:p w:rsidR="00AC5883" w:rsidRPr="00765B15" w:rsidRDefault="00AC5883" w:rsidP="006C79E4">
      <w:pPr>
        <w:pStyle w:val="Lijstalinea"/>
        <w:numPr>
          <w:ilvl w:val="0"/>
          <w:numId w:val="1"/>
        </w:numPr>
        <w:jc w:val="both"/>
        <w:rPr>
          <w:rFonts w:ascii="Gill Sans MT" w:hAnsi="Gill Sans MT"/>
          <w:b/>
          <w:sz w:val="22"/>
          <w:szCs w:val="22"/>
          <w:lang w:val="fr-FR"/>
        </w:rPr>
      </w:pPr>
      <w:r w:rsidRPr="00765B15">
        <w:rPr>
          <w:rFonts w:ascii="Gill Sans MT" w:hAnsi="Gill Sans MT"/>
          <w:b/>
          <w:sz w:val="22"/>
          <w:lang w:val="fr-FR"/>
        </w:rPr>
        <w:t xml:space="preserve">Achat des produits alimentaires pour l'année 2014 </w:t>
      </w:r>
      <w:r w:rsidR="00996293">
        <w:rPr>
          <w:rFonts w:ascii="Gill Sans MT" w:hAnsi="Gill Sans MT"/>
          <w:b/>
          <w:sz w:val="22"/>
          <w:lang w:val="fr-FR"/>
        </w:rPr>
        <w:t>via un a</w:t>
      </w:r>
      <w:r w:rsidRPr="00765B15">
        <w:rPr>
          <w:rFonts w:ascii="Gill Sans MT" w:hAnsi="Gill Sans MT"/>
          <w:b/>
          <w:sz w:val="22"/>
          <w:lang w:val="fr-FR"/>
        </w:rPr>
        <w:t>ppel d'offres européen.</w:t>
      </w:r>
    </w:p>
    <w:p w:rsidR="00AD00A7" w:rsidRPr="00765B15" w:rsidRDefault="00AD00A7" w:rsidP="00AD00A7">
      <w:pPr>
        <w:pStyle w:val="Lijstalinea"/>
        <w:ind w:left="786"/>
        <w:jc w:val="both"/>
        <w:rPr>
          <w:rFonts w:ascii="Gill Sans MT" w:hAnsi="Gill Sans MT"/>
          <w:sz w:val="22"/>
          <w:szCs w:val="22"/>
          <w:lang w:val="fr-FR"/>
        </w:rPr>
      </w:pPr>
      <w:r w:rsidRPr="00765B15">
        <w:rPr>
          <w:rFonts w:ascii="Gill Sans MT" w:hAnsi="Gill Sans MT"/>
          <w:sz w:val="22"/>
          <w:lang w:val="fr-FR"/>
        </w:rPr>
        <w:t xml:space="preserve">Cet appel d'offres a été lancé </w:t>
      </w:r>
      <w:r w:rsidR="00996293">
        <w:rPr>
          <w:rFonts w:ascii="Gill Sans MT" w:hAnsi="Gill Sans MT"/>
          <w:sz w:val="22"/>
          <w:lang w:val="fr-FR"/>
        </w:rPr>
        <w:t>en</w:t>
      </w:r>
      <w:r w:rsidRPr="00765B15">
        <w:rPr>
          <w:rFonts w:ascii="Gill Sans MT" w:hAnsi="Gill Sans MT"/>
          <w:sz w:val="22"/>
          <w:lang w:val="fr-FR"/>
        </w:rPr>
        <w:t xml:space="preserve"> 2014 pour un montant total de 11.871.000,00 € (TVA comprise).</w:t>
      </w:r>
    </w:p>
    <w:p w:rsidR="00F252C2" w:rsidRPr="00765B15" w:rsidRDefault="00F252C2" w:rsidP="00F252C2">
      <w:pPr>
        <w:pStyle w:val="Lijstalinea"/>
        <w:ind w:left="786"/>
        <w:jc w:val="both"/>
        <w:rPr>
          <w:rFonts w:ascii="Gill Sans MT" w:hAnsi="Gill Sans MT"/>
          <w:sz w:val="22"/>
          <w:szCs w:val="22"/>
          <w:lang w:val="fr-FR"/>
        </w:rPr>
      </w:pPr>
      <w:r w:rsidRPr="00765B15">
        <w:rPr>
          <w:rFonts w:ascii="Gill Sans MT" w:hAnsi="Gill Sans MT"/>
          <w:sz w:val="22"/>
          <w:lang w:val="fr-FR"/>
        </w:rPr>
        <w:t xml:space="preserve">Le lancement et l'attribution de cet appel d'offres n'ont pas été faciles, notamment pour des raisons budgétaires. La première difficulté était qu’il n’y avait, à l’origine, aucun budget prévu pour la FEAD dans le budget belge. De plus, aucun budget n'avait été prévu initialement pour le coût de la TVA, étant donné que le BIRB était exonéré de la TVA, mais le SPP IS, lui, ne l'était apparemment pas. </w:t>
      </w:r>
    </w:p>
    <w:p w:rsidR="00AC5883" w:rsidRPr="00765B15" w:rsidRDefault="008C2C40" w:rsidP="006C79E4">
      <w:pPr>
        <w:pStyle w:val="Lijstalinea"/>
        <w:numPr>
          <w:ilvl w:val="0"/>
          <w:numId w:val="1"/>
        </w:numPr>
        <w:jc w:val="both"/>
        <w:rPr>
          <w:rFonts w:ascii="Gill Sans MT" w:hAnsi="Gill Sans MT"/>
          <w:b/>
          <w:sz w:val="22"/>
          <w:szCs w:val="22"/>
          <w:lang w:val="fr-FR"/>
        </w:rPr>
      </w:pPr>
      <w:r w:rsidRPr="00765B15">
        <w:rPr>
          <w:rFonts w:ascii="Gill Sans MT" w:hAnsi="Gill Sans MT"/>
          <w:b/>
          <w:sz w:val="22"/>
          <w:lang w:val="fr-FR"/>
        </w:rPr>
        <w:t>Répartition des denrées alimentaires disponibles sur la base, d’une part, des commandes et des quantités disponibles et, d’autre part, du plafond communal établi en fonction du nombre de bénéficiaires du revenu d'intégration par commune concernée.</w:t>
      </w:r>
    </w:p>
    <w:p w:rsidR="00DB539B" w:rsidRPr="00765B15" w:rsidRDefault="00DB539B" w:rsidP="006C79E4">
      <w:pPr>
        <w:pStyle w:val="Lijstalinea"/>
        <w:numPr>
          <w:ilvl w:val="0"/>
          <w:numId w:val="1"/>
        </w:numPr>
        <w:jc w:val="both"/>
        <w:rPr>
          <w:rFonts w:ascii="Gill Sans MT" w:hAnsi="Gill Sans MT"/>
          <w:b/>
          <w:sz w:val="22"/>
          <w:szCs w:val="22"/>
          <w:lang w:val="fr-FR"/>
        </w:rPr>
      </w:pPr>
      <w:r w:rsidRPr="00765B15">
        <w:rPr>
          <w:rFonts w:ascii="Gill Sans MT" w:hAnsi="Gill Sans MT"/>
          <w:b/>
          <w:sz w:val="22"/>
          <w:lang w:val="fr-FR"/>
        </w:rPr>
        <w:t xml:space="preserve">Livraison directe aux organisations partenaires. </w:t>
      </w:r>
      <w:r w:rsidR="005E1259" w:rsidRPr="00765B15">
        <w:rPr>
          <w:rFonts w:ascii="Gill Sans MT" w:hAnsi="Gill Sans MT"/>
          <w:b/>
          <w:sz w:val="22"/>
          <w:szCs w:val="22"/>
          <w:lang w:val="fr-FR"/>
        </w:rPr>
        <w:tab/>
      </w:r>
      <w:r w:rsidR="005E1259" w:rsidRPr="00765B15">
        <w:rPr>
          <w:rFonts w:ascii="Gill Sans MT" w:hAnsi="Gill Sans MT"/>
          <w:sz w:val="22"/>
          <w:szCs w:val="22"/>
          <w:lang w:val="fr-FR"/>
        </w:rPr>
        <w:br/>
      </w:r>
      <w:r w:rsidRPr="00765B15">
        <w:rPr>
          <w:rFonts w:ascii="Gill Sans MT" w:hAnsi="Gill Sans MT"/>
          <w:sz w:val="22"/>
          <w:lang w:val="fr-FR"/>
        </w:rPr>
        <w:t xml:space="preserve">Les fabricants sélectionnés à la suite de l'appel </w:t>
      </w:r>
      <w:r w:rsidR="00996293">
        <w:rPr>
          <w:rFonts w:ascii="Gill Sans MT" w:hAnsi="Gill Sans MT"/>
          <w:sz w:val="22"/>
          <w:lang w:val="fr-FR"/>
        </w:rPr>
        <w:t>à</w:t>
      </w:r>
      <w:r w:rsidRPr="00765B15">
        <w:rPr>
          <w:rFonts w:ascii="Gill Sans MT" w:hAnsi="Gill Sans MT"/>
          <w:sz w:val="22"/>
          <w:lang w:val="fr-FR"/>
        </w:rPr>
        <w:t xml:space="preserve"> </w:t>
      </w:r>
      <w:proofErr w:type="spellStart"/>
      <w:r w:rsidRPr="00765B15">
        <w:rPr>
          <w:rFonts w:ascii="Gill Sans MT" w:hAnsi="Gill Sans MT"/>
          <w:sz w:val="22"/>
          <w:lang w:val="fr-FR"/>
        </w:rPr>
        <w:t>marché</w:t>
      </w:r>
      <w:proofErr w:type="spellEnd"/>
      <w:r w:rsidRPr="00765B15">
        <w:rPr>
          <w:rFonts w:ascii="Gill Sans MT" w:hAnsi="Gill Sans MT"/>
          <w:sz w:val="22"/>
          <w:lang w:val="fr-FR"/>
        </w:rPr>
        <w:t xml:space="preserve"> ont fourni les produits alimentaires directement aux organisations partenaires.</w:t>
      </w:r>
    </w:p>
    <w:p w:rsidR="00615EF9" w:rsidRPr="00765B15" w:rsidRDefault="00615EF9" w:rsidP="00615EF9">
      <w:pPr>
        <w:pStyle w:val="Lijstalinea"/>
        <w:ind w:left="786"/>
        <w:jc w:val="both"/>
        <w:rPr>
          <w:rFonts w:ascii="Gill Sans MT" w:hAnsi="Gill Sans MT"/>
          <w:sz w:val="22"/>
          <w:szCs w:val="22"/>
          <w:lang w:val="fr-FR"/>
        </w:rPr>
      </w:pPr>
      <w:r w:rsidRPr="00765B15">
        <w:rPr>
          <w:rFonts w:ascii="Gill Sans MT" w:hAnsi="Gill Sans MT"/>
          <w:sz w:val="22"/>
          <w:lang w:val="fr-FR"/>
        </w:rPr>
        <w:lastRenderedPageBreak/>
        <w:t xml:space="preserve">Les produits ont été livrés dans 387 points de livraison. Il s'agissait, d'une part, des 10 grands sites de stockage (9 banques alimentaires et un local de stockage de la croix rouge), représentant environ 70 % des quantités livrées, et d'autre part des livraisons « à domicile » des CPAS, représentant environ 30 % des quantités livrées. </w:t>
      </w:r>
    </w:p>
    <w:p w:rsidR="00CA520C" w:rsidRPr="00765B15" w:rsidRDefault="00CA520C" w:rsidP="00CA520C">
      <w:pPr>
        <w:pStyle w:val="Lijstalinea"/>
        <w:ind w:left="786"/>
        <w:jc w:val="both"/>
        <w:rPr>
          <w:rFonts w:ascii="Gill Sans MT" w:hAnsi="Gill Sans MT"/>
          <w:b/>
          <w:sz w:val="22"/>
          <w:szCs w:val="22"/>
          <w:lang w:val="fr-FR"/>
        </w:rPr>
      </w:pPr>
      <w:r w:rsidRPr="00765B15">
        <w:rPr>
          <w:rFonts w:ascii="Gill Sans MT" w:hAnsi="Gill Sans MT"/>
          <w:sz w:val="22"/>
          <w:lang w:val="fr-FR"/>
        </w:rPr>
        <w:t>Les banques alimentaires assuraient ensuite à leur tour la distribution aux ASBL.</w:t>
      </w:r>
    </w:p>
    <w:p w:rsidR="00DB539B" w:rsidRPr="00765B15" w:rsidRDefault="00DB539B" w:rsidP="008F3826">
      <w:pPr>
        <w:pStyle w:val="Lijstalinea"/>
        <w:numPr>
          <w:ilvl w:val="0"/>
          <w:numId w:val="1"/>
        </w:numPr>
        <w:jc w:val="both"/>
        <w:rPr>
          <w:rFonts w:ascii="Gill Sans MT" w:hAnsi="Gill Sans MT"/>
          <w:b/>
          <w:sz w:val="22"/>
          <w:szCs w:val="22"/>
          <w:lang w:val="fr-FR"/>
        </w:rPr>
      </w:pPr>
      <w:r w:rsidRPr="00765B15">
        <w:rPr>
          <w:rFonts w:ascii="Gill Sans MT" w:hAnsi="Gill Sans MT"/>
          <w:b/>
          <w:sz w:val="22"/>
          <w:lang w:val="fr-FR"/>
        </w:rPr>
        <w:t>Début de la distribution aux plus démunis.</w:t>
      </w:r>
      <w:r w:rsidR="005E1259" w:rsidRPr="00765B15">
        <w:rPr>
          <w:rFonts w:ascii="Gill Sans MT" w:hAnsi="Gill Sans MT"/>
          <w:b/>
          <w:sz w:val="22"/>
          <w:szCs w:val="22"/>
          <w:lang w:val="fr-FR"/>
        </w:rPr>
        <w:tab/>
      </w:r>
      <w:r w:rsidR="005E1259" w:rsidRPr="00765B15">
        <w:rPr>
          <w:rFonts w:ascii="Gill Sans MT" w:hAnsi="Gill Sans MT"/>
          <w:b/>
          <w:sz w:val="22"/>
          <w:szCs w:val="22"/>
          <w:lang w:val="fr-FR"/>
        </w:rPr>
        <w:br/>
      </w:r>
      <w:r w:rsidR="005E1259" w:rsidRPr="00765B15">
        <w:rPr>
          <w:rFonts w:ascii="Gill Sans MT" w:hAnsi="Gill Sans MT"/>
          <w:sz w:val="22"/>
          <w:szCs w:val="22"/>
          <w:lang w:val="fr-FR"/>
        </w:rPr>
        <w:t>En ce qui concerne la distribution des denrées alimentaires aux plus démunis, les six catégories de bénéficiaires définies par le BIRB ont été reprises dans leur intégralité. Il s'agit des six catégories suivantes :</w:t>
      </w:r>
    </w:p>
    <w:p w:rsidR="008F3826" w:rsidRPr="00765B15" w:rsidRDefault="008F3826" w:rsidP="008F3826">
      <w:pPr>
        <w:jc w:val="both"/>
        <w:rPr>
          <w:rFonts w:ascii="Gill Sans MT" w:hAnsi="Gill Sans MT"/>
          <w:sz w:val="22"/>
          <w:szCs w:val="22"/>
          <w:lang w:val="fr-FR"/>
        </w:rPr>
      </w:pPr>
    </w:p>
    <w:p w:rsidR="00CA063E" w:rsidRPr="00765B15" w:rsidRDefault="00CA063E" w:rsidP="006C79E4">
      <w:pPr>
        <w:numPr>
          <w:ilvl w:val="0"/>
          <w:numId w:val="2"/>
        </w:numPr>
        <w:autoSpaceDE w:val="0"/>
        <w:autoSpaceDN w:val="0"/>
        <w:adjustRightInd w:val="0"/>
        <w:ind w:left="284" w:hanging="284"/>
        <w:jc w:val="both"/>
        <w:rPr>
          <w:rFonts w:ascii="Gill Sans MT" w:hAnsi="Gill Sans MT"/>
          <w:sz w:val="22"/>
          <w:szCs w:val="22"/>
          <w:lang w:val="fr-FR"/>
        </w:rPr>
      </w:pPr>
      <w:r w:rsidRPr="00765B15">
        <w:rPr>
          <w:rFonts w:ascii="Gill Sans MT" w:hAnsi="Gill Sans MT"/>
          <w:sz w:val="22"/>
          <w:lang w:val="fr-FR"/>
        </w:rPr>
        <w:t>les personnes qui bénéficient du revenu d'intégration ainsi que les membres de leur famille ;</w:t>
      </w:r>
    </w:p>
    <w:p w:rsidR="00CA063E" w:rsidRPr="00765B15" w:rsidRDefault="00CA063E" w:rsidP="006C79E4">
      <w:pPr>
        <w:numPr>
          <w:ilvl w:val="0"/>
          <w:numId w:val="2"/>
        </w:numPr>
        <w:autoSpaceDE w:val="0"/>
        <w:autoSpaceDN w:val="0"/>
        <w:adjustRightInd w:val="0"/>
        <w:ind w:left="284" w:hanging="284"/>
        <w:jc w:val="both"/>
        <w:rPr>
          <w:rFonts w:ascii="Gill Sans MT" w:hAnsi="Gill Sans MT"/>
          <w:sz w:val="22"/>
          <w:szCs w:val="22"/>
          <w:lang w:val="fr-FR"/>
        </w:rPr>
      </w:pPr>
      <w:r w:rsidRPr="00765B15">
        <w:rPr>
          <w:rFonts w:ascii="Gill Sans MT" w:hAnsi="Gill Sans MT"/>
          <w:sz w:val="22"/>
          <w:lang w:val="fr-FR"/>
        </w:rPr>
        <w:t>les personnes sans domicile fixe (sans-abri) ;</w:t>
      </w:r>
    </w:p>
    <w:p w:rsidR="00CA063E" w:rsidRPr="00765B15" w:rsidRDefault="00CA063E" w:rsidP="006C79E4">
      <w:pPr>
        <w:numPr>
          <w:ilvl w:val="0"/>
          <w:numId w:val="2"/>
        </w:numPr>
        <w:autoSpaceDE w:val="0"/>
        <w:autoSpaceDN w:val="0"/>
        <w:adjustRightInd w:val="0"/>
        <w:ind w:left="284" w:hanging="284"/>
        <w:jc w:val="both"/>
        <w:rPr>
          <w:rFonts w:ascii="Gill Sans MT" w:hAnsi="Gill Sans MT"/>
          <w:sz w:val="22"/>
          <w:szCs w:val="22"/>
          <w:lang w:val="fr-FR"/>
        </w:rPr>
      </w:pPr>
      <w:r w:rsidRPr="00765B15">
        <w:rPr>
          <w:rFonts w:ascii="Gill Sans MT" w:hAnsi="Gill Sans MT"/>
          <w:sz w:val="22"/>
          <w:lang w:val="fr-FR"/>
        </w:rPr>
        <w:t>les personnes sans papiers ;</w:t>
      </w:r>
    </w:p>
    <w:p w:rsidR="00CA063E" w:rsidRPr="00765B15" w:rsidRDefault="00CA063E" w:rsidP="006C79E4">
      <w:pPr>
        <w:numPr>
          <w:ilvl w:val="0"/>
          <w:numId w:val="2"/>
        </w:numPr>
        <w:autoSpaceDE w:val="0"/>
        <w:autoSpaceDN w:val="0"/>
        <w:adjustRightInd w:val="0"/>
        <w:ind w:left="284" w:hanging="284"/>
        <w:jc w:val="both"/>
        <w:rPr>
          <w:rFonts w:ascii="Gill Sans MT" w:hAnsi="Gill Sans MT"/>
          <w:sz w:val="22"/>
          <w:szCs w:val="22"/>
          <w:lang w:val="fr-FR"/>
        </w:rPr>
      </w:pPr>
      <w:r w:rsidRPr="00765B15">
        <w:rPr>
          <w:rFonts w:ascii="Gill Sans MT" w:hAnsi="Gill Sans MT"/>
          <w:sz w:val="22"/>
          <w:lang w:val="fr-FR"/>
        </w:rPr>
        <w:t>les personnes en séjour illégal ;</w:t>
      </w:r>
    </w:p>
    <w:p w:rsidR="00CA063E" w:rsidRPr="00765B15" w:rsidRDefault="00CA063E" w:rsidP="006C79E4">
      <w:pPr>
        <w:numPr>
          <w:ilvl w:val="0"/>
          <w:numId w:val="2"/>
        </w:numPr>
        <w:autoSpaceDE w:val="0"/>
        <w:autoSpaceDN w:val="0"/>
        <w:adjustRightInd w:val="0"/>
        <w:ind w:left="284" w:hanging="284"/>
        <w:jc w:val="both"/>
        <w:rPr>
          <w:rFonts w:ascii="Gill Sans MT" w:hAnsi="Gill Sans MT"/>
          <w:sz w:val="22"/>
          <w:szCs w:val="22"/>
          <w:lang w:val="fr-FR"/>
        </w:rPr>
      </w:pPr>
      <w:r w:rsidRPr="00765B15">
        <w:rPr>
          <w:rFonts w:ascii="Gill Sans MT" w:hAnsi="Gill Sans MT"/>
          <w:sz w:val="22"/>
          <w:lang w:val="fr-FR"/>
        </w:rPr>
        <w:t>les personnes réfugiées ;</w:t>
      </w:r>
    </w:p>
    <w:p w:rsidR="00CA063E" w:rsidRPr="00765B15" w:rsidRDefault="00CA063E" w:rsidP="006C79E4">
      <w:pPr>
        <w:numPr>
          <w:ilvl w:val="0"/>
          <w:numId w:val="2"/>
        </w:numPr>
        <w:autoSpaceDE w:val="0"/>
        <w:autoSpaceDN w:val="0"/>
        <w:adjustRightInd w:val="0"/>
        <w:spacing w:after="200"/>
        <w:ind w:left="284" w:hanging="284"/>
        <w:jc w:val="both"/>
        <w:rPr>
          <w:rFonts w:ascii="Gill Sans MT" w:hAnsi="Gill Sans MT"/>
          <w:sz w:val="22"/>
          <w:szCs w:val="22"/>
          <w:lang w:val="fr-FR"/>
        </w:rPr>
      </w:pPr>
      <w:r w:rsidRPr="00765B15">
        <w:rPr>
          <w:rFonts w:ascii="Gill Sans MT" w:hAnsi="Gill Sans MT"/>
          <w:sz w:val="22"/>
          <w:lang w:val="fr-FR"/>
        </w:rPr>
        <w:t>les personnes vivant sous le seuil de pauvreté.</w:t>
      </w:r>
    </w:p>
    <w:p w:rsidR="00EE47BE" w:rsidRPr="00765B15" w:rsidRDefault="00EE47BE" w:rsidP="006C79E4">
      <w:pPr>
        <w:jc w:val="both"/>
        <w:rPr>
          <w:rFonts w:ascii="Gill Sans MT" w:hAnsi="Gill Sans MT"/>
          <w:sz w:val="22"/>
          <w:szCs w:val="22"/>
          <w:lang w:val="fr-FR"/>
        </w:rPr>
      </w:pPr>
      <w:r w:rsidRPr="00765B15">
        <w:rPr>
          <w:rFonts w:ascii="Gill Sans MT" w:hAnsi="Gill Sans MT"/>
          <w:sz w:val="22"/>
          <w:lang w:val="fr-FR"/>
        </w:rPr>
        <w:t xml:space="preserve">Les CPAS locaux jouent un rôle crucial dans l'identification des plus démunis. Chaque ASBL active dans le cadre du FEAD est obligée de conclure un accord de partenariat avec le CPAS local. Les CPAS et les ASBL jouent également un rôle important dans la garantie des mesures d'accompagnement proposées aux plus démunis. </w:t>
      </w:r>
    </w:p>
    <w:p w:rsidR="0041747F" w:rsidRPr="00765B15" w:rsidRDefault="0041747F" w:rsidP="006C79E4">
      <w:pPr>
        <w:jc w:val="both"/>
        <w:rPr>
          <w:rFonts w:ascii="Gill Sans MT" w:hAnsi="Gill Sans MT"/>
          <w:sz w:val="22"/>
          <w:szCs w:val="22"/>
          <w:lang w:val="fr-FR"/>
        </w:rPr>
      </w:pPr>
    </w:p>
    <w:p w:rsidR="00C0093F"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L'année 2014 en chiffres :</w:t>
      </w:r>
    </w:p>
    <w:p w:rsidR="00C87C1B" w:rsidRPr="00765B15" w:rsidRDefault="00C87C1B" w:rsidP="006C79E4">
      <w:pPr>
        <w:jc w:val="both"/>
        <w:rPr>
          <w:rFonts w:ascii="Gill Sans MT" w:hAnsi="Gill Sans MT"/>
          <w:b/>
          <w:sz w:val="22"/>
          <w:szCs w:val="22"/>
          <w:lang w:val="fr-FR"/>
        </w:rPr>
      </w:pPr>
    </w:p>
    <w:tbl>
      <w:tblPr>
        <w:tblStyle w:val="Tabelraster"/>
        <w:tblW w:w="0" w:type="auto"/>
        <w:tblLook w:val="04A0" w:firstRow="1" w:lastRow="0" w:firstColumn="1" w:lastColumn="0" w:noHBand="0" w:noVBand="1"/>
      </w:tblPr>
      <w:tblGrid>
        <w:gridCol w:w="4531"/>
        <w:gridCol w:w="4531"/>
      </w:tblGrid>
      <w:tr w:rsidR="00C87C1B" w:rsidRPr="00765B15" w:rsidTr="00C87C1B">
        <w:tc>
          <w:tcPr>
            <w:tcW w:w="4531" w:type="dxa"/>
          </w:tcPr>
          <w:p w:rsidR="00C87C1B" w:rsidRPr="00765B15" w:rsidRDefault="00C87C1B" w:rsidP="006C79E4">
            <w:pPr>
              <w:jc w:val="both"/>
              <w:rPr>
                <w:rFonts w:ascii="Gill Sans MT" w:hAnsi="Gill Sans MT"/>
                <w:sz w:val="22"/>
                <w:szCs w:val="22"/>
                <w:lang w:val="fr-FR"/>
              </w:rPr>
            </w:pPr>
            <w:r w:rsidRPr="00765B15">
              <w:rPr>
                <w:rFonts w:ascii="Gill Sans MT" w:hAnsi="Gill Sans MT"/>
                <w:sz w:val="22"/>
                <w:lang w:val="fr-FR"/>
              </w:rPr>
              <w:t>Nombre d'organisations partenaires assurant la distribution aux plus démunis :</w:t>
            </w:r>
          </w:p>
        </w:tc>
        <w:tc>
          <w:tcPr>
            <w:tcW w:w="4531" w:type="dxa"/>
          </w:tcPr>
          <w:p w:rsidR="00C87C1B"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779 (CPAS et ASBL reconnues)</w:t>
            </w:r>
          </w:p>
        </w:tc>
      </w:tr>
      <w:tr w:rsidR="00C87C1B" w:rsidRPr="00765B15" w:rsidTr="00C87C1B">
        <w:tc>
          <w:tcPr>
            <w:tcW w:w="4531" w:type="dxa"/>
          </w:tcPr>
          <w:p w:rsidR="00C87C1B" w:rsidRPr="00765B15" w:rsidRDefault="00C87C1B" w:rsidP="006C79E4">
            <w:pPr>
              <w:jc w:val="both"/>
              <w:rPr>
                <w:rFonts w:ascii="Gill Sans MT" w:hAnsi="Gill Sans MT"/>
                <w:sz w:val="22"/>
                <w:szCs w:val="22"/>
                <w:lang w:val="fr-FR"/>
              </w:rPr>
            </w:pPr>
            <w:r w:rsidRPr="00765B15">
              <w:rPr>
                <w:rFonts w:ascii="Gill Sans MT" w:hAnsi="Gill Sans MT"/>
                <w:sz w:val="22"/>
                <w:lang w:val="fr-FR"/>
              </w:rPr>
              <w:t>Nombre de produits distribués dans le cadre du FEAD</w:t>
            </w:r>
          </w:p>
        </w:tc>
        <w:tc>
          <w:tcPr>
            <w:tcW w:w="4531" w:type="dxa"/>
          </w:tcPr>
          <w:p w:rsidR="00C87C1B"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14</w:t>
            </w:r>
          </w:p>
        </w:tc>
      </w:tr>
      <w:tr w:rsidR="00C87C1B" w:rsidRPr="00765B15" w:rsidTr="00C87C1B">
        <w:tc>
          <w:tcPr>
            <w:tcW w:w="4531" w:type="dxa"/>
          </w:tcPr>
          <w:p w:rsidR="00C87C1B" w:rsidRPr="00765B15" w:rsidRDefault="00C87C1B" w:rsidP="006C79E4">
            <w:pPr>
              <w:jc w:val="both"/>
              <w:rPr>
                <w:rFonts w:ascii="Gill Sans MT" w:hAnsi="Gill Sans MT"/>
                <w:sz w:val="22"/>
                <w:szCs w:val="22"/>
                <w:lang w:val="fr-FR"/>
              </w:rPr>
            </w:pPr>
            <w:r w:rsidRPr="00765B15">
              <w:rPr>
                <w:rFonts w:ascii="Gill Sans MT" w:hAnsi="Gill Sans MT"/>
                <w:sz w:val="22"/>
                <w:lang w:val="fr-FR"/>
              </w:rPr>
              <w:t>Montant de l'appel d'offres produits alimentaires</w:t>
            </w:r>
          </w:p>
        </w:tc>
        <w:tc>
          <w:tcPr>
            <w:tcW w:w="4531" w:type="dxa"/>
          </w:tcPr>
          <w:p w:rsidR="00C87C1B"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11.871.000 euros (TVA comprise)</w:t>
            </w:r>
          </w:p>
        </w:tc>
      </w:tr>
      <w:tr w:rsidR="00C87C1B" w:rsidRPr="00765B15" w:rsidTr="00C87C1B">
        <w:tc>
          <w:tcPr>
            <w:tcW w:w="4531" w:type="dxa"/>
          </w:tcPr>
          <w:p w:rsidR="00C87C1B" w:rsidRPr="00765B15" w:rsidRDefault="00C87C1B" w:rsidP="006C79E4">
            <w:pPr>
              <w:jc w:val="both"/>
              <w:rPr>
                <w:rFonts w:ascii="Gill Sans MT" w:hAnsi="Gill Sans MT"/>
                <w:sz w:val="22"/>
                <w:szCs w:val="22"/>
                <w:lang w:val="fr-FR"/>
              </w:rPr>
            </w:pPr>
            <w:r w:rsidRPr="00765B15">
              <w:rPr>
                <w:rFonts w:ascii="Gill Sans MT" w:hAnsi="Gill Sans MT"/>
                <w:sz w:val="22"/>
                <w:lang w:val="fr-FR"/>
              </w:rPr>
              <w:t>Nombre de tonnes de produits alimentaires livrées aux différentes organisations partenaires</w:t>
            </w:r>
          </w:p>
        </w:tc>
        <w:tc>
          <w:tcPr>
            <w:tcW w:w="4531" w:type="dxa"/>
          </w:tcPr>
          <w:p w:rsidR="00C87C1B"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9.829,54 tonnes</w:t>
            </w:r>
          </w:p>
        </w:tc>
      </w:tr>
      <w:tr w:rsidR="00C87C1B" w:rsidRPr="00765B15" w:rsidTr="00C87C1B">
        <w:tc>
          <w:tcPr>
            <w:tcW w:w="4531" w:type="dxa"/>
          </w:tcPr>
          <w:p w:rsidR="00C87C1B" w:rsidRPr="00765B15" w:rsidRDefault="00C87C1B" w:rsidP="006C79E4">
            <w:pPr>
              <w:jc w:val="both"/>
              <w:rPr>
                <w:rFonts w:ascii="Gill Sans MT" w:hAnsi="Gill Sans MT"/>
                <w:sz w:val="22"/>
                <w:szCs w:val="22"/>
                <w:lang w:val="fr-FR"/>
              </w:rPr>
            </w:pPr>
            <w:r w:rsidRPr="00765B15">
              <w:rPr>
                <w:rFonts w:ascii="Gill Sans MT" w:hAnsi="Gill Sans MT"/>
                <w:sz w:val="22"/>
                <w:lang w:val="fr-FR"/>
              </w:rPr>
              <w:t>Nombre de tonnes de produits alimentaires effectivement distribuées aux plus démunis</w:t>
            </w:r>
          </w:p>
        </w:tc>
        <w:tc>
          <w:tcPr>
            <w:tcW w:w="4531" w:type="dxa"/>
          </w:tcPr>
          <w:p w:rsidR="00C87C1B"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4.608,95 tonnes</w:t>
            </w:r>
          </w:p>
        </w:tc>
      </w:tr>
      <w:tr w:rsidR="00C87C1B" w:rsidRPr="00765B15" w:rsidTr="00C87C1B">
        <w:tc>
          <w:tcPr>
            <w:tcW w:w="4531" w:type="dxa"/>
          </w:tcPr>
          <w:p w:rsidR="00C87C1B" w:rsidRPr="00765B15" w:rsidRDefault="00C87C1B" w:rsidP="00C87C1B">
            <w:pPr>
              <w:rPr>
                <w:rFonts w:ascii="Gill Sans MT" w:hAnsi="Gill Sans MT"/>
                <w:sz w:val="22"/>
                <w:szCs w:val="22"/>
                <w:lang w:val="fr-FR"/>
              </w:rPr>
            </w:pPr>
            <w:r w:rsidRPr="00765B15">
              <w:rPr>
                <w:rFonts w:ascii="Gill Sans MT" w:hAnsi="Gill Sans MT"/>
                <w:sz w:val="22"/>
                <w:lang w:val="fr-FR"/>
              </w:rPr>
              <w:t>Nombre de personnes ayant recouru au FEAD</w:t>
            </w:r>
          </w:p>
        </w:tc>
        <w:tc>
          <w:tcPr>
            <w:tcW w:w="4531" w:type="dxa"/>
          </w:tcPr>
          <w:p w:rsidR="00C87C1B" w:rsidRPr="00765B15" w:rsidRDefault="004D03E8" w:rsidP="006C79E4">
            <w:pPr>
              <w:jc w:val="both"/>
              <w:rPr>
                <w:rFonts w:ascii="Gill Sans MT" w:hAnsi="Gill Sans MT"/>
                <w:b/>
                <w:sz w:val="22"/>
                <w:szCs w:val="22"/>
                <w:lang w:val="fr-FR"/>
              </w:rPr>
            </w:pPr>
            <w:r w:rsidRPr="00765B15">
              <w:rPr>
                <w:rFonts w:ascii="Gill Sans MT" w:hAnsi="Gill Sans MT"/>
                <w:b/>
                <w:sz w:val="22"/>
                <w:lang w:val="fr-FR"/>
              </w:rPr>
              <w:t>225.549</w:t>
            </w:r>
          </w:p>
        </w:tc>
      </w:tr>
    </w:tbl>
    <w:p w:rsidR="00C87C1B" w:rsidRPr="00765B15" w:rsidRDefault="00C87C1B" w:rsidP="006C79E4">
      <w:pPr>
        <w:jc w:val="both"/>
        <w:rPr>
          <w:rFonts w:ascii="Gill Sans MT" w:hAnsi="Gill Sans MT"/>
          <w:b/>
          <w:sz w:val="22"/>
          <w:szCs w:val="22"/>
          <w:lang w:val="fr-FR"/>
        </w:rPr>
      </w:pPr>
    </w:p>
    <w:p w:rsidR="00D77430" w:rsidRPr="00765B15" w:rsidRDefault="00C87C1B" w:rsidP="006C79E4">
      <w:pPr>
        <w:jc w:val="both"/>
        <w:rPr>
          <w:rFonts w:ascii="Gill Sans MT" w:hAnsi="Gill Sans MT"/>
          <w:b/>
          <w:sz w:val="22"/>
          <w:szCs w:val="22"/>
          <w:lang w:val="fr-FR"/>
        </w:rPr>
      </w:pPr>
      <w:r w:rsidRPr="00765B15">
        <w:rPr>
          <w:rFonts w:ascii="Gill Sans MT" w:hAnsi="Gill Sans MT"/>
          <w:b/>
          <w:sz w:val="22"/>
          <w:lang w:val="fr-FR"/>
        </w:rPr>
        <w:t>Vous voulez en savoir plus sur 2014 ?</w:t>
      </w:r>
    </w:p>
    <w:p w:rsidR="00D324DE" w:rsidRPr="00765B15" w:rsidRDefault="00D324DE" w:rsidP="006C79E4">
      <w:pPr>
        <w:jc w:val="both"/>
        <w:rPr>
          <w:rFonts w:ascii="Gill Sans MT" w:hAnsi="Gill Sans MT"/>
          <w:b/>
          <w:sz w:val="22"/>
          <w:szCs w:val="22"/>
          <w:lang w:val="fr-FR"/>
        </w:rPr>
      </w:pPr>
    </w:p>
    <w:p w:rsidR="00D324DE" w:rsidRPr="00765B15" w:rsidRDefault="00D324DE" w:rsidP="006C79E4">
      <w:pPr>
        <w:jc w:val="both"/>
        <w:rPr>
          <w:rFonts w:ascii="Gill Sans MT" w:hAnsi="Gill Sans MT"/>
          <w:sz w:val="22"/>
          <w:szCs w:val="22"/>
          <w:lang w:val="fr-FR"/>
        </w:rPr>
      </w:pPr>
      <w:r w:rsidRPr="00765B15">
        <w:rPr>
          <w:rFonts w:ascii="Gill Sans MT" w:hAnsi="Gill Sans MT"/>
          <w:sz w:val="22"/>
          <w:lang w:val="fr-FR"/>
        </w:rPr>
        <w:t xml:space="preserve">Vous pouvez lire le rapport annuel complet </w:t>
      </w:r>
      <w:hyperlink r:id="rId8" w:history="1">
        <w:r w:rsidR="00E9345C">
          <w:rPr>
            <w:rStyle w:val="Hyperlink"/>
            <w:lang w:eastAsia="en-US"/>
          </w:rPr>
          <w:t>ici</w:t>
        </w:r>
      </w:hyperlink>
      <w:r w:rsidR="00E9345C">
        <w:t xml:space="preserve"> </w:t>
      </w:r>
      <w:r w:rsidRPr="00765B15">
        <w:rPr>
          <w:rFonts w:ascii="Gill Sans MT" w:hAnsi="Gill Sans MT"/>
          <w:sz w:val="22"/>
          <w:lang w:val="fr-FR"/>
        </w:rPr>
        <w:t xml:space="preserve">. </w:t>
      </w:r>
      <w:bookmarkStart w:id="0" w:name="_GoBack"/>
      <w:bookmarkEnd w:id="0"/>
    </w:p>
    <w:sectPr w:rsidR="00D324DE" w:rsidRPr="00765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0D" w:rsidRDefault="008B3A0D" w:rsidP="00FE6E18">
      <w:r>
        <w:separator/>
      </w:r>
    </w:p>
  </w:endnote>
  <w:endnote w:type="continuationSeparator" w:id="0">
    <w:p w:rsidR="008B3A0D" w:rsidRDefault="008B3A0D"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0D" w:rsidRDefault="008B3A0D" w:rsidP="00FE6E18">
      <w:r>
        <w:separator/>
      </w:r>
    </w:p>
  </w:footnote>
  <w:footnote w:type="continuationSeparator" w:id="0">
    <w:p w:rsidR="008B3A0D" w:rsidRDefault="008B3A0D"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CD63E55"/>
    <w:multiLevelType w:val="hybridMultilevel"/>
    <w:tmpl w:val="08B0ADB4"/>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05F5E"/>
    <w:multiLevelType w:val="multilevel"/>
    <w:tmpl w:val="D5AE1A1E"/>
    <w:lvl w:ilvl="0">
      <w:start w:val="1"/>
      <w:numFmt w:val="decimal"/>
      <w:pStyle w:val="Kop1"/>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7"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E41B54"/>
    <w:multiLevelType w:val="hybridMultilevel"/>
    <w:tmpl w:val="433E0E80"/>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6"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4"/>
  </w:num>
  <w:num w:numId="5">
    <w:abstractNumId w:val="1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3"/>
  </w:num>
  <w:num w:numId="24">
    <w:abstractNumId w:val="9"/>
  </w:num>
  <w:num w:numId="25">
    <w:abstractNumId w:val="11"/>
  </w:num>
  <w:num w:numId="26">
    <w:abstractNumId w:val="9"/>
  </w:num>
  <w:num w:numId="27">
    <w:abstractNumId w:val="9"/>
  </w:num>
  <w:num w:numId="28">
    <w:abstractNumId w:val="9"/>
  </w:num>
  <w:num w:numId="29">
    <w:abstractNumId w:val="9"/>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5"/>
  </w:num>
  <w:num w:numId="35">
    <w:abstractNumId w:val="4"/>
  </w:num>
  <w:num w:numId="36">
    <w:abstractNumId w:val="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
  </w:num>
  <w:num w:numId="43">
    <w:abstractNumId w:val="8"/>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80"/>
    <w:rsid w:val="00012010"/>
    <w:rsid w:val="000243E5"/>
    <w:rsid w:val="00046F5F"/>
    <w:rsid w:val="000571E6"/>
    <w:rsid w:val="00090873"/>
    <w:rsid w:val="0009675D"/>
    <w:rsid w:val="000B608C"/>
    <w:rsid w:val="000E0093"/>
    <w:rsid w:val="00100614"/>
    <w:rsid w:val="00117DDF"/>
    <w:rsid w:val="00127B3A"/>
    <w:rsid w:val="001345A5"/>
    <w:rsid w:val="00190505"/>
    <w:rsid w:val="001B7A2A"/>
    <w:rsid w:val="001D05D3"/>
    <w:rsid w:val="001D4721"/>
    <w:rsid w:val="0024088D"/>
    <w:rsid w:val="00242952"/>
    <w:rsid w:val="002603E5"/>
    <w:rsid w:val="00273FFE"/>
    <w:rsid w:val="002813CC"/>
    <w:rsid w:val="00282385"/>
    <w:rsid w:val="00287884"/>
    <w:rsid w:val="00287C54"/>
    <w:rsid w:val="002B033E"/>
    <w:rsid w:val="002C0194"/>
    <w:rsid w:val="002C4269"/>
    <w:rsid w:val="002E46D4"/>
    <w:rsid w:val="00302B15"/>
    <w:rsid w:val="003030DC"/>
    <w:rsid w:val="003117D7"/>
    <w:rsid w:val="00326DF8"/>
    <w:rsid w:val="00374F2C"/>
    <w:rsid w:val="00381FE6"/>
    <w:rsid w:val="003C7DBA"/>
    <w:rsid w:val="003F06D0"/>
    <w:rsid w:val="0040346C"/>
    <w:rsid w:val="0041747F"/>
    <w:rsid w:val="00420A31"/>
    <w:rsid w:val="00432D5D"/>
    <w:rsid w:val="004515E8"/>
    <w:rsid w:val="004560DE"/>
    <w:rsid w:val="0046056F"/>
    <w:rsid w:val="00467976"/>
    <w:rsid w:val="0047179C"/>
    <w:rsid w:val="004877C6"/>
    <w:rsid w:val="004C215E"/>
    <w:rsid w:val="004D03E8"/>
    <w:rsid w:val="00500BAA"/>
    <w:rsid w:val="00507046"/>
    <w:rsid w:val="0051724E"/>
    <w:rsid w:val="00530F42"/>
    <w:rsid w:val="00551130"/>
    <w:rsid w:val="005524E6"/>
    <w:rsid w:val="00557DBC"/>
    <w:rsid w:val="00580049"/>
    <w:rsid w:val="005B2DE7"/>
    <w:rsid w:val="005E1259"/>
    <w:rsid w:val="00615EF9"/>
    <w:rsid w:val="00623ED5"/>
    <w:rsid w:val="00644F8C"/>
    <w:rsid w:val="006723F6"/>
    <w:rsid w:val="00677C23"/>
    <w:rsid w:val="006A51E8"/>
    <w:rsid w:val="006C79E4"/>
    <w:rsid w:val="00721C92"/>
    <w:rsid w:val="007548AD"/>
    <w:rsid w:val="00765B15"/>
    <w:rsid w:val="007846AD"/>
    <w:rsid w:val="007A5D1A"/>
    <w:rsid w:val="007B135B"/>
    <w:rsid w:val="007B3183"/>
    <w:rsid w:val="007F2C04"/>
    <w:rsid w:val="00842AB7"/>
    <w:rsid w:val="00851C02"/>
    <w:rsid w:val="00894337"/>
    <w:rsid w:val="008A6F70"/>
    <w:rsid w:val="008B3A0D"/>
    <w:rsid w:val="008C2C40"/>
    <w:rsid w:val="008D7D27"/>
    <w:rsid w:val="008E4811"/>
    <w:rsid w:val="008E6739"/>
    <w:rsid w:val="008F3826"/>
    <w:rsid w:val="009273AC"/>
    <w:rsid w:val="00936EC6"/>
    <w:rsid w:val="0094145B"/>
    <w:rsid w:val="0094408E"/>
    <w:rsid w:val="00960C1C"/>
    <w:rsid w:val="00983947"/>
    <w:rsid w:val="00987463"/>
    <w:rsid w:val="00994004"/>
    <w:rsid w:val="00996293"/>
    <w:rsid w:val="00996866"/>
    <w:rsid w:val="009B55DE"/>
    <w:rsid w:val="00A06A8D"/>
    <w:rsid w:val="00A06EE5"/>
    <w:rsid w:val="00A4733C"/>
    <w:rsid w:val="00A7299C"/>
    <w:rsid w:val="00A72F55"/>
    <w:rsid w:val="00AC19ED"/>
    <w:rsid w:val="00AC5883"/>
    <w:rsid w:val="00AD00A7"/>
    <w:rsid w:val="00B224E9"/>
    <w:rsid w:val="00B40A4E"/>
    <w:rsid w:val="00B71DA6"/>
    <w:rsid w:val="00BA3D40"/>
    <w:rsid w:val="00BD42E1"/>
    <w:rsid w:val="00C0093F"/>
    <w:rsid w:val="00C41AC0"/>
    <w:rsid w:val="00C54758"/>
    <w:rsid w:val="00C6492E"/>
    <w:rsid w:val="00C67820"/>
    <w:rsid w:val="00C87C1B"/>
    <w:rsid w:val="00CA063E"/>
    <w:rsid w:val="00CA520C"/>
    <w:rsid w:val="00CC1BC5"/>
    <w:rsid w:val="00CC2850"/>
    <w:rsid w:val="00CC3046"/>
    <w:rsid w:val="00CE3F82"/>
    <w:rsid w:val="00D01A05"/>
    <w:rsid w:val="00D02BE3"/>
    <w:rsid w:val="00D324DE"/>
    <w:rsid w:val="00D4536F"/>
    <w:rsid w:val="00D57C4C"/>
    <w:rsid w:val="00D77430"/>
    <w:rsid w:val="00D8285C"/>
    <w:rsid w:val="00DA0DEC"/>
    <w:rsid w:val="00DB539B"/>
    <w:rsid w:val="00DC2CB2"/>
    <w:rsid w:val="00DC7BD7"/>
    <w:rsid w:val="00DD01C1"/>
    <w:rsid w:val="00DE788C"/>
    <w:rsid w:val="00DF5940"/>
    <w:rsid w:val="00DF679E"/>
    <w:rsid w:val="00E27C7F"/>
    <w:rsid w:val="00E41BA5"/>
    <w:rsid w:val="00E53DEE"/>
    <w:rsid w:val="00E6264A"/>
    <w:rsid w:val="00E65880"/>
    <w:rsid w:val="00E7403A"/>
    <w:rsid w:val="00E74718"/>
    <w:rsid w:val="00E84FB3"/>
    <w:rsid w:val="00E9345C"/>
    <w:rsid w:val="00ED6284"/>
    <w:rsid w:val="00EE3208"/>
    <w:rsid w:val="00EE38D8"/>
    <w:rsid w:val="00EE47BE"/>
    <w:rsid w:val="00EE4DB3"/>
    <w:rsid w:val="00EE59FD"/>
    <w:rsid w:val="00F2087F"/>
    <w:rsid w:val="00F252C2"/>
    <w:rsid w:val="00F34B3C"/>
    <w:rsid w:val="00F36E13"/>
    <w:rsid w:val="00F4462A"/>
    <w:rsid w:val="00F55F8C"/>
    <w:rsid w:val="00F74CC6"/>
    <w:rsid w:val="00FB1BAA"/>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033F4"/>
  <w15:docId w15:val="{5A05B467-3EAD-4FB2-A447-27ECD2BE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numPr>
        <w:numId w:val="34"/>
      </w:numPr>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numPr>
        <w:ilvl w:val="1"/>
      </w:numPr>
      <w:outlineLvl w:val="1"/>
    </w:pPr>
  </w:style>
  <w:style w:type="paragraph" w:styleId="Kop3">
    <w:name w:val="heading 3"/>
    <w:basedOn w:val="Standaard"/>
    <w:next w:val="Standaard"/>
    <w:link w:val="Kop3Char"/>
    <w:uiPriority w:val="9"/>
    <w:unhideWhenUsed/>
    <w:qFormat/>
    <w:rsid w:val="001D4721"/>
    <w:pPr>
      <w:keepNext/>
      <w:numPr>
        <w:ilvl w:val="2"/>
        <w:numId w:val="34"/>
      </w:numPr>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numPr>
        <w:ilvl w:val="3"/>
        <w:numId w:val="34"/>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numPr>
        <w:ilvl w:val="4"/>
        <w:numId w:val="34"/>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numPr>
        <w:ilvl w:val="5"/>
        <w:numId w:val="34"/>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numPr>
        <w:ilvl w:val="6"/>
        <w:numId w:val="34"/>
      </w:numPr>
      <w:spacing w:before="240" w:after="60"/>
      <w:outlineLvl w:val="6"/>
    </w:pPr>
  </w:style>
  <w:style w:type="paragraph" w:styleId="Kop8">
    <w:name w:val="heading 8"/>
    <w:basedOn w:val="Standaard"/>
    <w:next w:val="Standaard"/>
    <w:link w:val="Kop8Char"/>
    <w:uiPriority w:val="9"/>
    <w:semiHidden/>
    <w:unhideWhenUsed/>
    <w:qFormat/>
    <w:rsid w:val="001D4721"/>
    <w:pPr>
      <w:numPr>
        <w:ilvl w:val="7"/>
        <w:numId w:val="34"/>
      </w:numPr>
      <w:spacing w:before="240" w:after="60"/>
      <w:outlineLvl w:val="7"/>
    </w:pPr>
    <w:rPr>
      <w:i/>
      <w:iCs/>
    </w:rPr>
  </w:style>
  <w:style w:type="paragraph" w:styleId="Kop9">
    <w:name w:val="heading 9"/>
    <w:basedOn w:val="Standaard"/>
    <w:next w:val="Standaard"/>
    <w:link w:val="Kop9Char"/>
    <w:uiPriority w:val="9"/>
    <w:semiHidden/>
    <w:unhideWhenUsed/>
    <w:qFormat/>
    <w:rsid w:val="001D4721"/>
    <w:pPr>
      <w:numPr>
        <w:ilvl w:val="8"/>
        <w:numId w:val="34"/>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fr-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D03E8"/>
    <w:rPr>
      <w:color w:val="605E5C"/>
      <w:shd w:val="clear" w:color="auto" w:fill="E1DFDD"/>
    </w:rPr>
  </w:style>
  <w:style w:type="character" w:styleId="GevolgdeHyperlink">
    <w:name w:val="FollowedHyperlink"/>
    <w:basedOn w:val="Standaardalinea-lettertype"/>
    <w:uiPriority w:val="99"/>
    <w:semiHidden/>
    <w:unhideWhenUsed/>
    <w:rsid w:val="00E9345C"/>
    <w:rPr>
      <w:color w:val="919191" w:themeColor="followedHyperlink"/>
      <w:u w:val="single"/>
    </w:rPr>
  </w:style>
  <w:style w:type="character" w:styleId="Onopgelostemelding">
    <w:name w:val="Unresolved Mention"/>
    <w:basedOn w:val="Standaardalinea-lettertype"/>
    <w:uiPriority w:val="99"/>
    <w:semiHidden/>
    <w:unhideWhenUsed/>
    <w:rsid w:val="00E9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sites/default/files/documents/fead_rapport_annuel_2014_fr_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7D49-0DFB-4EEA-B62D-17DBCE4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850</Words>
  <Characters>4676</Characters>
  <Application>Microsoft Office Word</Application>
  <DocSecurity>0</DocSecurity>
  <Lines>38</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Peeten Jolien</dc:creator>
  <cp:lastModifiedBy>Bossuyt Nele</cp:lastModifiedBy>
  <cp:revision>7</cp:revision>
  <dcterms:created xsi:type="dcterms:W3CDTF">2019-11-18T08:53:00Z</dcterms:created>
  <dcterms:modified xsi:type="dcterms:W3CDTF">2019-11-21T21:00:00Z</dcterms:modified>
</cp:coreProperties>
</file>