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0F14" w:rsidRPr="00907834" w:rsidRDefault="00540F14" w:rsidP="00540F14">
      <w:pPr>
        <w:pStyle w:val="Titel"/>
        <w:jc w:val="both"/>
        <w:rPr>
          <w:rFonts w:ascii="Gill Sans MT" w:hAnsi="Gill Sans MT"/>
        </w:rPr>
      </w:pPr>
      <w:r w:rsidRPr="00907834">
        <w:rPr>
          <w:rFonts w:ascii="Gill Sans MT" w:hAnsi="Gill Sans MT"/>
        </w:rPr>
        <w:t>Résumé du rapport annuel 2019 du FEAD</w:t>
      </w:r>
    </w:p>
    <w:p w:rsidR="00540F14" w:rsidRPr="00907834" w:rsidRDefault="00540F14" w:rsidP="00540F14">
      <w:pPr>
        <w:pStyle w:val="Kop1"/>
        <w:jc w:val="both"/>
        <w:rPr>
          <w:rFonts w:ascii="Gill Sans MT" w:hAnsi="Gill Sans MT"/>
        </w:rPr>
      </w:pPr>
      <w:r w:rsidRPr="00907834">
        <w:rPr>
          <w:rFonts w:ascii="Gill Sans MT" w:hAnsi="Gill Sans MT"/>
        </w:rPr>
        <w:t>2019 : l'année du retour au calme</w:t>
      </w:r>
    </w:p>
    <w:p w:rsidR="00540F14" w:rsidRPr="00907834" w:rsidRDefault="00540F14" w:rsidP="00540F14">
      <w:pPr>
        <w:jc w:val="both"/>
        <w:rPr>
          <w:sz w:val="22"/>
        </w:rPr>
      </w:pPr>
    </w:p>
    <w:p w:rsidR="00540F14" w:rsidRPr="00907834" w:rsidRDefault="00540F14" w:rsidP="00540F14">
      <w:pPr>
        <w:jc w:val="both"/>
        <w:rPr>
          <w:rFonts w:ascii="Gill Sans MT" w:hAnsi="Gill Sans MT"/>
          <w:sz w:val="22"/>
        </w:rPr>
      </w:pPr>
      <w:r w:rsidRPr="00907834">
        <w:rPr>
          <w:rFonts w:ascii="Gill Sans MT" w:hAnsi="Gill Sans MT"/>
          <w:sz w:val="22"/>
        </w:rPr>
        <w:t xml:space="preserve">En 2019, le système de distribution alimentaire organisé dans le cadre du Fonds </w:t>
      </w:r>
      <w:r w:rsidR="004A5FFC">
        <w:rPr>
          <w:rFonts w:ascii="Gill Sans MT" w:hAnsi="Gill Sans MT"/>
          <w:sz w:val="22"/>
        </w:rPr>
        <w:t>E</w:t>
      </w:r>
      <w:r w:rsidRPr="00907834">
        <w:rPr>
          <w:rFonts w:ascii="Gill Sans MT" w:hAnsi="Gill Sans MT"/>
          <w:sz w:val="22"/>
        </w:rPr>
        <w:t>uropéen d'</w:t>
      </w:r>
      <w:r w:rsidR="004A5FFC">
        <w:rPr>
          <w:rFonts w:ascii="Gill Sans MT" w:hAnsi="Gill Sans MT"/>
          <w:sz w:val="22"/>
        </w:rPr>
        <w:t>A</w:t>
      </w:r>
      <w:r w:rsidRPr="00907834">
        <w:rPr>
          <w:rFonts w:ascii="Gill Sans MT" w:hAnsi="Gill Sans MT"/>
          <w:sz w:val="22"/>
        </w:rPr>
        <w:t xml:space="preserve">ide aux plus </w:t>
      </w:r>
      <w:r w:rsidR="004A5FFC">
        <w:rPr>
          <w:rFonts w:ascii="Gill Sans MT" w:hAnsi="Gill Sans MT"/>
          <w:sz w:val="22"/>
        </w:rPr>
        <w:t>D</w:t>
      </w:r>
      <w:r w:rsidRPr="00907834">
        <w:rPr>
          <w:rFonts w:ascii="Gill Sans MT" w:hAnsi="Gill Sans MT"/>
          <w:sz w:val="22"/>
        </w:rPr>
        <w:t xml:space="preserve">émunis (FEAD) a été poursuivi et </w:t>
      </w:r>
      <w:r w:rsidR="00385557" w:rsidRPr="00907834">
        <w:rPr>
          <w:rStyle w:val="hps"/>
          <w:rFonts w:ascii="Gill Sans MT" w:hAnsi="Gill Sans MT"/>
          <w:sz w:val="22"/>
        </w:rPr>
        <w:t>413</w:t>
      </w:r>
      <w:r w:rsidR="004A5FFC">
        <w:rPr>
          <w:rStyle w:val="hps"/>
          <w:rFonts w:ascii="Gill Sans MT" w:hAnsi="Gill Sans MT"/>
          <w:sz w:val="22"/>
        </w:rPr>
        <w:t>.</w:t>
      </w:r>
      <w:r w:rsidR="00385557" w:rsidRPr="00907834">
        <w:rPr>
          <w:rStyle w:val="hps"/>
          <w:rFonts w:ascii="Gill Sans MT" w:hAnsi="Gill Sans MT"/>
          <w:sz w:val="22"/>
        </w:rPr>
        <w:t>058</w:t>
      </w:r>
      <w:r w:rsidRPr="00907834">
        <w:rPr>
          <w:rFonts w:ascii="Gill Sans MT" w:hAnsi="Gill Sans MT"/>
          <w:sz w:val="22"/>
        </w:rPr>
        <w:t xml:space="preserve"> personnes dans le besoin ont reçu une aide.</w:t>
      </w:r>
    </w:p>
    <w:p w:rsidR="00385557" w:rsidRPr="00907834" w:rsidRDefault="00385557" w:rsidP="00540F14">
      <w:pPr>
        <w:jc w:val="both"/>
        <w:rPr>
          <w:rFonts w:ascii="Gill Sans MT" w:hAnsi="Gill Sans MT"/>
          <w:sz w:val="22"/>
        </w:rPr>
      </w:pPr>
    </w:p>
    <w:p w:rsidR="00385557" w:rsidRPr="00907834" w:rsidRDefault="000F03FF" w:rsidP="00540F14">
      <w:pPr>
        <w:jc w:val="both"/>
        <w:rPr>
          <w:rFonts w:ascii="Gill Sans MT" w:hAnsi="Gill Sans MT"/>
          <w:sz w:val="22"/>
        </w:rPr>
      </w:pPr>
      <w:r w:rsidRPr="00907834">
        <w:rPr>
          <w:rFonts w:ascii="Gill Sans MT" w:hAnsi="Gill Sans MT"/>
          <w:b/>
          <w:sz w:val="22"/>
        </w:rPr>
        <w:t xml:space="preserve">Même si 2019 a été une année relativement calme, elle a également comporté son lot de défis et de réussites. </w:t>
      </w:r>
      <w:r w:rsidRPr="00907834">
        <w:rPr>
          <w:rFonts w:ascii="Gill Sans MT" w:hAnsi="Gill Sans MT"/>
          <w:sz w:val="22"/>
        </w:rPr>
        <w:t>Cette année se caractérise par les événements suivants :</w:t>
      </w:r>
    </w:p>
    <w:p w:rsidR="00DE18A5" w:rsidRPr="00907834" w:rsidRDefault="00F079BC" w:rsidP="005B722B">
      <w:pPr>
        <w:pStyle w:val="Lijstalinea"/>
        <w:numPr>
          <w:ilvl w:val="0"/>
          <w:numId w:val="4"/>
        </w:numPr>
        <w:jc w:val="both"/>
        <w:rPr>
          <w:rFonts w:ascii="Gill Sans MT" w:hAnsi="Gill Sans MT"/>
          <w:sz w:val="22"/>
        </w:rPr>
      </w:pPr>
      <w:r w:rsidRPr="00907834">
        <w:rPr>
          <w:rFonts w:ascii="Gill Sans MT" w:hAnsi="Gill Sans MT"/>
          <w:b/>
          <w:sz w:val="22"/>
        </w:rPr>
        <w:t xml:space="preserve">Le retard des livraisons de la campagne 2018. </w:t>
      </w:r>
      <w:r w:rsidRPr="00907834">
        <w:rPr>
          <w:rFonts w:ascii="Gill Sans MT" w:hAnsi="Gill Sans MT"/>
          <w:sz w:val="22"/>
        </w:rPr>
        <w:t xml:space="preserve">La campagne 2018 a connu de nombreux retards (cf. rapport annuel 2018) et a donc débuté </w:t>
      </w:r>
      <w:r w:rsidR="006E0DAE">
        <w:rPr>
          <w:rFonts w:ascii="Gill Sans MT" w:hAnsi="Gill Sans MT"/>
          <w:sz w:val="22"/>
        </w:rPr>
        <w:t xml:space="preserve">plus </w:t>
      </w:r>
      <w:r w:rsidRPr="00907834">
        <w:rPr>
          <w:rFonts w:ascii="Gill Sans MT" w:hAnsi="Gill Sans MT"/>
          <w:sz w:val="22"/>
        </w:rPr>
        <w:t>tard</w:t>
      </w:r>
      <w:r w:rsidR="006E0DAE">
        <w:rPr>
          <w:rFonts w:ascii="Gill Sans MT" w:hAnsi="Gill Sans MT"/>
          <w:sz w:val="22"/>
        </w:rPr>
        <w:t>ivement que prévu</w:t>
      </w:r>
      <w:r w:rsidRPr="00907834">
        <w:rPr>
          <w:rFonts w:ascii="Gill Sans MT" w:hAnsi="Gill Sans MT"/>
          <w:sz w:val="22"/>
        </w:rPr>
        <w:t xml:space="preserve"> (début 2019). L'AG a donc instauré des mesures </w:t>
      </w:r>
      <w:r w:rsidR="006E0DAE">
        <w:rPr>
          <w:rFonts w:ascii="Gill Sans MT" w:hAnsi="Gill Sans MT"/>
          <w:sz w:val="22"/>
        </w:rPr>
        <w:t>d’urgence</w:t>
      </w:r>
      <w:r w:rsidRPr="00907834">
        <w:rPr>
          <w:rFonts w:ascii="Gill Sans MT" w:hAnsi="Gill Sans MT"/>
          <w:sz w:val="22"/>
        </w:rPr>
        <w:t xml:space="preserve"> pour pallier ce retard. </w:t>
      </w:r>
    </w:p>
    <w:p w:rsidR="00F079BC" w:rsidRPr="00907834" w:rsidRDefault="00A07151" w:rsidP="00F079BC">
      <w:pPr>
        <w:pStyle w:val="Lijstalinea"/>
        <w:jc w:val="both"/>
        <w:rPr>
          <w:rFonts w:ascii="Gill Sans MT" w:hAnsi="Gill Sans MT"/>
          <w:sz w:val="22"/>
        </w:rPr>
      </w:pPr>
      <w:r>
        <w:rPr>
          <w:rFonts w:ascii="Gill Sans MT" w:hAnsi="Gill Sans MT"/>
          <w:sz w:val="22"/>
        </w:rPr>
        <w:t>U</w:t>
      </w:r>
      <w:r w:rsidR="00F079BC" w:rsidRPr="00907834">
        <w:rPr>
          <w:rFonts w:ascii="Gill Sans MT" w:hAnsi="Gill Sans MT"/>
          <w:sz w:val="22"/>
        </w:rPr>
        <w:t xml:space="preserve">n retard supplémentaire concernant la livraison de la farine de blé est également à déplorer pour la campagne 2018. Suite à de nombreux problèmes de production, les livraisons ont eu lieu avec cinq mois de retard et ont pris plus de temps que prévu. </w:t>
      </w:r>
    </w:p>
    <w:p w:rsidR="00AA1978" w:rsidRPr="00907834" w:rsidRDefault="00F079BC" w:rsidP="00F079BC">
      <w:pPr>
        <w:pStyle w:val="Lijstalinea"/>
        <w:jc w:val="both"/>
        <w:rPr>
          <w:rFonts w:ascii="Gill Sans MT" w:hAnsi="Gill Sans MT"/>
          <w:sz w:val="22"/>
        </w:rPr>
      </w:pPr>
      <w:r w:rsidRPr="00907834">
        <w:rPr>
          <w:rFonts w:ascii="Gill Sans MT" w:hAnsi="Gill Sans MT"/>
          <w:sz w:val="22"/>
        </w:rPr>
        <w:t>Toutefois, la transition avec la campagne 2019 s'est passée sans encombre. Aucun retard n'est à déplorer.</w:t>
      </w:r>
    </w:p>
    <w:p w:rsidR="003B22A9" w:rsidRPr="00907834" w:rsidRDefault="00F079BC" w:rsidP="005B722B">
      <w:pPr>
        <w:pStyle w:val="Lijstalinea"/>
        <w:numPr>
          <w:ilvl w:val="0"/>
          <w:numId w:val="4"/>
        </w:numPr>
        <w:jc w:val="both"/>
        <w:rPr>
          <w:rFonts w:ascii="Gill Sans MT" w:hAnsi="Gill Sans MT"/>
          <w:sz w:val="22"/>
        </w:rPr>
      </w:pPr>
      <w:r w:rsidRPr="00907834">
        <w:rPr>
          <w:rFonts w:ascii="Gill Sans MT" w:hAnsi="Gill Sans MT"/>
          <w:b/>
          <w:sz w:val="22"/>
        </w:rPr>
        <w:t xml:space="preserve">L'évaluation de la programmation 2014-2020 du FEAD. </w:t>
      </w:r>
      <w:r w:rsidRPr="00907834">
        <w:rPr>
          <w:rFonts w:ascii="Gill Sans MT" w:hAnsi="Gill Sans MT"/>
          <w:sz w:val="22"/>
        </w:rPr>
        <w:t>En 2019, l'université d'Anvers a évalué la programmation 2014-2020 en préparation de la prochaine période de programmation (2021-2027). Le contractant avait pour tâche d'analyser la qualité, l'efficacité, la cohérence et la valeur ajoutée de la programmation. Les évaluateurs ont ensuite émis les recommandations suivantes :</w:t>
      </w:r>
    </w:p>
    <w:p w:rsidR="003B22A9" w:rsidRPr="00907834" w:rsidRDefault="003B22A9" w:rsidP="003B22A9">
      <w:pPr>
        <w:pStyle w:val="Lijstalinea"/>
        <w:numPr>
          <w:ilvl w:val="1"/>
          <w:numId w:val="4"/>
        </w:numPr>
        <w:jc w:val="both"/>
        <w:rPr>
          <w:rFonts w:ascii="Gill Sans MT" w:hAnsi="Gill Sans MT"/>
          <w:sz w:val="22"/>
        </w:rPr>
      </w:pPr>
      <w:r w:rsidRPr="00907834">
        <w:rPr>
          <w:rFonts w:ascii="Gill Sans MT" w:hAnsi="Gill Sans MT"/>
          <w:sz w:val="22"/>
        </w:rPr>
        <w:t>consulter systématiquement les groupes cibles</w:t>
      </w:r>
    </w:p>
    <w:p w:rsidR="003B22A9" w:rsidRPr="00907834" w:rsidRDefault="003B22A9" w:rsidP="003B22A9">
      <w:pPr>
        <w:pStyle w:val="Lijstalinea"/>
        <w:numPr>
          <w:ilvl w:val="1"/>
          <w:numId w:val="4"/>
        </w:numPr>
        <w:jc w:val="both"/>
        <w:rPr>
          <w:rFonts w:ascii="Gill Sans MT" w:hAnsi="Gill Sans MT"/>
          <w:sz w:val="22"/>
        </w:rPr>
      </w:pPr>
      <w:r w:rsidRPr="00907834">
        <w:rPr>
          <w:rFonts w:ascii="Gill Sans MT" w:hAnsi="Gill Sans MT"/>
          <w:sz w:val="22"/>
        </w:rPr>
        <w:t>utiliser systématiquement les réseaux sociaux</w:t>
      </w:r>
    </w:p>
    <w:p w:rsidR="003B22A9" w:rsidRPr="00907834" w:rsidRDefault="003B22A9" w:rsidP="003B22A9">
      <w:pPr>
        <w:pStyle w:val="Lijstalinea"/>
        <w:numPr>
          <w:ilvl w:val="1"/>
          <w:numId w:val="4"/>
        </w:numPr>
        <w:jc w:val="both"/>
        <w:rPr>
          <w:rFonts w:ascii="Gill Sans MT" w:hAnsi="Gill Sans MT"/>
          <w:sz w:val="22"/>
        </w:rPr>
      </w:pPr>
      <w:r w:rsidRPr="00907834">
        <w:rPr>
          <w:rFonts w:ascii="Gill Sans MT" w:hAnsi="Gill Sans MT"/>
          <w:sz w:val="22"/>
        </w:rPr>
        <w:t>relativiser l'importance de la durabilité dans le contexte du FEAD</w:t>
      </w:r>
    </w:p>
    <w:p w:rsidR="003B22A9" w:rsidRPr="00907834" w:rsidRDefault="003B22A9" w:rsidP="003B22A9">
      <w:pPr>
        <w:pStyle w:val="Lijstalinea"/>
        <w:numPr>
          <w:ilvl w:val="1"/>
          <w:numId w:val="4"/>
        </w:numPr>
        <w:jc w:val="both"/>
        <w:rPr>
          <w:rFonts w:ascii="Gill Sans MT" w:hAnsi="Gill Sans MT"/>
          <w:sz w:val="22"/>
        </w:rPr>
      </w:pPr>
      <w:r w:rsidRPr="00907834">
        <w:rPr>
          <w:rFonts w:ascii="Gill Sans MT" w:hAnsi="Gill Sans MT"/>
          <w:sz w:val="22"/>
        </w:rPr>
        <w:t xml:space="preserve">plaider en faveur de dates de </w:t>
      </w:r>
      <w:r w:rsidR="00907834">
        <w:rPr>
          <w:rFonts w:ascii="Gill Sans MT" w:hAnsi="Gill Sans MT"/>
          <w:sz w:val="22"/>
        </w:rPr>
        <w:t>péremption</w:t>
      </w:r>
      <w:r w:rsidRPr="00907834">
        <w:rPr>
          <w:rFonts w:ascii="Gill Sans MT" w:hAnsi="Gill Sans MT"/>
          <w:sz w:val="22"/>
        </w:rPr>
        <w:t xml:space="preserve"> plus claires</w:t>
      </w:r>
    </w:p>
    <w:p w:rsidR="003B22A9" w:rsidRPr="00907834" w:rsidRDefault="003B22A9" w:rsidP="003B22A9">
      <w:pPr>
        <w:pStyle w:val="Lijstalinea"/>
        <w:numPr>
          <w:ilvl w:val="1"/>
          <w:numId w:val="4"/>
        </w:numPr>
        <w:jc w:val="both"/>
        <w:rPr>
          <w:rFonts w:ascii="Gill Sans MT" w:hAnsi="Gill Sans MT"/>
          <w:sz w:val="22"/>
        </w:rPr>
      </w:pPr>
      <w:r w:rsidRPr="00907834">
        <w:rPr>
          <w:rFonts w:ascii="Gill Sans MT" w:hAnsi="Gill Sans MT"/>
          <w:sz w:val="22"/>
        </w:rPr>
        <w:t xml:space="preserve">favoriser la standardisation de l'identification des personnes les plus </w:t>
      </w:r>
      <w:r w:rsidR="006E0DAE">
        <w:rPr>
          <w:rFonts w:ascii="Gill Sans MT" w:hAnsi="Gill Sans MT"/>
          <w:sz w:val="22"/>
        </w:rPr>
        <w:t>démunies</w:t>
      </w:r>
      <w:r w:rsidRPr="00907834">
        <w:rPr>
          <w:rFonts w:ascii="Gill Sans MT" w:hAnsi="Gill Sans MT"/>
          <w:sz w:val="22"/>
        </w:rPr>
        <w:t xml:space="preserve"> et des parties prenantes</w:t>
      </w:r>
    </w:p>
    <w:p w:rsidR="003B22A9" w:rsidRPr="00907834" w:rsidRDefault="003B22A9" w:rsidP="003B22A9">
      <w:pPr>
        <w:pStyle w:val="Lijstalinea"/>
        <w:numPr>
          <w:ilvl w:val="1"/>
          <w:numId w:val="4"/>
        </w:numPr>
        <w:jc w:val="both"/>
        <w:rPr>
          <w:rFonts w:ascii="Gill Sans MT" w:hAnsi="Gill Sans MT"/>
          <w:sz w:val="22"/>
        </w:rPr>
      </w:pPr>
      <w:r w:rsidRPr="00907834">
        <w:rPr>
          <w:rFonts w:ascii="Gill Sans MT" w:hAnsi="Gill Sans MT"/>
          <w:sz w:val="22"/>
        </w:rPr>
        <w:t>améliorer la coordination des commandes et des livraisons</w:t>
      </w:r>
    </w:p>
    <w:p w:rsidR="003B22A9" w:rsidRPr="00907834" w:rsidRDefault="003B22A9" w:rsidP="003B22A9">
      <w:pPr>
        <w:pStyle w:val="Lijstalinea"/>
        <w:numPr>
          <w:ilvl w:val="1"/>
          <w:numId w:val="4"/>
        </w:numPr>
        <w:jc w:val="both"/>
        <w:rPr>
          <w:rFonts w:ascii="Gill Sans MT" w:hAnsi="Gill Sans MT"/>
          <w:sz w:val="22"/>
        </w:rPr>
      </w:pPr>
      <w:r w:rsidRPr="00907834">
        <w:rPr>
          <w:rFonts w:ascii="Gill Sans MT" w:hAnsi="Gill Sans MT"/>
          <w:sz w:val="22"/>
        </w:rPr>
        <w:t>veiller à la fiabilité des livraisons via la régularité et la communication</w:t>
      </w:r>
    </w:p>
    <w:p w:rsidR="003B22A9" w:rsidRPr="00907834" w:rsidRDefault="003B22A9" w:rsidP="003B22A9">
      <w:pPr>
        <w:pStyle w:val="Lijstalinea"/>
        <w:numPr>
          <w:ilvl w:val="1"/>
          <w:numId w:val="4"/>
        </w:numPr>
        <w:jc w:val="both"/>
        <w:rPr>
          <w:rFonts w:ascii="Gill Sans MT" w:hAnsi="Gill Sans MT"/>
          <w:sz w:val="22"/>
        </w:rPr>
      </w:pPr>
      <w:r w:rsidRPr="00907834">
        <w:rPr>
          <w:rFonts w:ascii="Gill Sans MT" w:hAnsi="Gill Sans MT"/>
          <w:sz w:val="22"/>
        </w:rPr>
        <w:t>veiller à plus de transparence et de simplicité dans les informations en lien avec la clé de répartition</w:t>
      </w:r>
    </w:p>
    <w:p w:rsidR="003B22A9" w:rsidRPr="00907834" w:rsidRDefault="003B22A9" w:rsidP="003B22A9">
      <w:pPr>
        <w:pStyle w:val="Lijstalinea"/>
        <w:numPr>
          <w:ilvl w:val="1"/>
          <w:numId w:val="4"/>
        </w:numPr>
        <w:jc w:val="both"/>
        <w:rPr>
          <w:rFonts w:ascii="Gill Sans MT" w:hAnsi="Gill Sans MT"/>
          <w:sz w:val="22"/>
        </w:rPr>
      </w:pPr>
      <w:r w:rsidRPr="00907834">
        <w:rPr>
          <w:rFonts w:ascii="Gill Sans MT" w:hAnsi="Gill Sans MT"/>
          <w:sz w:val="22"/>
        </w:rPr>
        <w:t>mettre en place un soutien pour les mesures d'accompagnement (possibles synergies avec l'actuel FSE)</w:t>
      </w:r>
    </w:p>
    <w:p w:rsidR="006B27C9" w:rsidRPr="00907834" w:rsidRDefault="00F079BC" w:rsidP="006B27C9">
      <w:pPr>
        <w:pStyle w:val="Lijstalinea"/>
        <w:numPr>
          <w:ilvl w:val="0"/>
          <w:numId w:val="4"/>
        </w:numPr>
        <w:jc w:val="both"/>
        <w:rPr>
          <w:rFonts w:ascii="Gill Sans MT" w:hAnsi="Gill Sans MT"/>
          <w:sz w:val="22"/>
        </w:rPr>
      </w:pPr>
      <w:r w:rsidRPr="00907834">
        <w:rPr>
          <w:rFonts w:ascii="Gill Sans MT" w:hAnsi="Gill Sans MT"/>
          <w:b/>
          <w:sz w:val="22"/>
        </w:rPr>
        <w:t xml:space="preserve">Développement d'une charte avec le secteur de la distribution. </w:t>
      </w:r>
      <w:r w:rsidR="00907834">
        <w:rPr>
          <w:rFonts w:ascii="Gill Sans MT" w:hAnsi="Gill Sans MT"/>
          <w:sz w:val="22"/>
        </w:rPr>
        <w:t>L</w:t>
      </w:r>
      <w:r w:rsidR="004D60C4" w:rsidRPr="00907834">
        <w:rPr>
          <w:rFonts w:ascii="Gill Sans MT" w:hAnsi="Gill Sans MT"/>
          <w:sz w:val="22"/>
        </w:rPr>
        <w:t>'objectif de cette charte est de maximiser et optimiser la distribution gratuite d</w:t>
      </w:r>
      <w:r w:rsidR="003260CC">
        <w:rPr>
          <w:rFonts w:ascii="Gill Sans MT" w:hAnsi="Gill Sans MT"/>
          <w:sz w:val="22"/>
        </w:rPr>
        <w:t>’</w:t>
      </w:r>
      <w:r w:rsidR="004D60C4" w:rsidRPr="00907834">
        <w:rPr>
          <w:rFonts w:ascii="Gill Sans MT" w:hAnsi="Gill Sans MT"/>
          <w:sz w:val="22"/>
        </w:rPr>
        <w:t>invendus qui fait en sorte que les supermarchés disposent d'une réduction de</w:t>
      </w:r>
      <w:r w:rsidR="003260CC">
        <w:rPr>
          <w:rFonts w:ascii="Gill Sans MT" w:hAnsi="Gill Sans MT"/>
          <w:sz w:val="22"/>
        </w:rPr>
        <w:t xml:space="preserve"> la</w:t>
      </w:r>
      <w:r w:rsidR="004D60C4" w:rsidRPr="00907834">
        <w:rPr>
          <w:rFonts w:ascii="Gill Sans MT" w:hAnsi="Gill Sans MT"/>
          <w:sz w:val="22"/>
        </w:rPr>
        <w:t xml:space="preserve"> TVA.</w:t>
      </w:r>
    </w:p>
    <w:p w:rsidR="00AA1978" w:rsidRPr="00907834" w:rsidRDefault="00F079BC" w:rsidP="00F079BC">
      <w:pPr>
        <w:pStyle w:val="Lijstalinea"/>
        <w:numPr>
          <w:ilvl w:val="0"/>
          <w:numId w:val="4"/>
        </w:numPr>
        <w:jc w:val="both"/>
        <w:rPr>
          <w:rFonts w:ascii="Gill Sans MT" w:hAnsi="Gill Sans MT"/>
          <w:b/>
          <w:bCs/>
          <w:sz w:val="22"/>
        </w:rPr>
      </w:pPr>
      <w:r w:rsidRPr="00907834">
        <w:rPr>
          <w:rFonts w:ascii="Gill Sans MT" w:hAnsi="Gill Sans MT"/>
          <w:b/>
          <w:sz w:val="22"/>
        </w:rPr>
        <w:t xml:space="preserve">Mise sur pied d'une nouvelle procédure concernant la facturation. </w:t>
      </w:r>
      <w:r w:rsidRPr="00907834">
        <w:rPr>
          <w:rFonts w:ascii="Gill Sans MT" w:hAnsi="Gill Sans MT"/>
          <w:sz w:val="22"/>
        </w:rPr>
        <w:t>À la suite d'une remarque émise au cours de l'audit, la procédure de traitement des factures a été modifiée. Aujourd'hui, chaque facture est associée à un résumé du bon de livraison.</w:t>
      </w:r>
    </w:p>
    <w:p w:rsidR="00470573" w:rsidRPr="00907834" w:rsidRDefault="00F079BC" w:rsidP="00AA1978">
      <w:pPr>
        <w:pStyle w:val="Lijstalinea"/>
        <w:numPr>
          <w:ilvl w:val="0"/>
          <w:numId w:val="4"/>
        </w:numPr>
        <w:jc w:val="both"/>
        <w:rPr>
          <w:rFonts w:ascii="Gill Sans MT" w:hAnsi="Gill Sans MT"/>
          <w:sz w:val="22"/>
        </w:rPr>
      </w:pPr>
      <w:r w:rsidRPr="00907834">
        <w:rPr>
          <w:rFonts w:ascii="Gill Sans MT" w:hAnsi="Gill Sans MT"/>
          <w:b/>
          <w:sz w:val="22"/>
        </w:rPr>
        <w:t>Mise en place d'une procédure plus efficace concernant le contrôle des livraisons.</w:t>
      </w:r>
      <w:r w:rsidRPr="00907834">
        <w:rPr>
          <w:rFonts w:ascii="Gill Sans MT" w:hAnsi="Gill Sans MT"/>
          <w:sz w:val="22"/>
        </w:rPr>
        <w:t xml:space="preserve"> L'AG a décidé que les contrôles n'auront plus lieu par produit, mais bien par fournisseur.</w:t>
      </w:r>
    </w:p>
    <w:p w:rsidR="00470573" w:rsidRPr="00907834" w:rsidRDefault="00F079BC" w:rsidP="00F079BC">
      <w:pPr>
        <w:pStyle w:val="Lijstalinea"/>
        <w:numPr>
          <w:ilvl w:val="0"/>
          <w:numId w:val="4"/>
        </w:numPr>
        <w:jc w:val="both"/>
        <w:rPr>
          <w:rFonts w:ascii="Gill Sans MT" w:hAnsi="Gill Sans MT"/>
          <w:sz w:val="22"/>
        </w:rPr>
      </w:pPr>
      <w:r w:rsidRPr="00907834">
        <w:rPr>
          <w:rFonts w:ascii="Gill Sans MT" w:hAnsi="Gill Sans MT"/>
          <w:b/>
          <w:sz w:val="22"/>
        </w:rPr>
        <w:t xml:space="preserve">Révision de l'analyse de risques pour les contrôles des organisations sur place. </w:t>
      </w:r>
      <w:r w:rsidRPr="00907834">
        <w:rPr>
          <w:rFonts w:ascii="Gill Sans MT" w:hAnsi="Gill Sans MT"/>
          <w:sz w:val="22"/>
        </w:rPr>
        <w:t>À la suite d'une analyse de l'évolution des contrôles durant les campagnes, nous avons à nouveau revu notre analyse de risques afin de pouvoir contrôler chaque organisation au moins une fois sur place au cours de la programmation.</w:t>
      </w:r>
    </w:p>
    <w:p w:rsidR="00051893" w:rsidRPr="00907834" w:rsidRDefault="00B63381" w:rsidP="00AA1978">
      <w:pPr>
        <w:pStyle w:val="Lijstalinea"/>
        <w:numPr>
          <w:ilvl w:val="0"/>
          <w:numId w:val="4"/>
        </w:numPr>
        <w:jc w:val="both"/>
        <w:rPr>
          <w:rFonts w:ascii="Gill Sans MT" w:hAnsi="Gill Sans MT"/>
          <w:sz w:val="22"/>
        </w:rPr>
      </w:pPr>
      <w:r w:rsidRPr="00907834">
        <w:rPr>
          <w:rFonts w:ascii="Gill Sans MT" w:hAnsi="Gill Sans MT"/>
          <w:b/>
          <w:sz w:val="22"/>
        </w:rPr>
        <w:t>Organisation de visites sur le terrain pour les membres européens du réseau FEAD dans le cadre de l’événement « </w:t>
      </w:r>
      <w:proofErr w:type="spellStart"/>
      <w:r w:rsidRPr="00907834">
        <w:rPr>
          <w:rFonts w:ascii="Gill Sans MT" w:hAnsi="Gill Sans MT"/>
          <w:b/>
          <w:sz w:val="22"/>
        </w:rPr>
        <w:t>Celebrating</w:t>
      </w:r>
      <w:proofErr w:type="spellEnd"/>
      <w:r w:rsidRPr="00907834">
        <w:rPr>
          <w:rFonts w:ascii="Gill Sans MT" w:hAnsi="Gill Sans MT"/>
          <w:b/>
          <w:sz w:val="22"/>
        </w:rPr>
        <w:t xml:space="preserve"> five </w:t>
      </w:r>
      <w:proofErr w:type="spellStart"/>
      <w:r w:rsidRPr="00907834">
        <w:rPr>
          <w:rFonts w:ascii="Gill Sans MT" w:hAnsi="Gill Sans MT"/>
          <w:b/>
          <w:sz w:val="22"/>
        </w:rPr>
        <w:t>years</w:t>
      </w:r>
      <w:proofErr w:type="spellEnd"/>
      <w:r w:rsidRPr="00907834">
        <w:rPr>
          <w:rFonts w:ascii="Gill Sans MT" w:hAnsi="Gill Sans MT"/>
          <w:b/>
          <w:sz w:val="22"/>
        </w:rPr>
        <w:t xml:space="preserve"> of FEAD ».</w:t>
      </w:r>
      <w:r w:rsidRPr="00907834">
        <w:rPr>
          <w:rFonts w:ascii="Gill Sans MT" w:hAnsi="Gill Sans MT"/>
          <w:sz w:val="22"/>
        </w:rPr>
        <w:t xml:space="preserve"> L'AG a organisé des visites au sein de trois organisations bruxelloises. Ce fut l'occasion de mettre </w:t>
      </w:r>
      <w:r w:rsidR="00574992">
        <w:rPr>
          <w:rFonts w:ascii="Gill Sans MT" w:hAnsi="Gill Sans MT"/>
          <w:sz w:val="22"/>
        </w:rPr>
        <w:t>les</w:t>
      </w:r>
      <w:r w:rsidRPr="00907834">
        <w:rPr>
          <w:rFonts w:ascii="Gill Sans MT" w:hAnsi="Gill Sans MT"/>
          <w:sz w:val="22"/>
        </w:rPr>
        <w:t xml:space="preserve"> organisations partenaires en </w:t>
      </w:r>
      <w:r w:rsidR="00574992">
        <w:rPr>
          <w:rFonts w:ascii="Gill Sans MT" w:hAnsi="Gill Sans MT"/>
          <w:sz w:val="22"/>
        </w:rPr>
        <w:t>valeur</w:t>
      </w:r>
      <w:r w:rsidRPr="00907834">
        <w:rPr>
          <w:rFonts w:ascii="Gill Sans MT" w:hAnsi="Gill Sans MT"/>
          <w:sz w:val="22"/>
        </w:rPr>
        <w:t xml:space="preserve"> et d'expliquer le fonctionnement du FEAD en Belgique.</w:t>
      </w:r>
    </w:p>
    <w:p w:rsidR="00B24C66" w:rsidRPr="00907834" w:rsidRDefault="00B24C66" w:rsidP="00AA1978">
      <w:pPr>
        <w:pStyle w:val="Lijstalinea"/>
        <w:numPr>
          <w:ilvl w:val="0"/>
          <w:numId w:val="4"/>
        </w:numPr>
        <w:jc w:val="both"/>
        <w:rPr>
          <w:rFonts w:ascii="Gill Sans MT" w:hAnsi="Gill Sans MT"/>
          <w:sz w:val="22"/>
        </w:rPr>
      </w:pPr>
      <w:r w:rsidRPr="00907834">
        <w:rPr>
          <w:rFonts w:ascii="Gill Sans MT" w:hAnsi="Gill Sans MT"/>
          <w:b/>
          <w:sz w:val="22"/>
        </w:rPr>
        <w:t>Formation FOOD IT.</w:t>
      </w:r>
      <w:r w:rsidRPr="00907834">
        <w:rPr>
          <w:rFonts w:ascii="Gill Sans MT" w:hAnsi="Gill Sans MT"/>
          <w:sz w:val="22"/>
        </w:rPr>
        <w:t xml:space="preserve"> Des formations en lien avec l'application FOOD IT ont été organisées pour nos partenaires aux quatre coins de la Belgique.</w:t>
      </w:r>
    </w:p>
    <w:p w:rsidR="00E35F95" w:rsidRPr="00907834" w:rsidRDefault="00E35F95" w:rsidP="00E35F95">
      <w:pPr>
        <w:pStyle w:val="Lijstalinea"/>
        <w:numPr>
          <w:ilvl w:val="0"/>
          <w:numId w:val="4"/>
        </w:numPr>
        <w:jc w:val="both"/>
        <w:rPr>
          <w:rFonts w:ascii="Gill Sans MT" w:hAnsi="Gill Sans MT"/>
          <w:sz w:val="22"/>
          <w:szCs w:val="22"/>
        </w:rPr>
      </w:pPr>
      <w:r w:rsidRPr="00907834">
        <w:rPr>
          <w:rFonts w:ascii="Gill Sans MT" w:hAnsi="Gill Sans MT"/>
          <w:b/>
          <w:sz w:val="22"/>
        </w:rPr>
        <w:lastRenderedPageBreak/>
        <w:t xml:space="preserve">Investissement supplémentaire dans les produits bio et </w:t>
      </w:r>
      <w:proofErr w:type="spellStart"/>
      <w:r w:rsidRPr="00907834">
        <w:rPr>
          <w:rFonts w:ascii="Gill Sans MT" w:hAnsi="Gill Sans MT"/>
          <w:b/>
          <w:sz w:val="22"/>
        </w:rPr>
        <w:t>fairtrade</w:t>
      </w:r>
      <w:proofErr w:type="spellEnd"/>
      <w:r w:rsidRPr="00907834">
        <w:rPr>
          <w:rFonts w:ascii="Gill Sans MT" w:hAnsi="Gill Sans MT"/>
          <w:b/>
          <w:sz w:val="22"/>
        </w:rPr>
        <w:t xml:space="preserve"> et organisation de tests gustatifs pour les plats préparés. </w:t>
      </w:r>
      <w:r w:rsidRPr="00907834">
        <w:rPr>
          <w:rFonts w:ascii="Gill Sans MT" w:hAnsi="Gill Sans MT"/>
          <w:sz w:val="22"/>
        </w:rPr>
        <w:t>Cette année, nous avons également utilisé des produits affichant des labels commerce équitable (</w:t>
      </w:r>
      <w:proofErr w:type="spellStart"/>
      <w:r w:rsidRPr="00907834">
        <w:rPr>
          <w:rFonts w:ascii="Gill Sans MT" w:hAnsi="Gill Sans MT"/>
          <w:sz w:val="22"/>
        </w:rPr>
        <w:t>fair-trade</w:t>
      </w:r>
      <w:proofErr w:type="spellEnd"/>
      <w:r w:rsidRPr="00907834">
        <w:rPr>
          <w:rFonts w:ascii="Gill Sans MT" w:hAnsi="Gill Sans MT"/>
          <w:sz w:val="22"/>
        </w:rPr>
        <w:t xml:space="preserve">) et des produits biologiques. Dans le cadre de la campagne 2019, deux produits issus du commerce équitable et un produit biologique ont été achetés. De nouveaux tests gustatifs ont également été organisés dans le cadre de l'attribution du marché pour les plats préparés. </w:t>
      </w:r>
    </w:p>
    <w:p w:rsidR="00540F14" w:rsidRPr="00907834" w:rsidRDefault="00540F14" w:rsidP="00540F14">
      <w:pPr>
        <w:jc w:val="both"/>
        <w:rPr>
          <w:rFonts w:ascii="Gill Sans MT" w:hAnsi="Gill Sans MT"/>
          <w:sz w:val="22"/>
        </w:rPr>
      </w:pPr>
    </w:p>
    <w:p w:rsidR="0010261E" w:rsidRPr="00907834" w:rsidRDefault="0010261E" w:rsidP="00847A14">
      <w:pPr>
        <w:spacing w:after="120"/>
        <w:jc w:val="both"/>
        <w:rPr>
          <w:rFonts w:ascii="Gill Sans MT" w:hAnsi="Gill Sans MT"/>
          <w:sz w:val="22"/>
          <w:szCs w:val="22"/>
        </w:rPr>
      </w:pPr>
      <w:r w:rsidRPr="00907834">
        <w:rPr>
          <w:rFonts w:ascii="Gill Sans MT" w:hAnsi="Gill Sans MT"/>
          <w:sz w:val="22"/>
        </w:rPr>
        <w:t xml:space="preserve">Avec le vent en poupe, l'AG clôture donc l'avant-dernière année du FEAD en Belgique, avant de jeter définitivement l'ancre pour signer la fin de la programmation en 2020. Ne pas perdre nos objectifs de vue : faire du FEAD </w:t>
      </w:r>
      <w:r w:rsidR="00574992">
        <w:rPr>
          <w:rFonts w:ascii="Gill Sans MT" w:hAnsi="Gill Sans MT"/>
          <w:sz w:val="22"/>
        </w:rPr>
        <w:t>davantage</w:t>
      </w:r>
      <w:r w:rsidRPr="00907834">
        <w:rPr>
          <w:rFonts w:ascii="Gill Sans MT" w:hAnsi="Gill Sans MT"/>
          <w:sz w:val="22"/>
        </w:rPr>
        <w:t xml:space="preserve"> qu'une aide alimentaire et l'intégrer dans un contexte plus large d'inclusion sociale en inscrivant la lutte contre la pauvreté dans un cadre pluridimensionnel et en mettant en place des stratégies coordonnées (distribution de produits de qualité, aide sociale, consommation responsable, lutte contre le gaspillage alimentaire, respect de la diversité culturelle, etc.)</w:t>
      </w:r>
    </w:p>
    <w:p w:rsidR="00540F14" w:rsidRPr="00907834" w:rsidRDefault="00540F14" w:rsidP="00540F14">
      <w:pPr>
        <w:jc w:val="both"/>
        <w:rPr>
          <w:sz w:val="22"/>
          <w:szCs w:val="22"/>
        </w:rPr>
      </w:pPr>
    </w:p>
    <w:p w:rsidR="00540F14" w:rsidRPr="00907834" w:rsidRDefault="00540F14" w:rsidP="00540F14">
      <w:pPr>
        <w:jc w:val="both"/>
        <w:rPr>
          <w:rFonts w:ascii="Gill Sans MT" w:hAnsi="Gill Sans MT"/>
          <w:b/>
          <w:sz w:val="22"/>
          <w:szCs w:val="22"/>
        </w:rPr>
      </w:pPr>
      <w:r w:rsidRPr="00907834">
        <w:rPr>
          <w:rFonts w:ascii="Gill Sans MT" w:hAnsi="Gill Sans MT"/>
          <w:b/>
          <w:sz w:val="22"/>
        </w:rPr>
        <w:t>L'année 2019 en chiffres:</w:t>
      </w:r>
    </w:p>
    <w:p w:rsidR="00540F14" w:rsidRPr="00907834" w:rsidRDefault="00540F14" w:rsidP="00540F14">
      <w:pPr>
        <w:jc w:val="both"/>
        <w:rPr>
          <w:rFonts w:ascii="Gill Sans MT" w:hAnsi="Gill Sans MT"/>
          <w:b/>
          <w:sz w:val="22"/>
          <w:szCs w:val="22"/>
        </w:rPr>
      </w:pPr>
    </w:p>
    <w:tbl>
      <w:tblPr>
        <w:tblStyle w:val="Tabelraster"/>
        <w:tblW w:w="0" w:type="auto"/>
        <w:tblLook w:val="04A0" w:firstRow="1" w:lastRow="0" w:firstColumn="1" w:lastColumn="0" w:noHBand="0" w:noVBand="1"/>
      </w:tblPr>
      <w:tblGrid>
        <w:gridCol w:w="4531"/>
        <w:gridCol w:w="4531"/>
      </w:tblGrid>
      <w:tr w:rsidR="00540F14" w:rsidRPr="00907834" w:rsidTr="00CA5053">
        <w:tc>
          <w:tcPr>
            <w:tcW w:w="4531" w:type="dxa"/>
          </w:tcPr>
          <w:p w:rsidR="00540F14" w:rsidRPr="00907834" w:rsidRDefault="00540F14" w:rsidP="00CA5053">
            <w:pPr>
              <w:jc w:val="both"/>
              <w:rPr>
                <w:rFonts w:ascii="Gill Sans MT" w:hAnsi="Gill Sans MT"/>
                <w:sz w:val="22"/>
                <w:szCs w:val="22"/>
              </w:rPr>
            </w:pPr>
            <w:r w:rsidRPr="00907834">
              <w:rPr>
                <w:rFonts w:ascii="Gill Sans MT" w:hAnsi="Gill Sans MT"/>
                <w:sz w:val="22"/>
              </w:rPr>
              <w:t>Nombre d'organisations partenaires assurant la distribution aux plus démunis :</w:t>
            </w:r>
          </w:p>
        </w:tc>
        <w:tc>
          <w:tcPr>
            <w:tcW w:w="4531" w:type="dxa"/>
          </w:tcPr>
          <w:p w:rsidR="00540F14" w:rsidRPr="00907834" w:rsidRDefault="00540F14" w:rsidP="00CA5053">
            <w:pPr>
              <w:jc w:val="both"/>
              <w:rPr>
                <w:rFonts w:ascii="Gill Sans MT" w:hAnsi="Gill Sans MT"/>
                <w:b/>
                <w:sz w:val="22"/>
                <w:szCs w:val="22"/>
                <w:highlight w:val="yellow"/>
              </w:rPr>
            </w:pPr>
            <w:r w:rsidRPr="00907834">
              <w:rPr>
                <w:rFonts w:ascii="Gill Sans MT" w:hAnsi="Gill Sans MT"/>
                <w:b/>
                <w:sz w:val="22"/>
              </w:rPr>
              <w:t>732 (CPAS et ASBL agréées)</w:t>
            </w:r>
          </w:p>
        </w:tc>
      </w:tr>
      <w:tr w:rsidR="00540F14" w:rsidRPr="00907834" w:rsidTr="00CA5053">
        <w:tc>
          <w:tcPr>
            <w:tcW w:w="4531" w:type="dxa"/>
          </w:tcPr>
          <w:p w:rsidR="00540F14" w:rsidRPr="00907834" w:rsidRDefault="00540F14" w:rsidP="00CA5053">
            <w:pPr>
              <w:jc w:val="both"/>
              <w:rPr>
                <w:rFonts w:ascii="Gill Sans MT" w:hAnsi="Gill Sans MT"/>
                <w:sz w:val="22"/>
                <w:szCs w:val="22"/>
              </w:rPr>
            </w:pPr>
            <w:r w:rsidRPr="00907834">
              <w:rPr>
                <w:rFonts w:ascii="Gill Sans MT" w:hAnsi="Gill Sans MT"/>
                <w:sz w:val="22"/>
              </w:rPr>
              <w:t>Nombre de produits distribués dans le cadre du FEAD</w:t>
            </w:r>
          </w:p>
        </w:tc>
        <w:tc>
          <w:tcPr>
            <w:tcW w:w="4531" w:type="dxa"/>
          </w:tcPr>
          <w:p w:rsidR="00540F14" w:rsidRPr="00907834" w:rsidRDefault="005B722B" w:rsidP="00CA5053">
            <w:pPr>
              <w:jc w:val="both"/>
              <w:rPr>
                <w:rFonts w:ascii="Gill Sans MT" w:hAnsi="Gill Sans MT"/>
                <w:b/>
                <w:sz w:val="22"/>
                <w:szCs w:val="22"/>
                <w:highlight w:val="yellow"/>
              </w:rPr>
            </w:pPr>
            <w:r w:rsidRPr="00907834">
              <w:rPr>
                <w:rFonts w:ascii="Gill Sans MT" w:hAnsi="Gill Sans MT"/>
                <w:b/>
                <w:sz w:val="22"/>
              </w:rPr>
              <w:t>18</w:t>
            </w:r>
          </w:p>
        </w:tc>
      </w:tr>
      <w:tr w:rsidR="00540F14" w:rsidRPr="00907834" w:rsidTr="00CA5053">
        <w:tc>
          <w:tcPr>
            <w:tcW w:w="4531" w:type="dxa"/>
          </w:tcPr>
          <w:p w:rsidR="00540F14" w:rsidRPr="00907834" w:rsidRDefault="00540F14" w:rsidP="00CA5053">
            <w:pPr>
              <w:jc w:val="both"/>
              <w:rPr>
                <w:rFonts w:ascii="Gill Sans MT" w:hAnsi="Gill Sans MT"/>
                <w:sz w:val="22"/>
                <w:szCs w:val="22"/>
              </w:rPr>
            </w:pPr>
            <w:r w:rsidRPr="00907834">
              <w:rPr>
                <w:rFonts w:ascii="Gill Sans MT" w:hAnsi="Gill Sans MT"/>
                <w:sz w:val="22"/>
              </w:rPr>
              <w:t>Montant de l'appel d'offres relatif aux produits alimentaires</w:t>
            </w:r>
          </w:p>
        </w:tc>
        <w:tc>
          <w:tcPr>
            <w:tcW w:w="4531" w:type="dxa"/>
          </w:tcPr>
          <w:p w:rsidR="00540F14" w:rsidRPr="00907834" w:rsidRDefault="0089560A" w:rsidP="00CA5053">
            <w:pPr>
              <w:jc w:val="both"/>
              <w:rPr>
                <w:rFonts w:ascii="Gill Sans MT" w:hAnsi="Gill Sans MT"/>
                <w:b/>
                <w:sz w:val="22"/>
                <w:szCs w:val="22"/>
                <w:highlight w:val="yellow"/>
              </w:rPr>
            </w:pPr>
            <w:r w:rsidRPr="00907834">
              <w:rPr>
                <w:rFonts w:ascii="Gill Sans MT" w:hAnsi="Gill Sans MT"/>
                <w:b/>
                <w:sz w:val="22"/>
              </w:rPr>
              <w:t>12 560 000,00 (TVA incluse)</w:t>
            </w:r>
          </w:p>
        </w:tc>
      </w:tr>
      <w:tr w:rsidR="00540F14" w:rsidRPr="00907834" w:rsidTr="00CA5053">
        <w:tc>
          <w:tcPr>
            <w:tcW w:w="4531" w:type="dxa"/>
          </w:tcPr>
          <w:p w:rsidR="00540F14" w:rsidRPr="00907834" w:rsidRDefault="00540F14" w:rsidP="00CA5053">
            <w:pPr>
              <w:jc w:val="both"/>
              <w:rPr>
                <w:rFonts w:ascii="Gill Sans MT" w:hAnsi="Gill Sans MT"/>
                <w:sz w:val="22"/>
                <w:szCs w:val="22"/>
              </w:rPr>
            </w:pPr>
            <w:r w:rsidRPr="00907834">
              <w:rPr>
                <w:rFonts w:ascii="Gill Sans MT" w:hAnsi="Gill Sans MT"/>
                <w:sz w:val="22"/>
              </w:rPr>
              <w:t>Nombre de tonnes de denrées alimentaires livrées aux différentes organisations partenaires</w:t>
            </w:r>
          </w:p>
        </w:tc>
        <w:tc>
          <w:tcPr>
            <w:tcW w:w="4531" w:type="dxa"/>
          </w:tcPr>
          <w:p w:rsidR="00540F14" w:rsidRPr="00907834" w:rsidRDefault="005B722B" w:rsidP="00CA5053">
            <w:pPr>
              <w:jc w:val="both"/>
              <w:rPr>
                <w:rFonts w:ascii="Gill Sans MT" w:hAnsi="Gill Sans MT"/>
                <w:b/>
                <w:sz w:val="22"/>
                <w:szCs w:val="22"/>
                <w:highlight w:val="yellow"/>
              </w:rPr>
            </w:pPr>
            <w:r w:rsidRPr="00907834">
              <w:rPr>
                <w:rFonts w:ascii="Gill Sans MT" w:hAnsi="Gill Sans MT"/>
                <w:b/>
                <w:sz w:val="22"/>
              </w:rPr>
              <w:t>8 841,67 tonnes</w:t>
            </w:r>
          </w:p>
        </w:tc>
      </w:tr>
      <w:tr w:rsidR="00540F14" w:rsidRPr="00907834" w:rsidTr="00CA5053">
        <w:tc>
          <w:tcPr>
            <w:tcW w:w="4531" w:type="dxa"/>
          </w:tcPr>
          <w:p w:rsidR="00540F14" w:rsidRPr="00907834" w:rsidRDefault="00540F14" w:rsidP="00CA5053">
            <w:pPr>
              <w:jc w:val="both"/>
              <w:rPr>
                <w:rFonts w:ascii="Gill Sans MT" w:hAnsi="Gill Sans MT"/>
                <w:sz w:val="22"/>
                <w:szCs w:val="22"/>
              </w:rPr>
            </w:pPr>
            <w:r w:rsidRPr="00907834">
              <w:rPr>
                <w:rFonts w:ascii="Gill Sans MT" w:hAnsi="Gill Sans MT"/>
                <w:sz w:val="22"/>
              </w:rPr>
              <w:t>Nombre de tonnes de denrées alimentaires effectivement distribuées aux plus démunis</w:t>
            </w:r>
          </w:p>
        </w:tc>
        <w:tc>
          <w:tcPr>
            <w:tcW w:w="4531" w:type="dxa"/>
          </w:tcPr>
          <w:p w:rsidR="00540F14" w:rsidRPr="00907834" w:rsidRDefault="0010261E" w:rsidP="00CA5053">
            <w:pPr>
              <w:jc w:val="both"/>
              <w:rPr>
                <w:rFonts w:ascii="Gill Sans MT" w:hAnsi="Gill Sans MT"/>
                <w:b/>
                <w:sz w:val="22"/>
                <w:szCs w:val="22"/>
                <w:highlight w:val="yellow"/>
              </w:rPr>
            </w:pPr>
            <w:r w:rsidRPr="00907834">
              <w:rPr>
                <w:rFonts w:ascii="Gill Sans MT" w:hAnsi="Gill Sans MT"/>
                <w:b/>
                <w:sz w:val="22"/>
              </w:rPr>
              <w:t>9 159,72 tonnes</w:t>
            </w:r>
          </w:p>
        </w:tc>
      </w:tr>
      <w:tr w:rsidR="00540F14" w:rsidRPr="00907834" w:rsidTr="00CA5053">
        <w:tc>
          <w:tcPr>
            <w:tcW w:w="4531" w:type="dxa"/>
          </w:tcPr>
          <w:p w:rsidR="00540F14" w:rsidRPr="00907834" w:rsidRDefault="00540F14" w:rsidP="00CA5053">
            <w:pPr>
              <w:jc w:val="both"/>
              <w:rPr>
                <w:rFonts w:ascii="Gill Sans MT" w:hAnsi="Gill Sans MT"/>
                <w:sz w:val="22"/>
                <w:szCs w:val="22"/>
              </w:rPr>
            </w:pPr>
            <w:r w:rsidRPr="00907834">
              <w:rPr>
                <w:rFonts w:ascii="Gill Sans MT" w:hAnsi="Gill Sans MT"/>
                <w:sz w:val="22"/>
              </w:rPr>
              <w:t>Nombre de personnes ayant eu recours au FEAD</w:t>
            </w:r>
          </w:p>
        </w:tc>
        <w:tc>
          <w:tcPr>
            <w:tcW w:w="4531" w:type="dxa"/>
          </w:tcPr>
          <w:p w:rsidR="00540F14" w:rsidRPr="00907834" w:rsidRDefault="0010261E" w:rsidP="00CA5053">
            <w:pPr>
              <w:jc w:val="both"/>
              <w:rPr>
                <w:rFonts w:ascii="Gill Sans MT" w:hAnsi="Gill Sans MT"/>
                <w:b/>
                <w:sz w:val="22"/>
                <w:szCs w:val="22"/>
                <w:highlight w:val="yellow"/>
              </w:rPr>
            </w:pPr>
            <w:r w:rsidRPr="00907834">
              <w:rPr>
                <w:rFonts w:ascii="Gill Sans MT" w:hAnsi="Gill Sans MT"/>
                <w:b/>
                <w:sz w:val="22"/>
              </w:rPr>
              <w:t>413 058</w:t>
            </w:r>
          </w:p>
        </w:tc>
      </w:tr>
    </w:tbl>
    <w:p w:rsidR="00540F14" w:rsidRPr="00907834" w:rsidRDefault="00540F14" w:rsidP="00540F14">
      <w:pPr>
        <w:jc w:val="both"/>
        <w:rPr>
          <w:rFonts w:ascii="Gill Sans MT" w:hAnsi="Gill Sans MT"/>
          <w:b/>
          <w:sz w:val="22"/>
          <w:szCs w:val="22"/>
        </w:rPr>
      </w:pPr>
    </w:p>
    <w:p w:rsidR="00540F14" w:rsidRPr="00907834" w:rsidRDefault="00540F14" w:rsidP="00540F14">
      <w:pPr>
        <w:jc w:val="both"/>
        <w:rPr>
          <w:rFonts w:ascii="Gill Sans MT" w:hAnsi="Gill Sans MT"/>
          <w:b/>
          <w:sz w:val="22"/>
          <w:szCs w:val="22"/>
        </w:rPr>
      </w:pPr>
      <w:r w:rsidRPr="00907834">
        <w:rPr>
          <w:rFonts w:ascii="Gill Sans MT" w:hAnsi="Gill Sans MT"/>
          <w:b/>
          <w:sz w:val="22"/>
        </w:rPr>
        <w:t>Vous souhaitez en savoir plus sur 2019?</w:t>
      </w:r>
    </w:p>
    <w:p w:rsidR="00540F14" w:rsidRPr="00907834" w:rsidRDefault="00540F14" w:rsidP="00540F14">
      <w:pPr>
        <w:jc w:val="both"/>
        <w:rPr>
          <w:rFonts w:ascii="Gill Sans MT" w:hAnsi="Gill Sans MT"/>
          <w:b/>
          <w:sz w:val="22"/>
          <w:szCs w:val="22"/>
        </w:rPr>
      </w:pPr>
    </w:p>
    <w:p w:rsidR="00A15DD9" w:rsidRPr="003B4CDA" w:rsidRDefault="00540F14" w:rsidP="003B4CDA">
      <w:pPr>
        <w:jc w:val="both"/>
        <w:rPr>
          <w:rFonts w:ascii="Gill Sans MT" w:hAnsi="Gill Sans MT"/>
          <w:sz w:val="22"/>
          <w:szCs w:val="22"/>
        </w:rPr>
      </w:pPr>
      <w:r w:rsidRPr="00907834">
        <w:rPr>
          <w:rFonts w:ascii="Gill Sans MT" w:hAnsi="Gill Sans MT"/>
          <w:sz w:val="22"/>
        </w:rPr>
        <w:t xml:space="preserve">Vous pouvez consulter le rapport annuel complet </w:t>
      </w:r>
      <w:hyperlink r:id="rId7" w:history="1">
        <w:r w:rsidR="0037214D">
          <w:rPr>
            <w:rStyle w:val="Hyperlink"/>
            <w:rFonts w:ascii="Gill Sans MT" w:hAnsi="Gill Sans MT"/>
            <w:sz w:val="22"/>
            <w:lang w:eastAsia="en-US"/>
          </w:rPr>
          <w:t>ici</w:t>
        </w:r>
      </w:hyperlink>
      <w:r w:rsidRPr="00907834">
        <w:rPr>
          <w:rFonts w:ascii="Gill Sans MT" w:hAnsi="Gill Sans MT"/>
          <w:sz w:val="22"/>
        </w:rPr>
        <w:t xml:space="preserve">. </w:t>
      </w:r>
      <w:bookmarkStart w:id="0" w:name="_GoBack"/>
      <w:bookmarkEnd w:id="0"/>
    </w:p>
    <w:sectPr w:rsidR="00A15DD9" w:rsidRPr="003B4CD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0D46" w:rsidRDefault="00F90D46" w:rsidP="00907834">
      <w:r>
        <w:separator/>
      </w:r>
    </w:p>
  </w:endnote>
  <w:endnote w:type="continuationSeparator" w:id="0">
    <w:p w:rsidR="00F90D46" w:rsidRDefault="00F90D46" w:rsidP="009078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ill Sans MT">
    <w:panose1 w:val="020B0502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0D46" w:rsidRDefault="00F90D46" w:rsidP="00907834">
      <w:r>
        <w:separator/>
      </w:r>
    </w:p>
  </w:footnote>
  <w:footnote w:type="continuationSeparator" w:id="0">
    <w:p w:rsidR="00F90D46" w:rsidRDefault="00F90D46" w:rsidP="009078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344E6"/>
    <w:multiLevelType w:val="hybridMultilevel"/>
    <w:tmpl w:val="0E6CA0A2"/>
    <w:lvl w:ilvl="0" w:tplc="9AC27BC8">
      <w:start w:val="393"/>
      <w:numFmt w:val="bullet"/>
      <w:lvlText w:val="-"/>
      <w:lvlJc w:val="left"/>
      <w:pPr>
        <w:ind w:left="720" w:hanging="360"/>
      </w:pPr>
      <w:rPr>
        <w:rFonts w:ascii="Gill Sans MT" w:eastAsiaTheme="minorEastAsia" w:hAnsi="Gill Sans MT"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2CD63E55"/>
    <w:multiLevelType w:val="hybridMultilevel"/>
    <w:tmpl w:val="08B0ADB4"/>
    <w:lvl w:ilvl="0" w:tplc="3CEA427C">
      <w:start w:val="1"/>
      <w:numFmt w:val="bullet"/>
      <w:lvlText w:val="-"/>
      <w:lvlJc w:val="left"/>
      <w:pPr>
        <w:ind w:left="720" w:hanging="360"/>
      </w:pPr>
      <w:rPr>
        <w:rFonts w:ascii="Calibri" w:eastAsia="Calibri" w:hAnsi="Calibri"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 w15:restartNumberingAfterBreak="0">
    <w:nsid w:val="43652AA1"/>
    <w:multiLevelType w:val="hybridMultilevel"/>
    <w:tmpl w:val="C2387554"/>
    <w:lvl w:ilvl="0" w:tplc="4E96216E">
      <w:start w:val="5"/>
      <w:numFmt w:val="bullet"/>
      <w:lvlText w:val="-"/>
      <w:lvlJc w:val="left"/>
      <w:pPr>
        <w:ind w:left="720" w:hanging="360"/>
      </w:pPr>
      <w:rPr>
        <w:rFonts w:ascii="Calibri" w:eastAsiaTheme="minorEastAsia"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68D50441"/>
    <w:multiLevelType w:val="hybridMultilevel"/>
    <w:tmpl w:val="6A78E3BA"/>
    <w:lvl w:ilvl="0" w:tplc="CC74F6A2">
      <w:numFmt w:val="bullet"/>
      <w:lvlText w:val="-"/>
      <w:lvlJc w:val="left"/>
      <w:pPr>
        <w:ind w:left="720" w:hanging="360"/>
      </w:pPr>
      <w:rPr>
        <w:rFonts w:ascii="Gill Sans MT" w:eastAsiaTheme="minorEastAsia" w:hAnsi="Gill Sans MT"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0F14"/>
    <w:rsid w:val="00051893"/>
    <w:rsid w:val="00076042"/>
    <w:rsid w:val="000F03FF"/>
    <w:rsid w:val="0010261E"/>
    <w:rsid w:val="001228A8"/>
    <w:rsid w:val="002E62FC"/>
    <w:rsid w:val="002F77C9"/>
    <w:rsid w:val="003260CC"/>
    <w:rsid w:val="0037214D"/>
    <w:rsid w:val="00385557"/>
    <w:rsid w:val="003B22A9"/>
    <w:rsid w:val="003B4CDA"/>
    <w:rsid w:val="00470573"/>
    <w:rsid w:val="004A5FFC"/>
    <w:rsid w:val="004D60C4"/>
    <w:rsid w:val="00540F14"/>
    <w:rsid w:val="00574992"/>
    <w:rsid w:val="00580187"/>
    <w:rsid w:val="005B722B"/>
    <w:rsid w:val="006058BB"/>
    <w:rsid w:val="006B27C9"/>
    <w:rsid w:val="006E0DAE"/>
    <w:rsid w:val="00847A14"/>
    <w:rsid w:val="0089560A"/>
    <w:rsid w:val="00907834"/>
    <w:rsid w:val="009E4C00"/>
    <w:rsid w:val="00A07151"/>
    <w:rsid w:val="00A15DD9"/>
    <w:rsid w:val="00AA1978"/>
    <w:rsid w:val="00B24C66"/>
    <w:rsid w:val="00B260F7"/>
    <w:rsid w:val="00B5658C"/>
    <w:rsid w:val="00B63381"/>
    <w:rsid w:val="00C6206A"/>
    <w:rsid w:val="00CE2A7B"/>
    <w:rsid w:val="00DE18A5"/>
    <w:rsid w:val="00E35F95"/>
    <w:rsid w:val="00F079BC"/>
    <w:rsid w:val="00F90D4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0ED1E9E"/>
  <w15:docId w15:val="{345EFEEE-0310-4E7C-8C4C-0060A0E5F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40F14"/>
    <w:pPr>
      <w:spacing w:after="0" w:line="240" w:lineRule="auto"/>
    </w:pPr>
    <w:rPr>
      <w:rFonts w:eastAsiaTheme="minorEastAsia" w:cs="Times New Roman"/>
      <w:sz w:val="24"/>
      <w:szCs w:val="24"/>
    </w:rPr>
  </w:style>
  <w:style w:type="paragraph" w:styleId="Kop1">
    <w:name w:val="heading 1"/>
    <w:basedOn w:val="Standaard"/>
    <w:next w:val="Standaard"/>
    <w:link w:val="Kop1Char"/>
    <w:uiPriority w:val="9"/>
    <w:qFormat/>
    <w:rsid w:val="00540F14"/>
    <w:pPr>
      <w:keepNext/>
      <w:spacing w:before="240" w:after="60"/>
      <w:outlineLvl w:val="0"/>
    </w:pPr>
    <w:rPr>
      <w:rFonts w:asciiTheme="majorHAnsi" w:eastAsiaTheme="majorEastAsia" w:hAnsiTheme="majorHAnsi" w:cstheme="majorBidi"/>
      <w:b/>
      <w:bCs/>
      <w:kern w:val="32"/>
      <w:sz w:val="28"/>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540F14"/>
    <w:rPr>
      <w:rFonts w:asciiTheme="majorHAnsi" w:eastAsiaTheme="majorEastAsia" w:hAnsiTheme="majorHAnsi" w:cstheme="majorBidi"/>
      <w:b/>
      <w:bCs/>
      <w:kern w:val="32"/>
      <w:sz w:val="28"/>
      <w:szCs w:val="32"/>
    </w:rPr>
  </w:style>
  <w:style w:type="paragraph" w:styleId="Titel">
    <w:name w:val="Title"/>
    <w:basedOn w:val="Standaard"/>
    <w:next w:val="Standaard"/>
    <w:link w:val="TitelChar"/>
    <w:uiPriority w:val="10"/>
    <w:qFormat/>
    <w:rsid w:val="00540F14"/>
    <w:pPr>
      <w:pBdr>
        <w:bottom w:val="single" w:sz="4" w:space="1" w:color="auto"/>
      </w:pBdr>
      <w:spacing w:before="120" w:after="60"/>
      <w:outlineLvl w:val="0"/>
    </w:pPr>
    <w:rPr>
      <w:rFonts w:asciiTheme="majorHAnsi" w:eastAsiaTheme="majorEastAsia" w:hAnsiTheme="majorHAnsi" w:cstheme="majorBidi"/>
      <w:b/>
      <w:bCs/>
      <w:caps/>
      <w:kern w:val="28"/>
      <w:sz w:val="36"/>
      <w:szCs w:val="32"/>
    </w:rPr>
  </w:style>
  <w:style w:type="character" w:customStyle="1" w:styleId="TitelChar">
    <w:name w:val="Titel Char"/>
    <w:basedOn w:val="Standaardalinea-lettertype"/>
    <w:link w:val="Titel"/>
    <w:uiPriority w:val="10"/>
    <w:rsid w:val="00540F14"/>
    <w:rPr>
      <w:rFonts w:asciiTheme="majorHAnsi" w:eastAsiaTheme="majorEastAsia" w:hAnsiTheme="majorHAnsi" w:cstheme="majorBidi"/>
      <w:b/>
      <w:bCs/>
      <w:caps/>
      <w:kern w:val="28"/>
      <w:sz w:val="36"/>
      <w:szCs w:val="32"/>
    </w:rPr>
  </w:style>
  <w:style w:type="paragraph" w:styleId="Lijstalinea">
    <w:name w:val="List Paragraph"/>
    <w:basedOn w:val="Standaard"/>
    <w:uiPriority w:val="34"/>
    <w:qFormat/>
    <w:rsid w:val="00540F14"/>
    <w:pPr>
      <w:ind w:left="720"/>
      <w:contextualSpacing/>
    </w:pPr>
  </w:style>
  <w:style w:type="character" w:styleId="Hyperlink">
    <w:name w:val="Hyperlink"/>
    <w:uiPriority w:val="99"/>
    <w:unhideWhenUsed/>
    <w:rsid w:val="00540F14"/>
    <w:rPr>
      <w:color w:val="0000FF"/>
      <w:u w:val="single"/>
      <w:lang w:val="fr-BE" w:eastAsia="nl-BE"/>
    </w:rPr>
  </w:style>
  <w:style w:type="table" w:styleId="Tabelraster">
    <w:name w:val="Table Grid"/>
    <w:basedOn w:val="Standaardtabel"/>
    <w:rsid w:val="00540F14"/>
    <w:pPr>
      <w:spacing w:after="0" w:line="240" w:lineRule="auto"/>
    </w:pPr>
    <w:rPr>
      <w:rFonts w:asciiTheme="majorHAnsi" w:eastAsiaTheme="majorEastAsia" w:hAnsiTheme="majorHAnsi" w:cstheme="majorBidi"/>
      <w:lang w:eastAsia="fr-FR" w:bidi="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Standaardalinea-lettertype"/>
    <w:rsid w:val="00540F14"/>
  </w:style>
  <w:style w:type="paragraph" w:styleId="Koptekst">
    <w:name w:val="header"/>
    <w:basedOn w:val="Standaard"/>
    <w:link w:val="KoptekstChar"/>
    <w:uiPriority w:val="99"/>
    <w:unhideWhenUsed/>
    <w:rsid w:val="00907834"/>
    <w:pPr>
      <w:tabs>
        <w:tab w:val="center" w:pos="4513"/>
        <w:tab w:val="right" w:pos="9026"/>
      </w:tabs>
    </w:pPr>
  </w:style>
  <w:style w:type="character" w:customStyle="1" w:styleId="KoptekstChar">
    <w:name w:val="Koptekst Char"/>
    <w:basedOn w:val="Standaardalinea-lettertype"/>
    <w:link w:val="Koptekst"/>
    <w:uiPriority w:val="99"/>
    <w:rsid w:val="00907834"/>
    <w:rPr>
      <w:rFonts w:eastAsiaTheme="minorEastAsia" w:cs="Times New Roman"/>
      <w:sz w:val="24"/>
      <w:szCs w:val="24"/>
    </w:rPr>
  </w:style>
  <w:style w:type="paragraph" w:styleId="Voettekst">
    <w:name w:val="footer"/>
    <w:basedOn w:val="Standaard"/>
    <w:link w:val="VoettekstChar"/>
    <w:uiPriority w:val="99"/>
    <w:unhideWhenUsed/>
    <w:rsid w:val="00907834"/>
    <w:pPr>
      <w:tabs>
        <w:tab w:val="center" w:pos="4513"/>
        <w:tab w:val="right" w:pos="9026"/>
      </w:tabs>
    </w:pPr>
  </w:style>
  <w:style w:type="character" w:customStyle="1" w:styleId="VoettekstChar">
    <w:name w:val="Voettekst Char"/>
    <w:basedOn w:val="Standaardalinea-lettertype"/>
    <w:link w:val="Voettekst"/>
    <w:uiPriority w:val="99"/>
    <w:rsid w:val="00907834"/>
    <w:rPr>
      <w:rFonts w:eastAsiaTheme="minorEastAsia" w:cs="Times New Roman"/>
      <w:sz w:val="24"/>
      <w:szCs w:val="24"/>
    </w:rPr>
  </w:style>
  <w:style w:type="character" w:styleId="Onopgelostemelding">
    <w:name w:val="Unresolved Mention"/>
    <w:basedOn w:val="Standaardalinea-lettertype"/>
    <w:uiPriority w:val="99"/>
    <w:semiHidden/>
    <w:unhideWhenUsed/>
    <w:rsid w:val="003721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i-is.be/sites/default/files/documents/fead_rapport_annuel_2019.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824</Words>
  <Characters>4538</Characters>
  <Application>Microsoft Office Word</Application>
  <DocSecurity>0</DocSecurity>
  <Lines>37</Lines>
  <Paragraphs>10</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Microsoft</Company>
  <LinksUpToDate>false</LinksUpToDate>
  <CharactersWithSpaces>5352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Marchal Rani</dc:creator>
  <cp:lastModifiedBy>Bossuyt Nele</cp:lastModifiedBy>
  <cp:revision>7</cp:revision>
  <dcterms:created xsi:type="dcterms:W3CDTF">2021-01-21T09:47:00Z</dcterms:created>
  <dcterms:modified xsi:type="dcterms:W3CDTF">2021-01-21T16:00:00Z</dcterms:modified>
</cp:coreProperties>
</file>