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CE51EA" w:rsidRDefault="00273FFE" w:rsidP="006C79E4">
      <w:pPr>
        <w:pStyle w:val="Titel"/>
        <w:jc w:val="both"/>
        <w:rPr>
          <w:rFonts w:ascii="Gill Sans MT" w:hAnsi="Gill Sans MT"/>
        </w:rPr>
      </w:pPr>
      <w:r w:rsidRPr="00CE51EA">
        <w:rPr>
          <w:rFonts w:ascii="Gill Sans MT" w:hAnsi="Gill Sans MT"/>
        </w:rPr>
        <w:t>Samenvatting jaarrapport FEAD 201</w:t>
      </w:r>
      <w:r w:rsidR="004B609C">
        <w:rPr>
          <w:rFonts w:ascii="Gill Sans MT" w:hAnsi="Gill Sans MT"/>
        </w:rPr>
        <w:t>7</w:t>
      </w:r>
    </w:p>
    <w:p w:rsidR="00273FFE" w:rsidRPr="00CE51EA" w:rsidRDefault="00955E7A" w:rsidP="006C79E4">
      <w:pPr>
        <w:pStyle w:val="Kop1"/>
        <w:jc w:val="both"/>
        <w:rPr>
          <w:rFonts w:ascii="Gill Sans MT" w:hAnsi="Gill Sans MT"/>
        </w:rPr>
      </w:pPr>
      <w:r>
        <w:rPr>
          <w:rFonts w:ascii="Gill Sans MT" w:hAnsi="Gill Sans MT"/>
        </w:rPr>
        <w:t>201</w:t>
      </w:r>
      <w:r w:rsidR="00B9757E">
        <w:rPr>
          <w:rFonts w:ascii="Gill Sans MT" w:hAnsi="Gill Sans MT"/>
        </w:rPr>
        <w:t>7: de verdere ontwikkeling van een coherent beleid inzake voedselhulp</w:t>
      </w:r>
    </w:p>
    <w:p w:rsidR="008274B2" w:rsidRDefault="008274B2" w:rsidP="00687CC8">
      <w:pPr>
        <w:jc w:val="both"/>
        <w:rPr>
          <w:rFonts w:ascii="Gill Sans MT" w:hAnsi="Gill Sans MT"/>
          <w:sz w:val="22"/>
          <w:szCs w:val="22"/>
        </w:rPr>
      </w:pPr>
    </w:p>
    <w:p w:rsidR="00B9757E" w:rsidRDefault="008274B2" w:rsidP="00687CC8">
      <w:pPr>
        <w:jc w:val="both"/>
        <w:rPr>
          <w:rFonts w:ascii="Gill Sans MT" w:hAnsi="Gill Sans MT"/>
          <w:sz w:val="22"/>
          <w:szCs w:val="22"/>
        </w:rPr>
      </w:pPr>
      <w:r>
        <w:rPr>
          <w:rFonts w:ascii="Gill Sans MT" w:hAnsi="Gill Sans MT"/>
          <w:sz w:val="22"/>
          <w:szCs w:val="22"/>
        </w:rPr>
        <w:t>I</w:t>
      </w:r>
      <w:r w:rsidR="00B9757E" w:rsidRPr="00711A02">
        <w:rPr>
          <w:rFonts w:ascii="Gill Sans MT" w:hAnsi="Gill Sans MT"/>
          <w:sz w:val="22"/>
          <w:szCs w:val="22"/>
        </w:rPr>
        <w:t>n 2017 werd het systeem van voedselverdeling georganiseerd in het kader van het Fonds voor Europese hulp aan de meest behoeftigen (FEAD) verder gezet.</w:t>
      </w:r>
      <w:r w:rsidR="00B9757E" w:rsidRPr="00711A02">
        <w:rPr>
          <w:rFonts w:ascii="Gill Sans MT" w:hAnsi="Gill Sans MT"/>
          <w:sz w:val="22"/>
          <w:szCs w:val="22"/>
        </w:rPr>
        <w:tab/>
      </w:r>
      <w:r w:rsidR="00B9757E" w:rsidRPr="00711A02">
        <w:rPr>
          <w:rFonts w:ascii="Gill Sans MT" w:hAnsi="Gill Sans MT"/>
          <w:sz w:val="22"/>
          <w:szCs w:val="22"/>
        </w:rPr>
        <w:br/>
        <w:t>Ook ontstonden in 2017 de eerste besprekingen over de periode na 2020, wanneer de huidige programmaperiode van het FEAD afloopt. Samen met haar partners dacht de POD MI na over de verschillende pistes en gewenste wijzigingen voor de volgende programmaperiode.</w:t>
      </w:r>
    </w:p>
    <w:p w:rsidR="008274B2" w:rsidRDefault="008274B2" w:rsidP="00687CC8">
      <w:pPr>
        <w:jc w:val="both"/>
        <w:rPr>
          <w:rFonts w:ascii="Gill Sans MT" w:hAnsi="Gill Sans MT"/>
          <w:sz w:val="22"/>
          <w:szCs w:val="22"/>
        </w:rPr>
      </w:pPr>
    </w:p>
    <w:p w:rsidR="008274B2" w:rsidRDefault="008274B2" w:rsidP="00687CC8">
      <w:pPr>
        <w:jc w:val="both"/>
        <w:rPr>
          <w:rFonts w:ascii="Gill Sans MT" w:hAnsi="Gill Sans MT"/>
          <w:sz w:val="22"/>
          <w:szCs w:val="22"/>
        </w:rPr>
      </w:pPr>
      <w:r>
        <w:rPr>
          <w:rFonts w:ascii="Gill Sans MT" w:hAnsi="Gill Sans MT"/>
          <w:sz w:val="22"/>
          <w:szCs w:val="22"/>
        </w:rPr>
        <w:t>Daarnaast werd het jaar 2017 gekenmerkt door:</w:t>
      </w:r>
    </w:p>
    <w:p w:rsidR="008274B2" w:rsidRDefault="008274B2" w:rsidP="008274B2">
      <w:pPr>
        <w:pStyle w:val="Lijstalinea"/>
        <w:numPr>
          <w:ilvl w:val="0"/>
          <w:numId w:val="49"/>
        </w:numPr>
        <w:jc w:val="both"/>
        <w:rPr>
          <w:rFonts w:ascii="Gill Sans MT" w:hAnsi="Gill Sans MT"/>
          <w:sz w:val="22"/>
          <w:szCs w:val="22"/>
        </w:rPr>
      </w:pPr>
      <w:r>
        <w:rPr>
          <w:rFonts w:ascii="Gill Sans MT" w:hAnsi="Gill Sans MT"/>
          <w:sz w:val="22"/>
          <w:szCs w:val="22"/>
        </w:rPr>
        <w:t xml:space="preserve">Een wijziging in de aankoopprocedure voor de bereide gerechten en de toevoeging van een extra gunningscriterium in verband met de kwaliteit van het product. Deze wijziging houdt in dat de kwaliteit van het product – op basis van stalen bezorgd door de fabrikanten – moet worden bepaald door analyses in een laboratorium en de beoordeling door een smaakpanel (smaaktesten). </w:t>
      </w:r>
    </w:p>
    <w:p w:rsidR="008274B2" w:rsidRDefault="008274B2" w:rsidP="008274B2">
      <w:pPr>
        <w:pStyle w:val="Lijstalinea"/>
        <w:jc w:val="both"/>
        <w:rPr>
          <w:rFonts w:ascii="Gill Sans MT" w:hAnsi="Gill Sans MT"/>
          <w:sz w:val="22"/>
          <w:szCs w:val="22"/>
        </w:rPr>
      </w:pPr>
      <w:r>
        <w:rPr>
          <w:rFonts w:ascii="Gill Sans MT" w:hAnsi="Gill Sans MT"/>
          <w:sz w:val="22"/>
          <w:szCs w:val="22"/>
        </w:rPr>
        <w:t>Tijdens de voorgaande jaren is immers gebleken dat de bereide gerechten het minste succes hadden bij de eindbegunstigden. Daar tegenover bestaat de wens toch ook enkele bereide gerechten te behouden in de lijst gezien een deel van de eindbegunstigden niet over de mogelijkheden beschikt om zelf te koken of dit niet kan.</w:t>
      </w:r>
    </w:p>
    <w:p w:rsidR="008274B2" w:rsidRPr="004B2A31" w:rsidRDefault="008274B2" w:rsidP="008274B2">
      <w:pPr>
        <w:pStyle w:val="Lijstalinea"/>
        <w:numPr>
          <w:ilvl w:val="0"/>
          <w:numId w:val="49"/>
        </w:numPr>
        <w:jc w:val="both"/>
        <w:rPr>
          <w:rFonts w:ascii="Gill Sans MT" w:hAnsi="Gill Sans MT"/>
          <w:sz w:val="22"/>
          <w:szCs w:val="22"/>
        </w:rPr>
      </w:pPr>
      <w:r>
        <w:rPr>
          <w:rFonts w:ascii="Gill Sans MT" w:hAnsi="Gill Sans MT"/>
          <w:sz w:val="22"/>
          <w:szCs w:val="22"/>
        </w:rPr>
        <w:t xml:space="preserve">Naast de wijziging in de aankoopprocedure voor de bereide gerechten werd in 2017 voorts </w:t>
      </w:r>
      <w:r w:rsidRPr="004B2A31">
        <w:rPr>
          <w:rFonts w:ascii="Gill Sans MT" w:hAnsi="Gill Sans MT"/>
          <w:sz w:val="22"/>
          <w:szCs w:val="22"/>
        </w:rPr>
        <w:t xml:space="preserve">verder ingezet op het gebruik van </w:t>
      </w:r>
      <w:proofErr w:type="spellStart"/>
      <w:r w:rsidRPr="004B2A31">
        <w:rPr>
          <w:rFonts w:ascii="Gill Sans MT" w:hAnsi="Gill Sans MT"/>
          <w:sz w:val="22"/>
          <w:szCs w:val="22"/>
        </w:rPr>
        <w:t>fairtrade</w:t>
      </w:r>
      <w:proofErr w:type="spellEnd"/>
      <w:r w:rsidRPr="004B2A31">
        <w:rPr>
          <w:rFonts w:ascii="Gill Sans MT" w:hAnsi="Gill Sans MT"/>
          <w:sz w:val="22"/>
          <w:szCs w:val="22"/>
        </w:rPr>
        <w:t xml:space="preserve"> labels en de aankoop van biologische producten.</w:t>
      </w:r>
    </w:p>
    <w:p w:rsidR="00687CC8" w:rsidRPr="004B2A31" w:rsidRDefault="00D77D1F" w:rsidP="00D77D1F">
      <w:pPr>
        <w:pStyle w:val="Lijstalinea"/>
        <w:jc w:val="both"/>
        <w:rPr>
          <w:rFonts w:ascii="Gill Sans MT" w:hAnsi="Gill Sans MT"/>
          <w:sz w:val="22"/>
          <w:szCs w:val="22"/>
        </w:rPr>
      </w:pPr>
      <w:r w:rsidRPr="004B2A31">
        <w:rPr>
          <w:rFonts w:ascii="Gill Sans MT" w:hAnsi="Gill Sans MT"/>
          <w:sz w:val="22"/>
          <w:szCs w:val="22"/>
        </w:rPr>
        <w:t xml:space="preserve">Zo werden in het kader van de campagne 2017 2 </w:t>
      </w:r>
      <w:proofErr w:type="spellStart"/>
      <w:r w:rsidRPr="004B2A31">
        <w:rPr>
          <w:rFonts w:ascii="Gill Sans MT" w:hAnsi="Gill Sans MT"/>
          <w:sz w:val="22"/>
          <w:szCs w:val="22"/>
        </w:rPr>
        <w:t>fairtrade</w:t>
      </w:r>
      <w:proofErr w:type="spellEnd"/>
      <w:r w:rsidRPr="004B2A31">
        <w:rPr>
          <w:rFonts w:ascii="Gill Sans MT" w:hAnsi="Gill Sans MT"/>
          <w:sz w:val="22"/>
          <w:szCs w:val="22"/>
        </w:rPr>
        <w:t xml:space="preserve"> – en 1 biologisch product aangekocht.</w:t>
      </w:r>
    </w:p>
    <w:p w:rsidR="00D77D1F" w:rsidRDefault="00D77D1F" w:rsidP="00687CC8">
      <w:pPr>
        <w:pStyle w:val="Lijstalinea"/>
        <w:numPr>
          <w:ilvl w:val="0"/>
          <w:numId w:val="49"/>
        </w:numPr>
        <w:jc w:val="both"/>
        <w:rPr>
          <w:rFonts w:ascii="Gill Sans MT" w:hAnsi="Gill Sans MT"/>
          <w:sz w:val="22"/>
          <w:szCs w:val="22"/>
        </w:rPr>
      </w:pPr>
      <w:r>
        <w:rPr>
          <w:rFonts w:ascii="Gill Sans MT" w:hAnsi="Gill Sans MT"/>
          <w:sz w:val="22"/>
          <w:szCs w:val="22"/>
        </w:rPr>
        <w:t xml:space="preserve">Verder werd in 2017 het Belgisch Operationeel Programma in het kader van het FEAD voor de periode 2014-2020 officieel gewijzigd. </w:t>
      </w:r>
    </w:p>
    <w:p w:rsidR="00D77D1F" w:rsidRDefault="00687CC8" w:rsidP="00D77D1F">
      <w:pPr>
        <w:pStyle w:val="Lijstalinea"/>
        <w:jc w:val="both"/>
        <w:rPr>
          <w:rFonts w:ascii="Gill Sans MT" w:hAnsi="Gill Sans MT"/>
          <w:sz w:val="22"/>
          <w:szCs w:val="22"/>
          <w:lang w:val="nl-NL"/>
        </w:rPr>
      </w:pPr>
      <w:r w:rsidRPr="00D77D1F">
        <w:rPr>
          <w:rFonts w:ascii="Gill Sans MT" w:hAnsi="Gill Sans MT"/>
          <w:sz w:val="22"/>
          <w:szCs w:val="22"/>
          <w:lang w:val="nl-NL"/>
        </w:rPr>
        <w:t xml:space="preserve">Van bij de start van FEAD in België waren de hoge transportkosten de achilleshiel van de uitvoering. </w:t>
      </w:r>
      <w:r w:rsidRPr="00711A02">
        <w:rPr>
          <w:rFonts w:ascii="Gill Sans MT" w:hAnsi="Gill Sans MT"/>
          <w:sz w:val="22"/>
          <w:szCs w:val="22"/>
          <w:lang w:val="nl-NL"/>
        </w:rPr>
        <w:t xml:space="preserve">Ter herinnering: de transportkosten zijn opgenomen in de offerte-oproep voor de aankoop van levensmiddelen (ze zijn inbegrepen in de prijs die de producenten voorstellen). Deze kosten waren hoog omdat de </w:t>
      </w:r>
      <w:proofErr w:type="spellStart"/>
      <w:r w:rsidRPr="00711A02">
        <w:rPr>
          <w:rFonts w:ascii="Gill Sans MT" w:hAnsi="Gill Sans MT"/>
          <w:sz w:val="22"/>
          <w:szCs w:val="22"/>
          <w:lang w:val="nl-NL"/>
        </w:rPr>
        <w:t>OCMW's</w:t>
      </w:r>
      <w:proofErr w:type="spellEnd"/>
      <w:r w:rsidRPr="00711A02">
        <w:rPr>
          <w:rFonts w:ascii="Gill Sans MT" w:hAnsi="Gill Sans MT"/>
          <w:sz w:val="22"/>
          <w:szCs w:val="22"/>
          <w:lang w:val="nl-NL"/>
        </w:rPr>
        <w:t xml:space="preserve"> hun levering rechtstreeks 'aan huis' kr</w:t>
      </w:r>
      <w:r w:rsidR="004B2A31">
        <w:rPr>
          <w:rFonts w:ascii="Gill Sans MT" w:hAnsi="Gill Sans MT"/>
          <w:sz w:val="22"/>
          <w:szCs w:val="22"/>
          <w:lang w:val="nl-NL"/>
        </w:rPr>
        <w:t>e</w:t>
      </w:r>
      <w:r w:rsidRPr="00711A02">
        <w:rPr>
          <w:rFonts w:ascii="Gill Sans MT" w:hAnsi="Gill Sans MT"/>
          <w:sz w:val="22"/>
          <w:szCs w:val="22"/>
          <w:lang w:val="nl-NL"/>
        </w:rPr>
        <w:t>gen en niet via de voedselbanken of een andere opslagplaats.</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t xml:space="preserve">Sinds 2015 zoekt de </w:t>
      </w:r>
      <w:proofErr w:type="spellStart"/>
      <w:r w:rsidR="004B2A31">
        <w:rPr>
          <w:rFonts w:ascii="Gill Sans MT" w:hAnsi="Gill Sans MT"/>
          <w:sz w:val="22"/>
          <w:szCs w:val="22"/>
          <w:lang w:val="nl-NL"/>
        </w:rPr>
        <w:t>beheersautoriteit</w:t>
      </w:r>
      <w:proofErr w:type="spellEnd"/>
      <w:r w:rsidR="004B2A31">
        <w:rPr>
          <w:rFonts w:ascii="Gill Sans MT" w:hAnsi="Gill Sans MT"/>
          <w:sz w:val="22"/>
          <w:szCs w:val="22"/>
          <w:lang w:val="nl-NL"/>
        </w:rPr>
        <w:t xml:space="preserve"> (BA)</w:t>
      </w:r>
      <w:r w:rsidRPr="00711A02">
        <w:rPr>
          <w:rFonts w:ascii="Gill Sans MT" w:hAnsi="Gill Sans MT"/>
          <w:sz w:val="22"/>
          <w:szCs w:val="22"/>
          <w:lang w:val="nl-NL"/>
        </w:rPr>
        <w:t xml:space="preserve"> reeds oplossingen om dit probleem op te lossen. In 2015 en 2016 werden voorlopige oplossingen gevonden. Dankzij de inspanningen van bepaalde partners (de Belgische federatie van voedselbanken, </w:t>
      </w:r>
      <w:proofErr w:type="spellStart"/>
      <w:r w:rsidRPr="00711A02">
        <w:rPr>
          <w:rFonts w:ascii="Gill Sans MT" w:hAnsi="Gill Sans MT"/>
          <w:sz w:val="22"/>
          <w:szCs w:val="22"/>
          <w:lang w:val="nl-NL"/>
        </w:rPr>
        <w:t>Alimen’t</w:t>
      </w:r>
      <w:proofErr w:type="spellEnd"/>
      <w:r w:rsidRPr="00711A02">
        <w:rPr>
          <w:rFonts w:ascii="Gill Sans MT" w:hAnsi="Gill Sans MT"/>
          <w:sz w:val="22"/>
          <w:szCs w:val="22"/>
          <w:lang w:val="nl-NL"/>
        </w:rPr>
        <w:t>, ODC Antwerpen, …), kon het aantal leverpunten geleidelijk worden verminderd, zie ook de vorige jaarverslagen.</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t xml:space="preserve">In dit verband en om een echte structurele oplossing te vinden, werd, in overleg met de partners, beslist om het operationeel programma te wijzigen, om het forfait te gebruiken waarin </w:t>
      </w:r>
      <w:r w:rsidR="004B2A31">
        <w:rPr>
          <w:rFonts w:ascii="Gill Sans MT" w:hAnsi="Gill Sans MT"/>
          <w:sz w:val="22"/>
          <w:szCs w:val="22"/>
          <w:lang w:val="nl-NL"/>
        </w:rPr>
        <w:t>is</w:t>
      </w:r>
      <w:r w:rsidRPr="00711A02">
        <w:rPr>
          <w:rFonts w:ascii="Gill Sans MT" w:hAnsi="Gill Sans MT"/>
          <w:sz w:val="22"/>
          <w:szCs w:val="22"/>
          <w:lang w:val="nl-NL"/>
        </w:rPr>
        <w:t xml:space="preserve"> voorzien in artikel 26, § 2 c van de Verordening (EU) nr. 223/2014 van het Europees Parlement en van de Raad van 11 maart 2014 in verband met het Fonds voor Europese hulp aan de meest behoeftigen.</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t>Door dit forfait te gebruiken, wilde de BA centrale opslagpunten invoeren, beheerd door de relais-organisaties en zo de transportkosten verminderen en de leveringen optimaliseren.</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t xml:space="preserve">De formele aanvraag om het operationeel programma te wijzigen werd in augustus 2017 aan de Europese Commissie bezorgd. In september 2017 heeft de BA de formele goedkeuring ontvangen vanwege de Europese Commissie. </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t>Naar aanleiding van deze goedkeuring heeft de BA 4 overeenkomsten opgesteld met de 4 grote relais-organisaties om een nieuw leversysteem in te voeren. Dit nieuwe leversysteem stapt af van de leveringen aan huis door de fabrikanten zelf. Alle producten worden ontvangen door de 4 grote opslagplaatsen, die, in ruil voor het forfait, zorgen voor de verdeling naar alle partnerorganisaties, die, op hun beurt, zorgen voor de verdeling aan de meest behoeftigen.</w:t>
      </w:r>
    </w:p>
    <w:p w:rsidR="00D77D1F" w:rsidRDefault="00687CC8" w:rsidP="00D77D1F">
      <w:pPr>
        <w:pStyle w:val="Lijstalinea"/>
        <w:jc w:val="both"/>
        <w:rPr>
          <w:rFonts w:ascii="Gill Sans MT" w:hAnsi="Gill Sans MT"/>
          <w:sz w:val="22"/>
          <w:szCs w:val="22"/>
          <w:lang w:val="nl-NL"/>
        </w:rPr>
      </w:pPr>
      <w:r w:rsidRPr="00711A02">
        <w:rPr>
          <w:rFonts w:ascii="Gill Sans MT" w:hAnsi="Gill Sans MT"/>
          <w:sz w:val="22"/>
          <w:szCs w:val="22"/>
          <w:lang w:val="nl-NL"/>
        </w:rPr>
        <w:lastRenderedPageBreak/>
        <w:t>De 4 grote opslagplaatsen hebben ervaring in de ontvangst, de opslag en het doorzenden van levensmiddelen en hebben zich kandidaat gesteld. Het gaat om:</w:t>
      </w:r>
    </w:p>
    <w:p w:rsidR="00687CC8" w:rsidRPr="00D77D1F" w:rsidRDefault="00687CC8" w:rsidP="00D77D1F">
      <w:pPr>
        <w:pStyle w:val="Lijstalinea"/>
        <w:numPr>
          <w:ilvl w:val="0"/>
          <w:numId w:val="50"/>
        </w:numPr>
        <w:jc w:val="both"/>
        <w:rPr>
          <w:rFonts w:ascii="Gill Sans MT" w:hAnsi="Gill Sans MT"/>
          <w:sz w:val="22"/>
          <w:szCs w:val="22"/>
        </w:rPr>
      </w:pPr>
      <w:r w:rsidRPr="00D77D1F">
        <w:rPr>
          <w:rFonts w:ascii="Gill Sans MT" w:hAnsi="Gill Sans MT"/>
          <w:sz w:val="22"/>
          <w:szCs w:val="22"/>
          <w:lang w:val="nl-NL"/>
        </w:rPr>
        <w:t xml:space="preserve">De Belgische federatie van voedselbanken die werken met een externe logistieke partner om deze taak uit te voeren. De federatie ontvangt ongeveer 80 % van de beschikbare voedingsmiddelen en verdeelt ze aan de erkende partnerorganisaties en </w:t>
      </w:r>
      <w:proofErr w:type="spellStart"/>
      <w:r w:rsidRPr="00D77D1F">
        <w:rPr>
          <w:rFonts w:ascii="Gill Sans MT" w:hAnsi="Gill Sans MT"/>
          <w:sz w:val="22"/>
          <w:szCs w:val="22"/>
          <w:lang w:val="nl-NL"/>
        </w:rPr>
        <w:t>OCMW’s</w:t>
      </w:r>
      <w:proofErr w:type="spellEnd"/>
      <w:r w:rsidRPr="00D77D1F">
        <w:rPr>
          <w:rFonts w:ascii="Gill Sans MT" w:hAnsi="Gill Sans MT"/>
          <w:sz w:val="22"/>
          <w:szCs w:val="22"/>
          <w:lang w:val="nl-NL"/>
        </w:rPr>
        <w:t xml:space="preserve"> over bijna gans België.</w:t>
      </w:r>
    </w:p>
    <w:p w:rsidR="00687CC8" w:rsidRPr="00711A02" w:rsidRDefault="00687CC8" w:rsidP="00D77D1F">
      <w:pPr>
        <w:pStyle w:val="Lijstalinea"/>
        <w:numPr>
          <w:ilvl w:val="0"/>
          <w:numId w:val="50"/>
        </w:numPr>
        <w:spacing w:after="200"/>
        <w:jc w:val="both"/>
        <w:rPr>
          <w:rFonts w:ascii="Gill Sans MT" w:hAnsi="Gill Sans MT"/>
          <w:sz w:val="22"/>
          <w:szCs w:val="22"/>
          <w:lang w:val="nl-NL"/>
        </w:rPr>
      </w:pPr>
      <w:r w:rsidRPr="00711A02">
        <w:rPr>
          <w:rFonts w:ascii="Gill Sans MT" w:hAnsi="Gill Sans MT"/>
          <w:sz w:val="22"/>
          <w:szCs w:val="22"/>
          <w:lang w:val="nl-NL"/>
        </w:rPr>
        <w:t>Het Rode Kruis van België dat zorgt voor de bevoorrading van de organisaties van het Rode Kruis in België.</w:t>
      </w:r>
    </w:p>
    <w:p w:rsidR="00687CC8" w:rsidRPr="00711A02" w:rsidRDefault="00687CC8" w:rsidP="00D77D1F">
      <w:pPr>
        <w:pStyle w:val="Lijstalinea"/>
        <w:numPr>
          <w:ilvl w:val="0"/>
          <w:numId w:val="50"/>
        </w:numPr>
        <w:spacing w:after="200"/>
        <w:jc w:val="both"/>
        <w:rPr>
          <w:rFonts w:ascii="Gill Sans MT" w:hAnsi="Gill Sans MT"/>
          <w:sz w:val="22"/>
          <w:szCs w:val="22"/>
          <w:lang w:val="nl-NL"/>
        </w:rPr>
      </w:pPr>
      <w:r w:rsidRPr="00711A02">
        <w:rPr>
          <w:rFonts w:ascii="Gill Sans MT" w:hAnsi="Gill Sans MT"/>
          <w:sz w:val="22"/>
          <w:szCs w:val="22"/>
          <w:lang w:val="nl-NL"/>
        </w:rPr>
        <w:t>ODC Antwerpen, de centrale opslagplaats van het OCMW van Antwerpen, zorgt voor de leveringen bij de erkende partnerorganisaties van de stad Antwerpen.</w:t>
      </w:r>
    </w:p>
    <w:p w:rsidR="00687CC8" w:rsidRPr="00711A02" w:rsidRDefault="00687CC8" w:rsidP="00D77D1F">
      <w:pPr>
        <w:pStyle w:val="Lijstalinea"/>
        <w:numPr>
          <w:ilvl w:val="0"/>
          <w:numId w:val="50"/>
        </w:numPr>
        <w:spacing w:after="200"/>
        <w:jc w:val="both"/>
        <w:rPr>
          <w:rFonts w:ascii="Gill Sans MT" w:hAnsi="Gill Sans MT"/>
          <w:sz w:val="22"/>
          <w:szCs w:val="22"/>
          <w:lang w:val="nl-NL"/>
        </w:rPr>
      </w:pPr>
      <w:r w:rsidRPr="00711A02">
        <w:rPr>
          <w:rFonts w:ascii="Gill Sans MT" w:hAnsi="Gill Sans MT"/>
          <w:sz w:val="22"/>
          <w:szCs w:val="22"/>
          <w:lang w:val="nl-NL"/>
        </w:rPr>
        <w:t xml:space="preserve">De opslagplaats </w:t>
      </w:r>
      <w:proofErr w:type="spellStart"/>
      <w:r w:rsidRPr="00711A02">
        <w:rPr>
          <w:rFonts w:ascii="Gill Sans MT" w:hAnsi="Gill Sans MT"/>
          <w:sz w:val="22"/>
          <w:szCs w:val="22"/>
          <w:lang w:val="nl-NL"/>
        </w:rPr>
        <w:t>Alimen’t</w:t>
      </w:r>
      <w:proofErr w:type="spellEnd"/>
      <w:r w:rsidRPr="00711A02">
        <w:rPr>
          <w:rFonts w:ascii="Gill Sans MT" w:hAnsi="Gill Sans MT"/>
          <w:sz w:val="22"/>
          <w:szCs w:val="22"/>
          <w:lang w:val="nl-NL"/>
        </w:rPr>
        <w:t xml:space="preserve"> verzorgt de bevoorrading van de </w:t>
      </w:r>
      <w:proofErr w:type="spellStart"/>
      <w:r w:rsidRPr="00711A02">
        <w:rPr>
          <w:rFonts w:ascii="Gill Sans MT" w:hAnsi="Gill Sans MT"/>
          <w:sz w:val="22"/>
          <w:szCs w:val="22"/>
          <w:lang w:val="nl-NL"/>
        </w:rPr>
        <w:t>OCMW’s</w:t>
      </w:r>
      <w:proofErr w:type="spellEnd"/>
      <w:r w:rsidRPr="00711A02">
        <w:rPr>
          <w:rFonts w:ascii="Gill Sans MT" w:hAnsi="Gill Sans MT"/>
          <w:sz w:val="22"/>
          <w:szCs w:val="22"/>
          <w:lang w:val="nl-NL"/>
        </w:rPr>
        <w:t xml:space="preserve"> in de provincie Luxemburg.</w:t>
      </w:r>
    </w:p>
    <w:p w:rsidR="00687CC8"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De wijziging in het leversysteem heeft niet enkel een invloed gehad op het aantal leverpunten. Ingevolge deze wijziging konden de leveringen meer gespreid worden in de tijd en konden verschillende producten in 2 of 3 </w:t>
      </w:r>
      <w:r w:rsidR="00821A9B">
        <w:rPr>
          <w:rFonts w:ascii="Gill Sans MT" w:hAnsi="Gill Sans MT"/>
          <w:sz w:val="22"/>
          <w:szCs w:val="22"/>
          <w:lang w:val="nl-NL"/>
        </w:rPr>
        <w:t xml:space="preserve">periodes </w:t>
      </w:r>
      <w:r w:rsidRPr="00711A02">
        <w:rPr>
          <w:rFonts w:ascii="Gill Sans MT" w:hAnsi="Gill Sans MT"/>
          <w:sz w:val="22"/>
          <w:szCs w:val="22"/>
          <w:lang w:val="nl-NL"/>
        </w:rPr>
        <w:t>geleverd worden (in plaats van een keer in 2016). Zo hebben de erkende partnerorganisaties meer gevarieerde en constante stromen van voedingsmiddelen ontvangen.</w:t>
      </w:r>
    </w:p>
    <w:p w:rsidR="00687CC8" w:rsidRPr="00711A02" w:rsidRDefault="00D77D1F" w:rsidP="00687CC8">
      <w:pPr>
        <w:jc w:val="both"/>
        <w:rPr>
          <w:rFonts w:ascii="Gill Sans MT" w:hAnsi="Gill Sans MT"/>
          <w:sz w:val="22"/>
          <w:szCs w:val="22"/>
          <w:lang w:val="nl-NL"/>
        </w:rPr>
      </w:pPr>
      <w:r>
        <w:rPr>
          <w:rFonts w:ascii="Gill Sans MT" w:hAnsi="Gill Sans MT"/>
          <w:sz w:val="22"/>
          <w:szCs w:val="22"/>
          <w:lang w:val="nl-NL"/>
        </w:rPr>
        <w:t>Bovendien hopen wij dat door de nieuwe leveringsmethode de lastenboeken meer potentiële inschrijvers zullen aantrekken,</w:t>
      </w:r>
      <w:r w:rsidR="00687CC8" w:rsidRPr="00711A02">
        <w:rPr>
          <w:rFonts w:ascii="Gill Sans MT" w:hAnsi="Gill Sans MT"/>
          <w:sz w:val="22"/>
          <w:szCs w:val="22"/>
          <w:lang w:val="nl-NL"/>
        </w:rPr>
        <w:t xml:space="preserve"> gezien het logistieke aspect (264 leverpunten) voorheen beschouwd werd als een hinderpaal voor talrijke potentiële inschrijvers.</w:t>
      </w:r>
    </w:p>
    <w:p w:rsidR="00687CC8" w:rsidRPr="00711A02" w:rsidRDefault="00687CC8" w:rsidP="00687CC8">
      <w:pPr>
        <w:jc w:val="both"/>
        <w:rPr>
          <w:rFonts w:ascii="Gill Sans MT" w:hAnsi="Gill Sans MT"/>
          <w:sz w:val="22"/>
          <w:szCs w:val="22"/>
          <w:lang w:val="nl-NL"/>
        </w:rPr>
      </w:pPr>
    </w:p>
    <w:p w:rsidR="004E0856" w:rsidRDefault="00D77D1F" w:rsidP="00687CC8">
      <w:pPr>
        <w:jc w:val="both"/>
        <w:rPr>
          <w:rFonts w:ascii="Gill Sans MT" w:hAnsi="Gill Sans MT"/>
          <w:sz w:val="22"/>
          <w:szCs w:val="22"/>
          <w:lang w:val="nl-NL"/>
        </w:rPr>
      </w:pPr>
      <w:r>
        <w:rPr>
          <w:rFonts w:ascii="Gill Sans MT" w:hAnsi="Gill Sans MT"/>
          <w:sz w:val="22"/>
          <w:szCs w:val="22"/>
          <w:lang w:val="nl-NL"/>
        </w:rPr>
        <w:t xml:space="preserve">Tot slot </w:t>
      </w:r>
      <w:r w:rsidR="00F64F38">
        <w:rPr>
          <w:rFonts w:ascii="Gill Sans MT" w:hAnsi="Gill Sans MT"/>
          <w:sz w:val="22"/>
          <w:szCs w:val="22"/>
          <w:lang w:val="nl-NL"/>
        </w:rPr>
        <w:t xml:space="preserve">was 2017 het jaar waarin een gestructureerde enquête werd afgenomen van de eindbegunstigden van het FEAD. Deze enquête diende georganiseerd te worden in het kader van </w:t>
      </w:r>
      <w:r w:rsidR="00711CBD">
        <w:rPr>
          <w:rFonts w:ascii="Gill Sans MT" w:hAnsi="Gill Sans MT"/>
          <w:sz w:val="22"/>
          <w:szCs w:val="22"/>
          <w:lang w:val="nl-NL"/>
        </w:rPr>
        <w:t>de Europese reglementering omtrent het FEAD.</w:t>
      </w:r>
      <w:r w:rsidR="00711CBD">
        <w:rPr>
          <w:rFonts w:ascii="Gill Sans MT" w:hAnsi="Gill Sans MT"/>
          <w:sz w:val="22"/>
          <w:szCs w:val="22"/>
          <w:lang w:val="nl-NL"/>
        </w:rPr>
        <w:tab/>
      </w:r>
      <w:r w:rsidR="00711CBD">
        <w:rPr>
          <w:rFonts w:ascii="Gill Sans MT" w:hAnsi="Gill Sans MT"/>
          <w:sz w:val="22"/>
          <w:szCs w:val="22"/>
          <w:lang w:val="nl-NL"/>
        </w:rPr>
        <w:br/>
        <w:t>De POD MI heeft deze enquête uitgevoerd in nauwe samenwerking met haar partners. In navolging van de testfase reeds georganiseerd in 2016, werd de eigenlijk</w:t>
      </w:r>
      <w:r w:rsidR="004B2A31">
        <w:rPr>
          <w:rFonts w:ascii="Gill Sans MT" w:hAnsi="Gill Sans MT"/>
          <w:sz w:val="22"/>
          <w:szCs w:val="22"/>
          <w:lang w:val="nl-NL"/>
        </w:rPr>
        <w:t>e</w:t>
      </w:r>
      <w:r w:rsidR="00711CBD">
        <w:rPr>
          <w:rFonts w:ascii="Gill Sans MT" w:hAnsi="Gill Sans MT"/>
          <w:sz w:val="22"/>
          <w:szCs w:val="22"/>
          <w:lang w:val="nl-NL"/>
        </w:rPr>
        <w:t xml:space="preserve"> enquête uitgevoerd in 2017. In totaal hebben 403 partnerorganis</w:t>
      </w:r>
      <w:r w:rsidR="004B2A31">
        <w:rPr>
          <w:rFonts w:ascii="Gill Sans MT" w:hAnsi="Gill Sans MT"/>
          <w:sz w:val="22"/>
          <w:szCs w:val="22"/>
          <w:lang w:val="nl-NL"/>
        </w:rPr>
        <w:t>a</w:t>
      </w:r>
      <w:r w:rsidR="00711CBD">
        <w:rPr>
          <w:rFonts w:ascii="Gill Sans MT" w:hAnsi="Gill Sans MT"/>
          <w:sz w:val="22"/>
          <w:szCs w:val="22"/>
          <w:lang w:val="nl-NL"/>
        </w:rPr>
        <w:t xml:space="preserve">ties 1.164 enquêtes uitgevoerd bij de eindbegunstigden van het FEAD. </w:t>
      </w:r>
    </w:p>
    <w:p w:rsidR="00687CC8" w:rsidRPr="00711A02"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De vragen van de enquête werden opgelegd door de Europese Commissie, zodat de resultaten van de verschillende lidstaten kunnen worden vergeleken. Naast deze vragen heeft de POD MI de gelegenheid aangegrepen die deze enquête bood om een extra vraag toe te voegen om een rechtstreeks advies te ontvangen van de begunstigden over de verdeelde FEAD-producten. Dit om de specifieke noden te identificeren en de productie aan te passen op basis van de noden die werden uitgedrukt (allergieën, nood aan materiële hulp, enz.). </w:t>
      </w:r>
    </w:p>
    <w:p w:rsidR="00687CC8" w:rsidRPr="00711A02"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Via de analyse van de resultaten verkregen in het kader van deze enquête blijkt dat het FEAD, door de verdeling van producten en voedingsmiddelen, de meest kwetsbare groepen bereikt. </w:t>
      </w:r>
    </w:p>
    <w:p w:rsidR="00687CC8" w:rsidRPr="00711A02"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Voor drie vierde van de begunstigden die de enquête hebben beantwoord, heeft de steun of bijstand verstrekt uit hoofde van het FEAD, het gaat dan hoofdzakelijk om steun in de vorm van voedselpakketten, echt "iets" veranderd voor hen of voor hun gezin. De term "iets" moet geïnterpreteerd worden als een positieve verandering in hun dagelijks leven. Onder de begunstigden die hebben geantwoord dat zij ontevreden zijn over de producten van het FEAD is iets minder dan 15 % ontevreden over de kwaliteit van de voedingsmiddelen. Het merendeel van deze groep bekritiseert het gebrek aan verscheidenheid van de producten en wil meer proteïnen en verse producten. Zij benadrukken eveneens het gebrek aan noodzakelijke producten. </w:t>
      </w:r>
    </w:p>
    <w:p w:rsidR="00687CC8" w:rsidRPr="00711A02"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De meeste begunstigden die op deze enquête hebben geantwoord, geven aan dat zij opnieuw voedselhulp zullen nodig hebben de volgende week of de volgende maand. Dat is niet het enige element </w:t>
      </w:r>
      <w:r w:rsidR="00821A9B">
        <w:rPr>
          <w:rFonts w:ascii="Gill Sans MT" w:hAnsi="Gill Sans MT"/>
          <w:sz w:val="22"/>
          <w:szCs w:val="22"/>
          <w:lang w:val="nl-NL"/>
        </w:rPr>
        <w:t>waaruit blijkt dat</w:t>
      </w:r>
      <w:r w:rsidRPr="00711A02">
        <w:rPr>
          <w:rFonts w:ascii="Gill Sans MT" w:hAnsi="Gill Sans MT"/>
          <w:sz w:val="22"/>
          <w:szCs w:val="22"/>
          <w:lang w:val="nl-NL"/>
        </w:rPr>
        <w:t xml:space="preserve"> deze behoeftige personen voedselhulp nodig hebben en dat de steun die verstrekt wordt met de door het FEAD geproduceerde voedingsmiddelen nodig is. Volgens de resultaten</w:t>
      </w:r>
      <w:r w:rsidR="00821A9B">
        <w:rPr>
          <w:rFonts w:ascii="Gill Sans MT" w:hAnsi="Gill Sans MT"/>
          <w:sz w:val="22"/>
          <w:szCs w:val="22"/>
          <w:lang w:val="nl-NL"/>
        </w:rPr>
        <w:t xml:space="preserve"> van de enquête</w:t>
      </w:r>
      <w:r w:rsidRPr="00711A02">
        <w:rPr>
          <w:rFonts w:ascii="Gill Sans MT" w:hAnsi="Gill Sans MT"/>
          <w:sz w:val="22"/>
          <w:szCs w:val="22"/>
          <w:lang w:val="nl-NL"/>
        </w:rPr>
        <w:t xml:space="preserve"> was immers ongeveer een vijfde van de begunstigen niet in staat om een jaar </w:t>
      </w:r>
      <w:r w:rsidR="009D16D2">
        <w:rPr>
          <w:rFonts w:ascii="Gill Sans MT" w:hAnsi="Gill Sans MT"/>
          <w:sz w:val="22"/>
          <w:szCs w:val="22"/>
          <w:lang w:val="nl-NL"/>
        </w:rPr>
        <w:t>voordien</w:t>
      </w:r>
      <w:r w:rsidR="00821A9B" w:rsidRPr="00711A02">
        <w:rPr>
          <w:rFonts w:ascii="Gill Sans MT" w:hAnsi="Gill Sans MT"/>
          <w:sz w:val="22"/>
          <w:szCs w:val="22"/>
          <w:lang w:val="nl-NL"/>
        </w:rPr>
        <w:t xml:space="preserve"> </w:t>
      </w:r>
      <w:r w:rsidRPr="00711A02">
        <w:rPr>
          <w:rFonts w:ascii="Gill Sans MT" w:hAnsi="Gill Sans MT"/>
          <w:sz w:val="22"/>
          <w:szCs w:val="22"/>
          <w:lang w:val="nl-NL"/>
        </w:rPr>
        <w:t xml:space="preserve">voedingsmiddelen of goederen aan te kopen die zij </w:t>
      </w:r>
      <w:r w:rsidR="00821A9B">
        <w:rPr>
          <w:rFonts w:ascii="Gill Sans MT" w:hAnsi="Gill Sans MT"/>
          <w:sz w:val="22"/>
          <w:szCs w:val="22"/>
          <w:lang w:val="nl-NL"/>
        </w:rPr>
        <w:t>op het moment dat de enquête werd afgenomen</w:t>
      </w:r>
      <w:r w:rsidR="00821A9B" w:rsidRPr="00711A02">
        <w:rPr>
          <w:rFonts w:ascii="Gill Sans MT" w:hAnsi="Gill Sans MT"/>
          <w:sz w:val="22"/>
          <w:szCs w:val="22"/>
          <w:lang w:val="nl-NL"/>
        </w:rPr>
        <w:t xml:space="preserve"> </w:t>
      </w:r>
      <w:r w:rsidRPr="00711A02">
        <w:rPr>
          <w:rFonts w:ascii="Gill Sans MT" w:hAnsi="Gill Sans MT"/>
          <w:sz w:val="22"/>
          <w:szCs w:val="22"/>
          <w:lang w:val="nl-NL"/>
        </w:rPr>
        <w:t xml:space="preserve">uit hoofde van het FEAD </w:t>
      </w:r>
      <w:r w:rsidR="009D16D2">
        <w:rPr>
          <w:rFonts w:ascii="Gill Sans MT" w:hAnsi="Gill Sans MT"/>
          <w:sz w:val="22"/>
          <w:szCs w:val="22"/>
          <w:lang w:val="nl-NL"/>
        </w:rPr>
        <w:t xml:space="preserve">hebben </w:t>
      </w:r>
      <w:r w:rsidRPr="00711A02">
        <w:rPr>
          <w:rFonts w:ascii="Gill Sans MT" w:hAnsi="Gill Sans MT"/>
          <w:sz w:val="22"/>
          <w:szCs w:val="22"/>
          <w:lang w:val="nl-NL"/>
        </w:rPr>
        <w:t>ontvangen. Dit vertaalt zich erin dat, gedurende meer dan een jaar, deze gebruikers in een precaire situatie leven waar de toegang tot een stelsel van evenwichtige voeding afhangt van de verdeling van de voedselhulp gefinancierd door het FEAD, in dit geval.</w:t>
      </w:r>
    </w:p>
    <w:p w:rsidR="00687CC8" w:rsidRPr="00711A02" w:rsidRDefault="00687CC8" w:rsidP="00711CBD">
      <w:pPr>
        <w:jc w:val="both"/>
        <w:rPr>
          <w:rFonts w:ascii="Gill Sans MT" w:hAnsi="Gill Sans MT"/>
          <w:sz w:val="22"/>
          <w:szCs w:val="22"/>
          <w:lang w:val="nl-NL"/>
        </w:rPr>
      </w:pPr>
      <w:r w:rsidRPr="00711A02">
        <w:rPr>
          <w:rFonts w:ascii="Gill Sans MT" w:hAnsi="Gill Sans MT"/>
          <w:sz w:val="22"/>
          <w:szCs w:val="22"/>
          <w:lang w:val="nl-NL"/>
        </w:rPr>
        <w:t>Via de</w:t>
      </w:r>
      <w:bookmarkStart w:id="0" w:name="_GoBack"/>
      <w:bookmarkEnd w:id="0"/>
      <w:r w:rsidRPr="00711A02">
        <w:rPr>
          <w:rFonts w:ascii="Gill Sans MT" w:hAnsi="Gill Sans MT"/>
          <w:sz w:val="22"/>
          <w:szCs w:val="22"/>
          <w:lang w:val="nl-NL"/>
        </w:rPr>
        <w:t xml:space="preserve"> gestructureerde enquête kan een duidelijker profiel worden opgesteld van de eindbegunstigden die een aanzienlijk deel uitmaken van de meest behoeftigen in België. </w:t>
      </w:r>
    </w:p>
    <w:p w:rsidR="00687CC8" w:rsidRPr="00711A02" w:rsidRDefault="00687CC8" w:rsidP="00687CC8">
      <w:pPr>
        <w:jc w:val="both"/>
        <w:rPr>
          <w:rFonts w:ascii="Gill Sans MT" w:hAnsi="Gill Sans MT"/>
          <w:sz w:val="22"/>
          <w:szCs w:val="22"/>
          <w:lang w:val="nl-NL"/>
        </w:rPr>
      </w:pPr>
    </w:p>
    <w:p w:rsidR="00687CC8" w:rsidRPr="00711A02" w:rsidRDefault="00687CC8" w:rsidP="00687CC8">
      <w:pPr>
        <w:jc w:val="both"/>
        <w:rPr>
          <w:rFonts w:ascii="Gill Sans MT" w:hAnsi="Gill Sans MT"/>
          <w:sz w:val="22"/>
          <w:szCs w:val="22"/>
          <w:lang w:val="nl-NL"/>
        </w:rPr>
      </w:pPr>
      <w:r w:rsidRPr="00711A02">
        <w:rPr>
          <w:rFonts w:ascii="Gill Sans MT" w:hAnsi="Gill Sans MT"/>
          <w:sz w:val="22"/>
          <w:szCs w:val="22"/>
          <w:lang w:val="nl-NL"/>
        </w:rPr>
        <w:t xml:space="preserve">Meer informatie over deze enquête is </w:t>
      </w:r>
      <w:hyperlink r:id="rId8" w:history="1">
        <w:r w:rsidRPr="00711A02">
          <w:rPr>
            <w:rStyle w:val="Hyperlink"/>
            <w:rFonts w:ascii="Gill Sans MT" w:hAnsi="Gill Sans MT"/>
            <w:sz w:val="22"/>
            <w:szCs w:val="22"/>
          </w:rPr>
          <w:t>hier</w:t>
        </w:r>
      </w:hyperlink>
      <w:r w:rsidRPr="00711A02">
        <w:rPr>
          <w:rFonts w:ascii="Gill Sans MT" w:hAnsi="Gill Sans MT"/>
          <w:sz w:val="22"/>
          <w:szCs w:val="22"/>
        </w:rPr>
        <w:t xml:space="preserve"> terug te vinden. </w:t>
      </w:r>
    </w:p>
    <w:p w:rsidR="00687CC8" w:rsidRPr="00711A02" w:rsidRDefault="00687CC8" w:rsidP="00955E7A">
      <w:pPr>
        <w:rPr>
          <w:sz w:val="22"/>
          <w:szCs w:val="22"/>
          <w:lang w:val="nl-NL"/>
        </w:rPr>
      </w:pPr>
    </w:p>
    <w:p w:rsidR="0008156C" w:rsidRPr="00711A02" w:rsidRDefault="0008156C" w:rsidP="0008156C">
      <w:pPr>
        <w:jc w:val="both"/>
        <w:rPr>
          <w:rFonts w:ascii="Gill Sans MT" w:hAnsi="Gill Sans MT"/>
          <w:b/>
          <w:sz w:val="22"/>
          <w:szCs w:val="22"/>
          <w:lang w:val="nl-NL"/>
        </w:rPr>
      </w:pPr>
      <w:r w:rsidRPr="00711A02">
        <w:rPr>
          <w:rFonts w:ascii="Gill Sans MT" w:hAnsi="Gill Sans MT"/>
          <w:b/>
          <w:sz w:val="22"/>
          <w:szCs w:val="22"/>
          <w:lang w:val="nl-NL"/>
        </w:rPr>
        <w:t>Het jaar 201</w:t>
      </w:r>
      <w:r w:rsidR="00B9757E" w:rsidRPr="00711A02">
        <w:rPr>
          <w:rFonts w:ascii="Gill Sans MT" w:hAnsi="Gill Sans MT"/>
          <w:b/>
          <w:sz w:val="22"/>
          <w:szCs w:val="22"/>
          <w:lang w:val="nl-NL"/>
        </w:rPr>
        <w:t>7</w:t>
      </w:r>
      <w:r w:rsidRPr="00711A02">
        <w:rPr>
          <w:rFonts w:ascii="Gill Sans MT" w:hAnsi="Gill Sans MT"/>
          <w:b/>
          <w:sz w:val="22"/>
          <w:szCs w:val="22"/>
          <w:lang w:val="nl-NL"/>
        </w:rPr>
        <w:t xml:space="preserve"> in cijfers:</w:t>
      </w:r>
    </w:p>
    <w:p w:rsidR="0008156C" w:rsidRPr="00711A02" w:rsidRDefault="0008156C" w:rsidP="0008156C">
      <w:pPr>
        <w:jc w:val="both"/>
        <w:rPr>
          <w:rFonts w:ascii="Gill Sans MT" w:hAnsi="Gill Sans MT"/>
          <w:b/>
          <w:sz w:val="22"/>
          <w:szCs w:val="22"/>
          <w:lang w:val="nl-NL"/>
        </w:rPr>
      </w:pPr>
    </w:p>
    <w:tbl>
      <w:tblPr>
        <w:tblStyle w:val="Tabelraster"/>
        <w:tblW w:w="0" w:type="auto"/>
        <w:tblLook w:val="04A0" w:firstRow="1" w:lastRow="0" w:firstColumn="1" w:lastColumn="0" w:noHBand="0" w:noVBand="1"/>
      </w:tblPr>
      <w:tblGrid>
        <w:gridCol w:w="4531"/>
        <w:gridCol w:w="4531"/>
      </w:tblGrid>
      <w:tr w:rsidR="0008156C" w:rsidRPr="00711A02" w:rsidTr="00270B53">
        <w:tc>
          <w:tcPr>
            <w:tcW w:w="4531" w:type="dxa"/>
          </w:tcPr>
          <w:p w:rsidR="0008156C" w:rsidRPr="00711A02" w:rsidRDefault="0008156C" w:rsidP="00270B53">
            <w:pPr>
              <w:jc w:val="both"/>
              <w:rPr>
                <w:rFonts w:ascii="Gill Sans MT" w:hAnsi="Gill Sans MT"/>
                <w:sz w:val="22"/>
                <w:szCs w:val="22"/>
                <w:lang w:val="nl-NL"/>
              </w:rPr>
            </w:pPr>
            <w:r w:rsidRPr="00711A02">
              <w:rPr>
                <w:rFonts w:ascii="Gill Sans MT" w:hAnsi="Gill Sans MT"/>
                <w:sz w:val="22"/>
                <w:szCs w:val="22"/>
                <w:lang w:val="nl-NL"/>
              </w:rPr>
              <w:t>Aantal partnerorganisaties die instaan voor de verdeling aan de meest behoeftigen:</w:t>
            </w:r>
          </w:p>
        </w:tc>
        <w:tc>
          <w:tcPr>
            <w:tcW w:w="4531" w:type="dxa"/>
          </w:tcPr>
          <w:p w:rsidR="0008156C" w:rsidRPr="00711A02" w:rsidRDefault="00955E7A" w:rsidP="00270B53">
            <w:pPr>
              <w:jc w:val="both"/>
              <w:rPr>
                <w:rFonts w:ascii="Gill Sans MT" w:hAnsi="Gill Sans MT"/>
                <w:b/>
                <w:sz w:val="22"/>
                <w:szCs w:val="22"/>
                <w:lang w:val="nl-NL"/>
              </w:rPr>
            </w:pPr>
            <w:r w:rsidRPr="00711A02">
              <w:rPr>
                <w:rFonts w:ascii="Gill Sans MT" w:hAnsi="Gill Sans MT"/>
                <w:b/>
                <w:sz w:val="22"/>
                <w:szCs w:val="22"/>
                <w:lang w:val="nl-NL"/>
              </w:rPr>
              <w:t>76</w:t>
            </w:r>
            <w:r w:rsidR="00947B60" w:rsidRPr="00711A02">
              <w:rPr>
                <w:rFonts w:ascii="Gill Sans MT" w:hAnsi="Gill Sans MT"/>
                <w:b/>
                <w:sz w:val="22"/>
                <w:szCs w:val="22"/>
                <w:lang w:val="nl-NL"/>
              </w:rPr>
              <w:t>0</w:t>
            </w:r>
            <w:r w:rsidRPr="00711A02">
              <w:rPr>
                <w:rFonts w:ascii="Gill Sans MT" w:hAnsi="Gill Sans MT"/>
                <w:b/>
                <w:sz w:val="22"/>
                <w:szCs w:val="22"/>
                <w:lang w:val="nl-NL"/>
              </w:rPr>
              <w:t xml:space="preserve"> </w:t>
            </w:r>
            <w:r w:rsidR="0008156C" w:rsidRPr="00711A02">
              <w:rPr>
                <w:rFonts w:ascii="Gill Sans MT" w:hAnsi="Gill Sans MT"/>
                <w:b/>
                <w:sz w:val="22"/>
                <w:szCs w:val="22"/>
                <w:lang w:val="nl-NL"/>
              </w:rPr>
              <w:t>(</w:t>
            </w:r>
            <w:proofErr w:type="spellStart"/>
            <w:r w:rsidR="0008156C" w:rsidRPr="00711A02">
              <w:rPr>
                <w:rFonts w:ascii="Gill Sans MT" w:hAnsi="Gill Sans MT"/>
                <w:b/>
                <w:sz w:val="22"/>
                <w:szCs w:val="22"/>
                <w:lang w:val="nl-NL"/>
              </w:rPr>
              <w:t>OCMW’s</w:t>
            </w:r>
            <w:proofErr w:type="spellEnd"/>
            <w:r w:rsidR="0008156C" w:rsidRPr="00711A02">
              <w:rPr>
                <w:rFonts w:ascii="Gill Sans MT" w:hAnsi="Gill Sans MT"/>
                <w:b/>
                <w:sz w:val="22"/>
                <w:szCs w:val="22"/>
                <w:lang w:val="nl-NL"/>
              </w:rPr>
              <w:t xml:space="preserve"> en erkende vzw’s)</w:t>
            </w:r>
          </w:p>
        </w:tc>
      </w:tr>
      <w:tr w:rsidR="0008156C" w:rsidRPr="00711A02" w:rsidTr="00270B53">
        <w:tc>
          <w:tcPr>
            <w:tcW w:w="4531" w:type="dxa"/>
          </w:tcPr>
          <w:p w:rsidR="0008156C" w:rsidRPr="00711A02" w:rsidRDefault="0008156C" w:rsidP="00270B53">
            <w:pPr>
              <w:jc w:val="both"/>
              <w:rPr>
                <w:rFonts w:ascii="Gill Sans MT" w:hAnsi="Gill Sans MT"/>
                <w:sz w:val="22"/>
                <w:szCs w:val="22"/>
                <w:lang w:val="nl-NL"/>
              </w:rPr>
            </w:pPr>
            <w:r w:rsidRPr="00711A02">
              <w:rPr>
                <w:rFonts w:ascii="Gill Sans MT" w:hAnsi="Gill Sans MT"/>
                <w:sz w:val="22"/>
                <w:szCs w:val="22"/>
                <w:lang w:val="nl-NL"/>
              </w:rPr>
              <w:t>Aantal verdeelde producten in het kader van het FEAD</w:t>
            </w:r>
          </w:p>
        </w:tc>
        <w:tc>
          <w:tcPr>
            <w:tcW w:w="4531" w:type="dxa"/>
          </w:tcPr>
          <w:p w:rsidR="0008156C" w:rsidRPr="00711A02" w:rsidRDefault="00955E7A" w:rsidP="00270B53">
            <w:pPr>
              <w:jc w:val="both"/>
              <w:rPr>
                <w:rFonts w:ascii="Gill Sans MT" w:hAnsi="Gill Sans MT"/>
                <w:b/>
                <w:sz w:val="22"/>
                <w:szCs w:val="22"/>
                <w:lang w:val="nl-NL"/>
              </w:rPr>
            </w:pPr>
            <w:r w:rsidRPr="00711A02">
              <w:rPr>
                <w:rFonts w:ascii="Gill Sans MT" w:hAnsi="Gill Sans MT"/>
                <w:b/>
                <w:sz w:val="22"/>
                <w:szCs w:val="22"/>
                <w:lang w:val="nl-NL"/>
              </w:rPr>
              <w:t>2</w:t>
            </w:r>
            <w:r w:rsidR="00947B60" w:rsidRPr="00711A02">
              <w:rPr>
                <w:rFonts w:ascii="Gill Sans MT" w:hAnsi="Gill Sans MT"/>
                <w:b/>
                <w:sz w:val="22"/>
                <w:szCs w:val="22"/>
                <w:lang w:val="nl-NL"/>
              </w:rPr>
              <w:t>2</w:t>
            </w:r>
          </w:p>
        </w:tc>
      </w:tr>
      <w:tr w:rsidR="0008156C" w:rsidRPr="00711A02" w:rsidTr="00270B53">
        <w:tc>
          <w:tcPr>
            <w:tcW w:w="4531" w:type="dxa"/>
          </w:tcPr>
          <w:p w:rsidR="0008156C" w:rsidRPr="00711A02" w:rsidRDefault="0008156C" w:rsidP="00270B53">
            <w:pPr>
              <w:jc w:val="both"/>
              <w:rPr>
                <w:rFonts w:ascii="Gill Sans MT" w:hAnsi="Gill Sans MT"/>
                <w:sz w:val="22"/>
                <w:szCs w:val="22"/>
                <w:lang w:val="nl-NL"/>
              </w:rPr>
            </w:pPr>
            <w:r w:rsidRPr="00711A02">
              <w:rPr>
                <w:rFonts w:ascii="Gill Sans MT" w:hAnsi="Gill Sans MT"/>
                <w:sz w:val="22"/>
                <w:szCs w:val="22"/>
                <w:lang w:val="nl-NL"/>
              </w:rPr>
              <w:t>Bedrag aanbesteding voedingsmiddelen</w:t>
            </w:r>
          </w:p>
        </w:tc>
        <w:tc>
          <w:tcPr>
            <w:tcW w:w="4531" w:type="dxa"/>
          </w:tcPr>
          <w:p w:rsidR="0008156C" w:rsidRPr="00711A02" w:rsidRDefault="00947B60" w:rsidP="00955E7A">
            <w:pPr>
              <w:jc w:val="both"/>
              <w:rPr>
                <w:rFonts w:ascii="Gill Sans MT" w:hAnsi="Gill Sans MT"/>
                <w:b/>
                <w:sz w:val="22"/>
                <w:szCs w:val="22"/>
                <w:lang w:val="nl-NL"/>
              </w:rPr>
            </w:pPr>
            <w:r w:rsidRPr="00711A02">
              <w:rPr>
                <w:rFonts w:ascii="Gill Sans MT" w:hAnsi="Gill Sans MT"/>
                <w:b/>
                <w:sz w:val="22"/>
                <w:szCs w:val="22"/>
                <w:lang w:val="nl-NL"/>
              </w:rPr>
              <w:t>13.303.200,00€ (inclusief BTW)</w:t>
            </w:r>
          </w:p>
        </w:tc>
      </w:tr>
      <w:tr w:rsidR="0008156C" w:rsidRPr="00711A02" w:rsidTr="00270B53">
        <w:tc>
          <w:tcPr>
            <w:tcW w:w="4531" w:type="dxa"/>
          </w:tcPr>
          <w:p w:rsidR="0008156C" w:rsidRPr="00711A02" w:rsidRDefault="0008156C" w:rsidP="00270B53">
            <w:pPr>
              <w:jc w:val="both"/>
              <w:rPr>
                <w:rFonts w:ascii="Gill Sans MT" w:hAnsi="Gill Sans MT"/>
                <w:sz w:val="22"/>
                <w:szCs w:val="22"/>
                <w:lang w:val="nl-NL"/>
              </w:rPr>
            </w:pPr>
            <w:r w:rsidRPr="00711A02">
              <w:rPr>
                <w:rFonts w:ascii="Gill Sans MT" w:hAnsi="Gill Sans MT"/>
                <w:sz w:val="22"/>
                <w:szCs w:val="22"/>
                <w:lang w:val="nl-NL"/>
              </w:rPr>
              <w:t>Aantal ton voedingsmiddelen geleverd aan de verschillende partnerorganisaties</w:t>
            </w:r>
          </w:p>
        </w:tc>
        <w:tc>
          <w:tcPr>
            <w:tcW w:w="4531" w:type="dxa"/>
          </w:tcPr>
          <w:p w:rsidR="0008156C" w:rsidRPr="00711A02" w:rsidRDefault="004E0856" w:rsidP="00270B53">
            <w:pPr>
              <w:jc w:val="both"/>
              <w:rPr>
                <w:rFonts w:ascii="Gill Sans MT" w:hAnsi="Gill Sans MT"/>
                <w:b/>
                <w:sz w:val="22"/>
                <w:szCs w:val="22"/>
                <w:lang w:val="nl-NL"/>
              </w:rPr>
            </w:pPr>
            <w:r w:rsidRPr="00711A02">
              <w:rPr>
                <w:rFonts w:ascii="Gill Sans MT" w:hAnsi="Gill Sans MT"/>
                <w:b/>
                <w:sz w:val="22"/>
                <w:szCs w:val="22"/>
                <w:lang w:val="nl-NL"/>
              </w:rPr>
              <w:t>5.004,66 ton</w:t>
            </w:r>
          </w:p>
        </w:tc>
      </w:tr>
      <w:tr w:rsidR="0008156C" w:rsidRPr="00711A02" w:rsidTr="00270B53">
        <w:tc>
          <w:tcPr>
            <w:tcW w:w="4531" w:type="dxa"/>
          </w:tcPr>
          <w:p w:rsidR="0008156C" w:rsidRPr="00711A02" w:rsidRDefault="0008156C" w:rsidP="00270B53">
            <w:pPr>
              <w:jc w:val="both"/>
              <w:rPr>
                <w:rFonts w:ascii="Gill Sans MT" w:hAnsi="Gill Sans MT"/>
                <w:sz w:val="22"/>
                <w:szCs w:val="22"/>
                <w:lang w:val="nl-NL"/>
              </w:rPr>
            </w:pPr>
            <w:r w:rsidRPr="00711A02">
              <w:rPr>
                <w:rFonts w:ascii="Gill Sans MT" w:hAnsi="Gill Sans MT"/>
                <w:sz w:val="22"/>
                <w:szCs w:val="22"/>
                <w:lang w:val="nl-NL"/>
              </w:rPr>
              <w:t>Aantal ton voedingsmiddelen effectief verdeeld aan de meest behoeftigen</w:t>
            </w:r>
          </w:p>
        </w:tc>
        <w:tc>
          <w:tcPr>
            <w:tcW w:w="4531" w:type="dxa"/>
          </w:tcPr>
          <w:p w:rsidR="0008156C" w:rsidRPr="00711A02" w:rsidRDefault="00947B60" w:rsidP="00270B53">
            <w:pPr>
              <w:jc w:val="both"/>
              <w:rPr>
                <w:rFonts w:ascii="Gill Sans MT" w:hAnsi="Gill Sans MT"/>
                <w:b/>
                <w:sz w:val="22"/>
                <w:szCs w:val="22"/>
                <w:lang w:val="nl-NL"/>
              </w:rPr>
            </w:pPr>
            <w:r w:rsidRPr="00711A02">
              <w:rPr>
                <w:rFonts w:ascii="Gill Sans MT" w:hAnsi="Gill Sans MT"/>
                <w:b/>
                <w:sz w:val="22"/>
                <w:szCs w:val="22"/>
                <w:lang w:val="nl-NL"/>
              </w:rPr>
              <w:t>12.758,89 ton</w:t>
            </w:r>
          </w:p>
        </w:tc>
      </w:tr>
      <w:tr w:rsidR="0008156C" w:rsidRPr="00711A02" w:rsidTr="00270B53">
        <w:tc>
          <w:tcPr>
            <w:tcW w:w="4531" w:type="dxa"/>
          </w:tcPr>
          <w:p w:rsidR="0008156C" w:rsidRPr="00711A02" w:rsidRDefault="0008156C" w:rsidP="00270B53">
            <w:pPr>
              <w:rPr>
                <w:rFonts w:ascii="Gill Sans MT" w:hAnsi="Gill Sans MT"/>
                <w:sz w:val="22"/>
                <w:szCs w:val="22"/>
                <w:lang w:val="nl-NL"/>
              </w:rPr>
            </w:pPr>
            <w:r w:rsidRPr="00711A02">
              <w:rPr>
                <w:rFonts w:ascii="Gill Sans MT" w:hAnsi="Gill Sans MT"/>
                <w:sz w:val="22"/>
                <w:szCs w:val="22"/>
                <w:lang w:val="nl-NL"/>
              </w:rPr>
              <w:t>Aantal personen die een beroep deden op het FEAD</w:t>
            </w:r>
          </w:p>
        </w:tc>
        <w:tc>
          <w:tcPr>
            <w:tcW w:w="4531" w:type="dxa"/>
          </w:tcPr>
          <w:p w:rsidR="0008156C" w:rsidRPr="00711A02" w:rsidRDefault="00947B60" w:rsidP="00270B53">
            <w:pPr>
              <w:jc w:val="both"/>
              <w:rPr>
                <w:rFonts w:ascii="Gill Sans MT" w:hAnsi="Gill Sans MT"/>
                <w:b/>
                <w:sz w:val="22"/>
                <w:szCs w:val="22"/>
                <w:lang w:val="nl-BE"/>
              </w:rPr>
            </w:pPr>
            <w:r w:rsidRPr="00711A02">
              <w:rPr>
                <w:rFonts w:ascii="Gill Sans MT" w:hAnsi="Gill Sans MT"/>
                <w:b/>
                <w:sz w:val="22"/>
                <w:szCs w:val="22"/>
                <w:lang w:val="nl-NL"/>
              </w:rPr>
              <w:t>311.205</w:t>
            </w:r>
          </w:p>
        </w:tc>
      </w:tr>
    </w:tbl>
    <w:p w:rsidR="0008156C" w:rsidRPr="00711A02" w:rsidRDefault="0008156C" w:rsidP="0008156C">
      <w:pPr>
        <w:jc w:val="both"/>
        <w:rPr>
          <w:rFonts w:ascii="Gill Sans MT" w:hAnsi="Gill Sans MT"/>
          <w:b/>
          <w:sz w:val="22"/>
          <w:szCs w:val="22"/>
          <w:lang w:val="nl-NL"/>
        </w:rPr>
      </w:pPr>
    </w:p>
    <w:p w:rsidR="0008156C" w:rsidRPr="00711A02" w:rsidRDefault="0008156C" w:rsidP="0008156C">
      <w:pPr>
        <w:jc w:val="both"/>
        <w:rPr>
          <w:rFonts w:ascii="Gill Sans MT" w:hAnsi="Gill Sans MT"/>
          <w:b/>
          <w:sz w:val="22"/>
          <w:szCs w:val="22"/>
          <w:lang w:val="nl-NL"/>
        </w:rPr>
      </w:pPr>
      <w:r w:rsidRPr="00711A02">
        <w:rPr>
          <w:rFonts w:ascii="Gill Sans MT" w:hAnsi="Gill Sans MT"/>
          <w:b/>
          <w:sz w:val="22"/>
          <w:szCs w:val="22"/>
          <w:lang w:val="nl-NL"/>
        </w:rPr>
        <w:t>Wil u graag meer weten over 201</w:t>
      </w:r>
      <w:r w:rsidR="00251EC3" w:rsidRPr="00711A02">
        <w:rPr>
          <w:rFonts w:ascii="Gill Sans MT" w:hAnsi="Gill Sans MT"/>
          <w:b/>
          <w:sz w:val="22"/>
          <w:szCs w:val="22"/>
          <w:lang w:val="nl-NL"/>
        </w:rPr>
        <w:t>7</w:t>
      </w:r>
      <w:r w:rsidRPr="00711A02">
        <w:rPr>
          <w:rFonts w:ascii="Gill Sans MT" w:hAnsi="Gill Sans MT"/>
          <w:b/>
          <w:sz w:val="22"/>
          <w:szCs w:val="22"/>
          <w:lang w:val="nl-NL"/>
        </w:rPr>
        <w:t>?</w:t>
      </w:r>
    </w:p>
    <w:p w:rsidR="0008156C" w:rsidRPr="00711A02" w:rsidRDefault="0008156C" w:rsidP="0008156C">
      <w:pPr>
        <w:jc w:val="both"/>
        <w:rPr>
          <w:rFonts w:ascii="Gill Sans MT" w:hAnsi="Gill Sans MT"/>
          <w:b/>
          <w:sz w:val="22"/>
          <w:szCs w:val="22"/>
          <w:lang w:val="nl-NL"/>
        </w:rPr>
      </w:pPr>
    </w:p>
    <w:p w:rsidR="0008156C" w:rsidRPr="00711A02" w:rsidRDefault="0008156C" w:rsidP="0008156C">
      <w:pPr>
        <w:jc w:val="both"/>
        <w:rPr>
          <w:rFonts w:ascii="Gill Sans MT" w:hAnsi="Gill Sans MT"/>
          <w:sz w:val="22"/>
          <w:szCs w:val="22"/>
        </w:rPr>
      </w:pPr>
      <w:r w:rsidRPr="00711A02">
        <w:rPr>
          <w:rFonts w:ascii="Gill Sans MT" w:hAnsi="Gill Sans MT"/>
          <w:sz w:val="22"/>
          <w:szCs w:val="22"/>
          <w:lang w:val="nl-NL"/>
        </w:rPr>
        <w:t>U kan het volledige jaarrapport</w:t>
      </w:r>
      <w:r w:rsidR="00947B60" w:rsidRPr="00711A02">
        <w:rPr>
          <w:rFonts w:ascii="Gill Sans MT" w:hAnsi="Gill Sans MT"/>
          <w:sz w:val="22"/>
          <w:szCs w:val="22"/>
          <w:lang w:val="nl-NL"/>
        </w:rPr>
        <w:t xml:space="preserve"> </w:t>
      </w:r>
      <w:hyperlink r:id="rId9" w:history="1">
        <w:r w:rsidR="00947B60" w:rsidRPr="00711A02">
          <w:rPr>
            <w:rStyle w:val="Hyperlink"/>
            <w:rFonts w:ascii="Gill Sans MT" w:hAnsi="Gill Sans MT"/>
            <w:sz w:val="22"/>
            <w:szCs w:val="22"/>
            <w:lang w:val="nl-NL" w:eastAsia="en-US"/>
          </w:rPr>
          <w:t>hier</w:t>
        </w:r>
      </w:hyperlink>
      <w:r w:rsidR="00947B60" w:rsidRPr="00711A02">
        <w:rPr>
          <w:rFonts w:ascii="Gill Sans MT" w:hAnsi="Gill Sans MT"/>
          <w:sz w:val="22"/>
          <w:szCs w:val="22"/>
          <w:lang w:val="nl-NL"/>
        </w:rPr>
        <w:t xml:space="preserve"> </w:t>
      </w:r>
      <w:r w:rsidRPr="00711A02">
        <w:rPr>
          <w:rFonts w:ascii="Gill Sans MT" w:hAnsi="Gill Sans MT"/>
          <w:sz w:val="22"/>
          <w:szCs w:val="22"/>
          <w:lang w:val="nl-NL"/>
        </w:rPr>
        <w:t xml:space="preserve">nalezen. </w:t>
      </w:r>
    </w:p>
    <w:p w:rsidR="0008156C" w:rsidRPr="00711A02" w:rsidRDefault="0008156C" w:rsidP="006C79E4">
      <w:pPr>
        <w:spacing w:after="200"/>
        <w:contextualSpacing/>
        <w:jc w:val="both"/>
        <w:rPr>
          <w:rFonts w:ascii="Gill Sans MT" w:hAnsi="Gill Sans MT"/>
          <w:sz w:val="22"/>
          <w:szCs w:val="22"/>
        </w:rPr>
      </w:pPr>
    </w:p>
    <w:sectPr w:rsidR="0008156C" w:rsidRPr="00711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CB" w:rsidRDefault="005334CB" w:rsidP="00FE6E18">
      <w:r>
        <w:separator/>
      </w:r>
    </w:p>
  </w:endnote>
  <w:endnote w:type="continuationSeparator" w:id="0">
    <w:p w:rsidR="005334CB" w:rsidRDefault="005334CB"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CB" w:rsidRDefault="005334CB" w:rsidP="00FE6E18">
      <w:r>
        <w:separator/>
      </w:r>
    </w:p>
  </w:footnote>
  <w:footnote w:type="continuationSeparator" w:id="0">
    <w:p w:rsidR="005334CB" w:rsidRDefault="005334CB"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352"/>
    <w:multiLevelType w:val="hybridMultilevel"/>
    <w:tmpl w:val="57A012B0"/>
    <w:lvl w:ilvl="0" w:tplc="A4E21308">
      <w:start w:val="5"/>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F31D87"/>
    <w:multiLevelType w:val="hybridMultilevel"/>
    <w:tmpl w:val="85C4163A"/>
    <w:lvl w:ilvl="0" w:tplc="BE3A34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F970E1"/>
    <w:multiLevelType w:val="hybridMultilevel"/>
    <w:tmpl w:val="62E685D2"/>
    <w:lvl w:ilvl="0" w:tplc="08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5" w15:restartNumberingAfterBreak="0">
    <w:nsid w:val="20E77576"/>
    <w:multiLevelType w:val="hybridMultilevel"/>
    <w:tmpl w:val="CCBCFA3E"/>
    <w:lvl w:ilvl="0" w:tplc="44B42B12">
      <w:start w:val="300"/>
      <w:numFmt w:val="bullet"/>
      <w:lvlText w:val="-"/>
      <w:lvlJc w:val="left"/>
      <w:pPr>
        <w:ind w:left="720" w:hanging="360"/>
      </w:pPr>
      <w:rPr>
        <w:rFonts w:ascii="Gill Sans MT" w:eastAsiaTheme="minorEastAsia"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CD63E55"/>
    <w:multiLevelType w:val="hybridMultilevel"/>
    <w:tmpl w:val="08B0ADB4"/>
    <w:lvl w:ilvl="0" w:tplc="FFFFFFFF">
      <w:start w:val="1"/>
      <w:numFmt w:val="bullet"/>
      <w:lvlText w:val="-"/>
      <w:lvlJc w:val="left"/>
      <w:pPr>
        <w:ind w:left="1068" w:hanging="360"/>
      </w:pPr>
      <w:rPr>
        <w:rFonts w:ascii="Calibri" w:eastAsia="Calibri" w:hAnsi="Calibri" w:cs="Times New Roman"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8"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405F5E"/>
    <w:multiLevelType w:val="multilevel"/>
    <w:tmpl w:val="D5AE1A1E"/>
    <w:lvl w:ilvl="0">
      <w:start w:val="1"/>
      <w:numFmt w:val="decimal"/>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1"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nl-N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652AA1"/>
    <w:multiLevelType w:val="hybridMultilevel"/>
    <w:tmpl w:val="C2387554"/>
    <w:lvl w:ilvl="0" w:tplc="4E96216E">
      <w:start w:val="5"/>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21"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19"/>
  </w:num>
  <w:num w:numId="5">
    <w:abstractNumId w:val="17"/>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7"/>
  </w:num>
  <w:num w:numId="24">
    <w:abstractNumId w:val="14"/>
  </w:num>
  <w:num w:numId="25">
    <w:abstractNumId w:val="16"/>
  </w:num>
  <w:num w:numId="26">
    <w:abstractNumId w:val="14"/>
  </w:num>
  <w:num w:numId="27">
    <w:abstractNumId w:val="14"/>
  </w:num>
  <w:num w:numId="28">
    <w:abstractNumId w:val="14"/>
  </w:num>
  <w:num w:numId="29">
    <w:abstractNumId w:val="14"/>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9"/>
  </w:num>
  <w:num w:numId="35">
    <w:abstractNumId w:val="8"/>
  </w:num>
  <w:num w:numId="36">
    <w:abstractNumId w:val="1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
  </w:num>
  <w:num w:numId="43">
    <w:abstractNumId w:val="12"/>
  </w:num>
  <w:num w:numId="44">
    <w:abstractNumId w:val="11"/>
  </w:num>
  <w:num w:numId="45">
    <w:abstractNumId w:val="1"/>
  </w:num>
  <w:num w:numId="46">
    <w:abstractNumId w:val="2"/>
  </w:num>
  <w:num w:numId="47">
    <w:abstractNumId w:val="5"/>
  </w:num>
  <w:num w:numId="48">
    <w:abstractNumId w:val="0"/>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80"/>
    <w:rsid w:val="0000227C"/>
    <w:rsid w:val="00012010"/>
    <w:rsid w:val="000243E5"/>
    <w:rsid w:val="00027D33"/>
    <w:rsid w:val="00046F5F"/>
    <w:rsid w:val="000571E6"/>
    <w:rsid w:val="0006115A"/>
    <w:rsid w:val="000678FB"/>
    <w:rsid w:val="0008156C"/>
    <w:rsid w:val="00090873"/>
    <w:rsid w:val="00093E78"/>
    <w:rsid w:val="0009675D"/>
    <w:rsid w:val="000B608C"/>
    <w:rsid w:val="000E0093"/>
    <w:rsid w:val="00100614"/>
    <w:rsid w:val="0011168A"/>
    <w:rsid w:val="00117DDF"/>
    <w:rsid w:val="00127B3A"/>
    <w:rsid w:val="001345A5"/>
    <w:rsid w:val="00190505"/>
    <w:rsid w:val="001B7A2A"/>
    <w:rsid w:val="001D05D3"/>
    <w:rsid w:val="001D4721"/>
    <w:rsid w:val="0024088D"/>
    <w:rsid w:val="00251EC3"/>
    <w:rsid w:val="00254E2A"/>
    <w:rsid w:val="002603E5"/>
    <w:rsid w:val="00273FFE"/>
    <w:rsid w:val="00274324"/>
    <w:rsid w:val="002813CC"/>
    <w:rsid w:val="00282385"/>
    <w:rsid w:val="00287884"/>
    <w:rsid w:val="00287C54"/>
    <w:rsid w:val="00294DAE"/>
    <w:rsid w:val="002B033E"/>
    <w:rsid w:val="002C0194"/>
    <w:rsid w:val="002C4269"/>
    <w:rsid w:val="002E1F66"/>
    <w:rsid w:val="002E46D4"/>
    <w:rsid w:val="00302B15"/>
    <w:rsid w:val="003030DC"/>
    <w:rsid w:val="003117D7"/>
    <w:rsid w:val="00326DF8"/>
    <w:rsid w:val="00361330"/>
    <w:rsid w:val="00365956"/>
    <w:rsid w:val="00373F8D"/>
    <w:rsid w:val="00374F2C"/>
    <w:rsid w:val="003C7DBA"/>
    <w:rsid w:val="003D750F"/>
    <w:rsid w:val="003F06D0"/>
    <w:rsid w:val="0040346C"/>
    <w:rsid w:val="0041747F"/>
    <w:rsid w:val="00420A31"/>
    <w:rsid w:val="00432D5D"/>
    <w:rsid w:val="0043617E"/>
    <w:rsid w:val="004515E8"/>
    <w:rsid w:val="004560DE"/>
    <w:rsid w:val="0046056F"/>
    <w:rsid w:val="00467976"/>
    <w:rsid w:val="0047179C"/>
    <w:rsid w:val="00480B04"/>
    <w:rsid w:val="00494297"/>
    <w:rsid w:val="004B2A31"/>
    <w:rsid w:val="004B609C"/>
    <w:rsid w:val="004C215E"/>
    <w:rsid w:val="004E0856"/>
    <w:rsid w:val="004E25E2"/>
    <w:rsid w:val="00507046"/>
    <w:rsid w:val="0051724E"/>
    <w:rsid w:val="00530F42"/>
    <w:rsid w:val="005334CB"/>
    <w:rsid w:val="00551130"/>
    <w:rsid w:val="005524E6"/>
    <w:rsid w:val="00580049"/>
    <w:rsid w:val="005B2DE7"/>
    <w:rsid w:val="005F660F"/>
    <w:rsid w:val="006040FE"/>
    <w:rsid w:val="00623ED5"/>
    <w:rsid w:val="00644F8C"/>
    <w:rsid w:val="006723F6"/>
    <w:rsid w:val="00677C23"/>
    <w:rsid w:val="00687CC8"/>
    <w:rsid w:val="006A51E8"/>
    <w:rsid w:val="006C79E4"/>
    <w:rsid w:val="00711A02"/>
    <w:rsid w:val="00711CBD"/>
    <w:rsid w:val="00716497"/>
    <w:rsid w:val="00721C92"/>
    <w:rsid w:val="007548AD"/>
    <w:rsid w:val="007A5D1A"/>
    <w:rsid w:val="007A7A48"/>
    <w:rsid w:val="007B135B"/>
    <w:rsid w:val="007B3183"/>
    <w:rsid w:val="007B655D"/>
    <w:rsid w:val="007F2C04"/>
    <w:rsid w:val="00821A9B"/>
    <w:rsid w:val="008274B2"/>
    <w:rsid w:val="00894337"/>
    <w:rsid w:val="008A6F70"/>
    <w:rsid w:val="008D62FA"/>
    <w:rsid w:val="008D7D27"/>
    <w:rsid w:val="008E6739"/>
    <w:rsid w:val="008F3826"/>
    <w:rsid w:val="009273AC"/>
    <w:rsid w:val="00936EC6"/>
    <w:rsid w:val="0094145B"/>
    <w:rsid w:val="00942061"/>
    <w:rsid w:val="0094408E"/>
    <w:rsid w:val="00947B60"/>
    <w:rsid w:val="00955E7A"/>
    <w:rsid w:val="00960C1C"/>
    <w:rsid w:val="00983947"/>
    <w:rsid w:val="00987463"/>
    <w:rsid w:val="00994004"/>
    <w:rsid w:val="00996866"/>
    <w:rsid w:val="009A1E8A"/>
    <w:rsid w:val="009A3D43"/>
    <w:rsid w:val="009B55DE"/>
    <w:rsid w:val="009D16D2"/>
    <w:rsid w:val="00A06248"/>
    <w:rsid w:val="00A06A8D"/>
    <w:rsid w:val="00A06EE5"/>
    <w:rsid w:val="00A43D2A"/>
    <w:rsid w:val="00A7299C"/>
    <w:rsid w:val="00A72F55"/>
    <w:rsid w:val="00AA2969"/>
    <w:rsid w:val="00AC19ED"/>
    <w:rsid w:val="00AC5883"/>
    <w:rsid w:val="00B40A4E"/>
    <w:rsid w:val="00B57F3F"/>
    <w:rsid w:val="00B71DA6"/>
    <w:rsid w:val="00B9757E"/>
    <w:rsid w:val="00C05D99"/>
    <w:rsid w:val="00C36F4C"/>
    <w:rsid w:val="00C41AC0"/>
    <w:rsid w:val="00C54758"/>
    <w:rsid w:val="00C6492E"/>
    <w:rsid w:val="00C67820"/>
    <w:rsid w:val="00CA063E"/>
    <w:rsid w:val="00CC1BC5"/>
    <w:rsid w:val="00CC239E"/>
    <w:rsid w:val="00CC2850"/>
    <w:rsid w:val="00CC3046"/>
    <w:rsid w:val="00CE3F82"/>
    <w:rsid w:val="00CE51EA"/>
    <w:rsid w:val="00D01A05"/>
    <w:rsid w:val="00D02BE3"/>
    <w:rsid w:val="00D22DC7"/>
    <w:rsid w:val="00D36946"/>
    <w:rsid w:val="00D4536F"/>
    <w:rsid w:val="00D77430"/>
    <w:rsid w:val="00D77D1F"/>
    <w:rsid w:val="00D8285C"/>
    <w:rsid w:val="00DA0DEC"/>
    <w:rsid w:val="00DB06D9"/>
    <w:rsid w:val="00DB4D87"/>
    <w:rsid w:val="00DB539B"/>
    <w:rsid w:val="00DC2CB2"/>
    <w:rsid w:val="00DC7BD7"/>
    <w:rsid w:val="00DD01C1"/>
    <w:rsid w:val="00DE788C"/>
    <w:rsid w:val="00DF679E"/>
    <w:rsid w:val="00E03B4A"/>
    <w:rsid w:val="00E13A9D"/>
    <w:rsid w:val="00E27C7F"/>
    <w:rsid w:val="00E41BA5"/>
    <w:rsid w:val="00E53DEE"/>
    <w:rsid w:val="00E6264A"/>
    <w:rsid w:val="00E65880"/>
    <w:rsid w:val="00E7403A"/>
    <w:rsid w:val="00E74718"/>
    <w:rsid w:val="00E823CA"/>
    <w:rsid w:val="00E84FB3"/>
    <w:rsid w:val="00E96707"/>
    <w:rsid w:val="00ED6284"/>
    <w:rsid w:val="00EE3208"/>
    <w:rsid w:val="00EE38D8"/>
    <w:rsid w:val="00EE4DB3"/>
    <w:rsid w:val="00F2087F"/>
    <w:rsid w:val="00F21FB2"/>
    <w:rsid w:val="00F22F9C"/>
    <w:rsid w:val="00F34B3C"/>
    <w:rsid w:val="00F4462A"/>
    <w:rsid w:val="00F55F8C"/>
    <w:rsid w:val="00F64F38"/>
    <w:rsid w:val="00F74CC6"/>
    <w:rsid w:val="00F85AAA"/>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B444-C5D0-4C14-B248-57E4B4F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outlineLvl w:val="1"/>
    </w:pPr>
  </w:style>
  <w:style w:type="paragraph" w:styleId="Kop3">
    <w:name w:val="heading 3"/>
    <w:basedOn w:val="Standaard"/>
    <w:next w:val="Standaard"/>
    <w:link w:val="Kop3Char"/>
    <w:uiPriority w:val="9"/>
    <w:unhideWhenUsed/>
    <w:qFormat/>
    <w:rsid w:val="001D472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spacing w:before="240" w:after="60"/>
      <w:outlineLvl w:val="6"/>
    </w:pPr>
  </w:style>
  <w:style w:type="paragraph" w:styleId="Kop8">
    <w:name w:val="heading 8"/>
    <w:basedOn w:val="Standaard"/>
    <w:next w:val="Standaard"/>
    <w:link w:val="Kop8Char"/>
    <w:uiPriority w:val="9"/>
    <w:semiHidden/>
    <w:unhideWhenUsed/>
    <w:qFormat/>
    <w:rsid w:val="001D4721"/>
    <w:pPr>
      <w:spacing w:before="240" w:after="60"/>
      <w:outlineLvl w:val="7"/>
    </w:pPr>
    <w:rPr>
      <w:i/>
      <w:iCs/>
    </w:rPr>
  </w:style>
  <w:style w:type="paragraph" w:styleId="Kop9">
    <w:name w:val="heading 9"/>
    <w:basedOn w:val="Standaard"/>
    <w:next w:val="Standaard"/>
    <w:link w:val="Kop9Char"/>
    <w:uiPriority w:val="9"/>
    <w:semiHidden/>
    <w:unhideWhenUsed/>
    <w:qFormat/>
    <w:rsid w:val="001D472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nl-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val="fr-BE"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8156C"/>
    <w:rPr>
      <w:color w:val="605E5C"/>
      <w:shd w:val="clear" w:color="auto" w:fill="E1DFDD"/>
    </w:rPr>
  </w:style>
  <w:style w:type="paragraph" w:customStyle="1" w:styleId="Default">
    <w:name w:val="Default"/>
    <w:rsid w:val="005F660F"/>
    <w:pPr>
      <w:autoSpaceDE w:val="0"/>
      <w:autoSpaceDN w:val="0"/>
      <w:adjustRightInd w:val="0"/>
    </w:pPr>
    <w:rPr>
      <w:rFonts w:ascii="Times New Roman" w:hAnsi="Times New Roman"/>
      <w:color w:val="000000"/>
      <w:sz w:val="24"/>
      <w:szCs w:val="24"/>
    </w:rPr>
  </w:style>
  <w:style w:type="character" w:styleId="GevolgdeHyperlink">
    <w:name w:val="FollowedHyperlink"/>
    <w:basedOn w:val="Standaardalinea-lettertype"/>
    <w:uiPriority w:val="99"/>
    <w:semiHidden/>
    <w:unhideWhenUsed/>
    <w:rsid w:val="00711A0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nl/fead-enquete-2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is.be/sites/default/files/documents/fead_jaarverslag_2017.docx" TargetMode="Externa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2165-74D9-4E31-A300-85AB68B5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1362</Words>
  <Characters>7497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Peeten Jolien</dc:creator>
  <cp:keywords/>
  <dc:description/>
  <cp:lastModifiedBy>Bossuyt Nele</cp:lastModifiedBy>
  <cp:revision>11</cp:revision>
  <dcterms:created xsi:type="dcterms:W3CDTF">2019-11-22T15:18:00Z</dcterms:created>
  <dcterms:modified xsi:type="dcterms:W3CDTF">2019-12-02T15:12:00Z</dcterms:modified>
</cp:coreProperties>
</file>