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FA259" w14:textId="77777777" w:rsidR="00463D9B" w:rsidRPr="00D15817" w:rsidRDefault="00463D9B" w:rsidP="00960B26">
      <w:pPr>
        <w:jc w:val="both"/>
        <w:rPr>
          <w:rFonts w:asciiTheme="majorHAnsi" w:hAnsiTheme="majorHAnsi" w:cstheme="majorHAnsi"/>
          <w:b/>
          <w:color w:val="FFC000"/>
          <w:sz w:val="48"/>
          <w:lang w:val="fr-FR"/>
        </w:rPr>
      </w:pPr>
      <w:r w:rsidRPr="00D15817">
        <w:rPr>
          <w:rFonts w:asciiTheme="majorHAnsi" w:hAnsiTheme="majorHAnsi" w:cstheme="majorHAnsi"/>
          <w:b/>
          <w:color w:val="FFC000"/>
          <w:sz w:val="48"/>
          <w:lang w:val="fr-FR"/>
        </w:rPr>
        <w:t>Prix Fédéral de Lutte contre la Pauvreté 2019</w:t>
      </w:r>
    </w:p>
    <w:p w14:paraId="5FF3E2E8" w14:textId="77777777" w:rsidR="00463D9B" w:rsidRPr="00D15817" w:rsidRDefault="00463D9B" w:rsidP="00960B26">
      <w:pPr>
        <w:jc w:val="both"/>
        <w:rPr>
          <w:rFonts w:asciiTheme="majorHAnsi" w:hAnsiTheme="majorHAnsi" w:cstheme="majorHAnsi"/>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13"/>
      </w:tblGrid>
      <w:tr w:rsidR="00463D9B" w:rsidRPr="00960B26" w14:paraId="0FF3A437" w14:textId="77777777" w:rsidTr="005A10B7">
        <w:tc>
          <w:tcPr>
            <w:tcW w:w="3397" w:type="dxa"/>
          </w:tcPr>
          <w:p w14:paraId="2A54CF6D" w14:textId="77777777" w:rsidR="00463D9B" w:rsidRPr="00D15817" w:rsidRDefault="00463D9B" w:rsidP="00960B26">
            <w:pPr>
              <w:jc w:val="both"/>
              <w:rPr>
                <w:rFonts w:asciiTheme="majorHAnsi" w:hAnsiTheme="majorHAnsi" w:cstheme="majorHAnsi"/>
                <w:b/>
                <w:lang w:val="fr-FR"/>
              </w:rPr>
            </w:pPr>
            <w:r w:rsidRPr="00D15817">
              <w:rPr>
                <w:rFonts w:asciiTheme="majorHAnsi" w:hAnsiTheme="majorHAnsi" w:cstheme="majorHAnsi"/>
                <w:b/>
                <w:lang w:val="fr-FR"/>
              </w:rPr>
              <w:t>Nom de l’organisation</w:t>
            </w:r>
          </w:p>
        </w:tc>
        <w:tc>
          <w:tcPr>
            <w:tcW w:w="5613" w:type="dxa"/>
          </w:tcPr>
          <w:p w14:paraId="12A646B7" w14:textId="431CB834" w:rsidR="00463D9B" w:rsidRPr="00D15817" w:rsidRDefault="00960B26" w:rsidP="00960B26">
            <w:pPr>
              <w:jc w:val="both"/>
              <w:rPr>
                <w:rFonts w:asciiTheme="majorHAnsi" w:hAnsiTheme="majorHAnsi" w:cstheme="majorHAnsi"/>
                <w:lang w:val="fr-FR"/>
              </w:rPr>
            </w:pPr>
            <w:r>
              <w:rPr>
                <w:rFonts w:asciiTheme="majorHAnsi" w:hAnsiTheme="majorHAnsi" w:cstheme="majorHAnsi"/>
                <w:noProof/>
                <w:lang w:val="fr-FR"/>
              </w:rPr>
              <w:t>SMES-B ASBL (</w:t>
            </w:r>
            <w:r w:rsidR="00463D9B" w:rsidRPr="005A2277">
              <w:rPr>
                <w:rFonts w:asciiTheme="majorHAnsi" w:hAnsiTheme="majorHAnsi" w:cstheme="majorHAnsi"/>
                <w:noProof/>
                <w:lang w:val="fr-FR"/>
              </w:rPr>
              <w:t xml:space="preserve">Santé Mentale et Exclusion Sociale </w:t>
            </w:r>
            <w:r>
              <w:rPr>
                <w:rFonts w:asciiTheme="majorHAnsi" w:hAnsiTheme="majorHAnsi" w:cstheme="majorHAnsi"/>
                <w:noProof/>
                <w:lang w:val="fr-FR"/>
              </w:rPr>
              <w:t>–</w:t>
            </w:r>
            <w:r w:rsidR="00463D9B" w:rsidRPr="005A2277">
              <w:rPr>
                <w:rFonts w:asciiTheme="majorHAnsi" w:hAnsiTheme="majorHAnsi" w:cstheme="majorHAnsi"/>
                <w:noProof/>
                <w:lang w:val="fr-FR"/>
              </w:rPr>
              <w:t xml:space="preserve"> </w:t>
            </w:r>
            <w:r>
              <w:rPr>
                <w:rFonts w:asciiTheme="majorHAnsi" w:hAnsiTheme="majorHAnsi" w:cstheme="majorHAnsi"/>
                <w:noProof/>
                <w:lang w:val="fr-FR"/>
              </w:rPr>
              <w:t>Belgique)</w:t>
            </w:r>
          </w:p>
        </w:tc>
      </w:tr>
      <w:tr w:rsidR="00463D9B" w:rsidRPr="00D15817" w14:paraId="1E690BAB" w14:textId="77777777" w:rsidTr="005A10B7">
        <w:tc>
          <w:tcPr>
            <w:tcW w:w="3397" w:type="dxa"/>
            <w:tcBorders>
              <w:bottom w:val="single" w:sz="4" w:space="0" w:color="auto"/>
            </w:tcBorders>
          </w:tcPr>
          <w:p w14:paraId="0602A350" w14:textId="77777777" w:rsidR="00463D9B" w:rsidRPr="00D15817" w:rsidRDefault="00463D9B" w:rsidP="00960B26">
            <w:pPr>
              <w:jc w:val="both"/>
              <w:rPr>
                <w:rFonts w:asciiTheme="majorHAnsi" w:hAnsiTheme="majorHAnsi" w:cstheme="majorHAnsi"/>
                <w:b/>
                <w:lang w:val="fr-FR"/>
              </w:rPr>
            </w:pPr>
            <w:r w:rsidRPr="00D15817">
              <w:rPr>
                <w:rFonts w:asciiTheme="majorHAnsi" w:hAnsiTheme="majorHAnsi" w:cstheme="majorHAnsi"/>
                <w:b/>
                <w:lang w:val="fr-FR"/>
              </w:rPr>
              <w:t>Adresse</w:t>
            </w:r>
          </w:p>
        </w:tc>
        <w:tc>
          <w:tcPr>
            <w:tcW w:w="5613" w:type="dxa"/>
            <w:tcBorders>
              <w:bottom w:val="single" w:sz="4" w:space="0" w:color="auto"/>
            </w:tcBorders>
          </w:tcPr>
          <w:p w14:paraId="2E3FEC09" w14:textId="77777777" w:rsidR="00463D9B" w:rsidRPr="00D15817" w:rsidRDefault="00463D9B" w:rsidP="00960B26">
            <w:pPr>
              <w:jc w:val="both"/>
              <w:rPr>
                <w:rFonts w:asciiTheme="majorHAnsi" w:hAnsiTheme="majorHAnsi" w:cstheme="majorHAnsi"/>
                <w:lang w:val="fr-FR"/>
              </w:rPr>
            </w:pPr>
            <w:r w:rsidRPr="005A2277">
              <w:rPr>
                <w:rFonts w:asciiTheme="majorHAnsi" w:hAnsiTheme="majorHAnsi" w:cstheme="majorHAnsi"/>
                <w:noProof/>
                <w:lang w:val="fr-FR"/>
              </w:rPr>
              <w:t>Rempart des Moines</w:t>
            </w:r>
            <w:r w:rsidRPr="00D15817">
              <w:rPr>
                <w:rFonts w:asciiTheme="majorHAnsi" w:hAnsiTheme="majorHAnsi" w:cstheme="majorHAnsi"/>
                <w:lang w:val="fr-FR"/>
              </w:rPr>
              <w:t xml:space="preserve"> </w:t>
            </w:r>
            <w:r w:rsidRPr="005A2277">
              <w:rPr>
                <w:rFonts w:asciiTheme="majorHAnsi" w:hAnsiTheme="majorHAnsi" w:cstheme="majorHAnsi"/>
                <w:noProof/>
                <w:lang w:val="fr-FR"/>
              </w:rPr>
              <w:t>78</w:t>
            </w:r>
          </w:p>
          <w:p w14:paraId="654EE30B" w14:textId="62935300" w:rsidR="00463D9B" w:rsidRPr="00D15817" w:rsidRDefault="00463D9B" w:rsidP="00960B26">
            <w:pPr>
              <w:jc w:val="both"/>
              <w:rPr>
                <w:rFonts w:asciiTheme="majorHAnsi" w:hAnsiTheme="majorHAnsi" w:cstheme="majorHAnsi"/>
                <w:lang w:val="fr-FR"/>
              </w:rPr>
            </w:pPr>
            <w:r w:rsidRPr="005A2277">
              <w:rPr>
                <w:rFonts w:asciiTheme="majorHAnsi" w:hAnsiTheme="majorHAnsi" w:cstheme="majorHAnsi"/>
                <w:noProof/>
                <w:lang w:val="fr-FR"/>
              </w:rPr>
              <w:t>1000</w:t>
            </w:r>
            <w:r w:rsidR="00960B26">
              <w:rPr>
                <w:rFonts w:asciiTheme="majorHAnsi" w:hAnsiTheme="majorHAnsi" w:cstheme="majorHAnsi"/>
                <w:noProof/>
                <w:lang w:val="fr-FR"/>
              </w:rPr>
              <w:t xml:space="preserve"> BRUXELLES</w:t>
            </w:r>
          </w:p>
        </w:tc>
      </w:tr>
      <w:tr w:rsidR="00463D9B" w:rsidRPr="00D15817" w14:paraId="7E525625" w14:textId="77777777" w:rsidTr="005A10B7">
        <w:tc>
          <w:tcPr>
            <w:tcW w:w="3397" w:type="dxa"/>
            <w:tcBorders>
              <w:top w:val="single" w:sz="4" w:space="0" w:color="auto"/>
            </w:tcBorders>
          </w:tcPr>
          <w:p w14:paraId="3EF15D76" w14:textId="77777777" w:rsidR="00463D9B" w:rsidRPr="00D15817" w:rsidRDefault="00463D9B" w:rsidP="00960B26">
            <w:pPr>
              <w:jc w:val="both"/>
              <w:rPr>
                <w:rFonts w:asciiTheme="majorHAnsi" w:hAnsiTheme="majorHAnsi" w:cstheme="majorHAnsi"/>
                <w:b/>
                <w:lang w:val="fr-FR"/>
              </w:rPr>
            </w:pPr>
          </w:p>
        </w:tc>
        <w:tc>
          <w:tcPr>
            <w:tcW w:w="5613" w:type="dxa"/>
            <w:tcBorders>
              <w:top w:val="single" w:sz="4" w:space="0" w:color="auto"/>
            </w:tcBorders>
          </w:tcPr>
          <w:p w14:paraId="4C9B5680" w14:textId="77777777" w:rsidR="00463D9B" w:rsidRPr="00D15817" w:rsidRDefault="00463D9B" w:rsidP="00960B26">
            <w:pPr>
              <w:jc w:val="both"/>
              <w:rPr>
                <w:rFonts w:asciiTheme="majorHAnsi" w:hAnsiTheme="majorHAnsi" w:cstheme="majorHAnsi"/>
                <w:lang w:val="fr-FR"/>
              </w:rPr>
            </w:pPr>
          </w:p>
        </w:tc>
      </w:tr>
      <w:tr w:rsidR="00463D9B" w:rsidRPr="00960B26" w14:paraId="5A5A8DF4" w14:textId="77777777" w:rsidTr="005A10B7">
        <w:tc>
          <w:tcPr>
            <w:tcW w:w="3397" w:type="dxa"/>
          </w:tcPr>
          <w:p w14:paraId="37BFCDFE" w14:textId="77777777" w:rsidR="00463D9B" w:rsidRPr="00D15817" w:rsidRDefault="00463D9B" w:rsidP="00960B26">
            <w:pPr>
              <w:jc w:val="both"/>
              <w:rPr>
                <w:rFonts w:asciiTheme="majorHAnsi" w:hAnsiTheme="majorHAnsi" w:cstheme="majorHAnsi"/>
                <w:b/>
                <w:lang w:val="fr-FR"/>
              </w:rPr>
            </w:pPr>
            <w:r w:rsidRPr="00D15817">
              <w:rPr>
                <w:rFonts w:asciiTheme="majorHAnsi" w:hAnsiTheme="majorHAnsi" w:cstheme="majorHAnsi"/>
                <w:b/>
                <w:lang w:val="fr-FR"/>
              </w:rPr>
              <w:t>Facebook</w:t>
            </w:r>
          </w:p>
        </w:tc>
        <w:tc>
          <w:tcPr>
            <w:tcW w:w="5613" w:type="dxa"/>
          </w:tcPr>
          <w:p w14:paraId="544E4930" w14:textId="77777777" w:rsidR="00463D9B" w:rsidRPr="00D15817" w:rsidRDefault="00463D9B" w:rsidP="00960B26">
            <w:pPr>
              <w:jc w:val="both"/>
              <w:rPr>
                <w:rFonts w:asciiTheme="majorHAnsi" w:hAnsiTheme="majorHAnsi" w:cstheme="majorHAnsi"/>
                <w:lang w:val="fr-FR"/>
              </w:rPr>
            </w:pPr>
            <w:r w:rsidRPr="005A2277">
              <w:rPr>
                <w:rFonts w:asciiTheme="majorHAnsi" w:hAnsiTheme="majorHAnsi" w:cstheme="majorHAnsi"/>
                <w:noProof/>
                <w:lang w:val="fr-FR"/>
              </w:rPr>
              <w:t>https://www.facebook.com/smesb/</w:t>
            </w:r>
          </w:p>
        </w:tc>
      </w:tr>
      <w:tr w:rsidR="00463D9B" w:rsidRPr="00960B26" w14:paraId="32F0CEB4" w14:textId="77777777" w:rsidTr="005A10B7">
        <w:tc>
          <w:tcPr>
            <w:tcW w:w="3397" w:type="dxa"/>
          </w:tcPr>
          <w:p w14:paraId="5F04A979" w14:textId="77777777" w:rsidR="00463D9B" w:rsidRPr="00D15817" w:rsidRDefault="00463D9B" w:rsidP="00960B26">
            <w:pPr>
              <w:jc w:val="both"/>
              <w:rPr>
                <w:rFonts w:asciiTheme="majorHAnsi" w:hAnsiTheme="majorHAnsi" w:cstheme="majorHAnsi"/>
                <w:b/>
                <w:lang w:val="fr-FR"/>
              </w:rPr>
            </w:pPr>
            <w:r w:rsidRPr="00D15817">
              <w:rPr>
                <w:rFonts w:asciiTheme="majorHAnsi" w:hAnsiTheme="majorHAnsi" w:cstheme="majorHAnsi"/>
                <w:b/>
                <w:lang w:val="fr-FR"/>
              </w:rPr>
              <w:t>Twitter</w:t>
            </w:r>
          </w:p>
        </w:tc>
        <w:tc>
          <w:tcPr>
            <w:tcW w:w="5613" w:type="dxa"/>
          </w:tcPr>
          <w:p w14:paraId="50E66D02" w14:textId="77777777" w:rsidR="00463D9B" w:rsidRPr="00D15817" w:rsidRDefault="00463D9B" w:rsidP="00960B26">
            <w:pPr>
              <w:jc w:val="both"/>
              <w:rPr>
                <w:rFonts w:asciiTheme="majorHAnsi" w:hAnsiTheme="majorHAnsi" w:cstheme="majorHAnsi"/>
                <w:lang w:val="fr-FR"/>
              </w:rPr>
            </w:pPr>
            <w:r w:rsidRPr="005A2277">
              <w:rPr>
                <w:rFonts w:asciiTheme="majorHAnsi" w:hAnsiTheme="majorHAnsi" w:cstheme="majorHAnsi"/>
                <w:noProof/>
                <w:lang w:val="fr-FR"/>
              </w:rPr>
              <w:t>https://twitter.com/smes_b</w:t>
            </w:r>
          </w:p>
        </w:tc>
      </w:tr>
      <w:tr w:rsidR="00463D9B" w:rsidRPr="00D15817" w14:paraId="35448A64" w14:textId="77777777" w:rsidTr="005A10B7">
        <w:tc>
          <w:tcPr>
            <w:tcW w:w="3397" w:type="dxa"/>
            <w:tcBorders>
              <w:bottom w:val="single" w:sz="4" w:space="0" w:color="auto"/>
            </w:tcBorders>
          </w:tcPr>
          <w:p w14:paraId="5B369539" w14:textId="77777777" w:rsidR="00463D9B" w:rsidRPr="00D15817" w:rsidRDefault="00463D9B" w:rsidP="00960B26">
            <w:pPr>
              <w:jc w:val="both"/>
              <w:rPr>
                <w:rFonts w:asciiTheme="majorHAnsi" w:hAnsiTheme="majorHAnsi" w:cstheme="majorHAnsi"/>
                <w:b/>
                <w:lang w:val="fr-FR"/>
              </w:rPr>
            </w:pPr>
            <w:r w:rsidRPr="00D15817">
              <w:rPr>
                <w:rFonts w:asciiTheme="majorHAnsi" w:hAnsiTheme="majorHAnsi" w:cstheme="majorHAnsi"/>
                <w:b/>
                <w:lang w:val="fr-FR"/>
              </w:rPr>
              <w:t>Instagram</w:t>
            </w:r>
          </w:p>
        </w:tc>
        <w:tc>
          <w:tcPr>
            <w:tcW w:w="5613" w:type="dxa"/>
            <w:tcBorders>
              <w:bottom w:val="single" w:sz="4" w:space="0" w:color="auto"/>
            </w:tcBorders>
          </w:tcPr>
          <w:p w14:paraId="580790A2" w14:textId="77777777" w:rsidR="00463D9B" w:rsidRPr="00D15817" w:rsidRDefault="00463D9B" w:rsidP="00960B26">
            <w:pPr>
              <w:jc w:val="both"/>
              <w:rPr>
                <w:rFonts w:asciiTheme="majorHAnsi" w:hAnsiTheme="majorHAnsi" w:cstheme="majorHAnsi"/>
                <w:lang w:val="fr-FR"/>
              </w:rPr>
            </w:pPr>
          </w:p>
        </w:tc>
      </w:tr>
      <w:tr w:rsidR="00463D9B" w:rsidRPr="00D15817" w14:paraId="71B02C9A" w14:textId="77777777" w:rsidTr="005A10B7">
        <w:tc>
          <w:tcPr>
            <w:tcW w:w="3397" w:type="dxa"/>
            <w:tcBorders>
              <w:top w:val="single" w:sz="4" w:space="0" w:color="auto"/>
            </w:tcBorders>
          </w:tcPr>
          <w:p w14:paraId="217DFB9E" w14:textId="77777777" w:rsidR="00463D9B" w:rsidRPr="00D15817" w:rsidRDefault="00463D9B" w:rsidP="00960B26">
            <w:pPr>
              <w:jc w:val="both"/>
              <w:rPr>
                <w:rFonts w:asciiTheme="majorHAnsi" w:hAnsiTheme="majorHAnsi" w:cstheme="majorHAnsi"/>
                <w:b/>
                <w:lang w:val="fr-FR"/>
              </w:rPr>
            </w:pPr>
          </w:p>
        </w:tc>
        <w:tc>
          <w:tcPr>
            <w:tcW w:w="5613" w:type="dxa"/>
            <w:tcBorders>
              <w:top w:val="single" w:sz="4" w:space="0" w:color="auto"/>
            </w:tcBorders>
          </w:tcPr>
          <w:p w14:paraId="792A9557" w14:textId="77777777" w:rsidR="00463D9B" w:rsidRPr="00D15817" w:rsidRDefault="00463D9B" w:rsidP="00960B26">
            <w:pPr>
              <w:jc w:val="both"/>
              <w:rPr>
                <w:rFonts w:asciiTheme="majorHAnsi" w:hAnsiTheme="majorHAnsi" w:cstheme="majorHAnsi"/>
                <w:lang w:val="fr-FR"/>
              </w:rPr>
            </w:pPr>
          </w:p>
        </w:tc>
      </w:tr>
    </w:tbl>
    <w:p w14:paraId="1C9CACA3" w14:textId="77777777" w:rsidR="00463D9B" w:rsidRPr="00D15817" w:rsidRDefault="00463D9B" w:rsidP="00960B26">
      <w:pPr>
        <w:jc w:val="both"/>
        <w:rPr>
          <w:rFonts w:asciiTheme="majorHAnsi" w:hAnsiTheme="majorHAnsi" w:cstheme="majorHAnsi"/>
          <w:lang w:val="fr-FR"/>
        </w:rPr>
      </w:pPr>
    </w:p>
    <w:p w14:paraId="41979798" w14:textId="44888348" w:rsidR="00463D9B" w:rsidRPr="00D15817" w:rsidRDefault="00463D9B" w:rsidP="00960B26">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FR"/>
        </w:rPr>
      </w:pPr>
      <w:r w:rsidRPr="00D15817">
        <w:rPr>
          <w:rFonts w:asciiTheme="majorHAnsi" w:hAnsiTheme="majorHAnsi" w:cstheme="majorHAnsi"/>
          <w:lang w:val="fr-FR"/>
        </w:rPr>
        <w:t>Comment est utilisée/mise en œuvre la participation et/ou l’intégration des savoirs issus de l’expérience personnelle de la pauvreté et/ou l’exclusion sociale dans les prestations en faveur des usagers ou du public ?</w:t>
      </w:r>
    </w:p>
    <w:p w14:paraId="6F9F8CC4" w14:textId="77777777" w:rsidR="00463D9B" w:rsidRPr="00D15817" w:rsidRDefault="00463D9B" w:rsidP="00960B26">
      <w:pPr>
        <w:jc w:val="both"/>
        <w:rPr>
          <w:rFonts w:asciiTheme="majorHAnsi" w:hAnsiTheme="majorHAnsi" w:cstheme="majorHAnsi"/>
          <w:lang w:val="fr-FR"/>
        </w:rPr>
      </w:pPr>
    </w:p>
    <w:p w14:paraId="56E82048" w14:textId="77777777" w:rsidR="00463D9B" w:rsidRPr="00C153D5" w:rsidRDefault="00463D9B" w:rsidP="00960B26">
      <w:pPr>
        <w:jc w:val="both"/>
        <w:rPr>
          <w:rFonts w:asciiTheme="majorHAnsi" w:hAnsiTheme="majorHAnsi" w:cstheme="majorHAnsi"/>
          <w:lang w:val="fr-FR"/>
        </w:rPr>
      </w:pPr>
      <w:r w:rsidRPr="00C153D5">
        <w:rPr>
          <w:rFonts w:asciiTheme="majorHAnsi" w:hAnsiTheme="majorHAnsi" w:cstheme="majorHAnsi"/>
          <w:lang w:val="fr-FR"/>
        </w:rPr>
        <w:t xml:space="preserve">La conviction de l’importance de la participation des personnes concernées à l’élaboration des projets qui les visent se concrétise au SMES-B en 2014 par la présence d’un expert du vécu en matière de pauvreté dans le Comité d’accompagnement du projet Housing First, et ensuite au sein du Conseil d’Administration de l'ASBL. </w:t>
      </w:r>
    </w:p>
    <w:p w14:paraId="473AB8D4" w14:textId="77777777" w:rsidR="00960B26" w:rsidRDefault="00960B26" w:rsidP="00960B26">
      <w:pPr>
        <w:jc w:val="both"/>
        <w:rPr>
          <w:rFonts w:asciiTheme="majorHAnsi" w:hAnsiTheme="majorHAnsi" w:cstheme="majorHAnsi"/>
          <w:lang w:val="fr-FR"/>
        </w:rPr>
      </w:pPr>
    </w:p>
    <w:p w14:paraId="222B4559" w14:textId="44212950" w:rsidR="00463D9B" w:rsidRPr="00C153D5" w:rsidRDefault="00463D9B" w:rsidP="00960B26">
      <w:pPr>
        <w:jc w:val="both"/>
        <w:rPr>
          <w:rFonts w:asciiTheme="majorHAnsi" w:hAnsiTheme="majorHAnsi" w:cstheme="majorHAnsi"/>
          <w:lang w:val="fr-FR"/>
        </w:rPr>
      </w:pPr>
      <w:r w:rsidRPr="00C153D5">
        <w:rPr>
          <w:rFonts w:asciiTheme="majorHAnsi" w:hAnsiTheme="majorHAnsi" w:cstheme="majorHAnsi"/>
          <w:lang w:val="fr-FR"/>
        </w:rPr>
        <w:t>En 2015, c’est en tant qu’employé qu’un pair-aidant rejoint l’équipe d’accompagnement du Housing First. Son expérience est reconnue via l'accès à un barème équivalent au bachelor.</w:t>
      </w:r>
    </w:p>
    <w:p w14:paraId="71101CFA" w14:textId="77777777" w:rsidR="00463D9B" w:rsidRPr="00C153D5" w:rsidRDefault="00463D9B" w:rsidP="00960B26">
      <w:pPr>
        <w:jc w:val="both"/>
        <w:rPr>
          <w:rFonts w:asciiTheme="majorHAnsi" w:hAnsiTheme="majorHAnsi" w:cstheme="majorHAnsi"/>
          <w:lang w:val="fr-FR"/>
        </w:rPr>
      </w:pPr>
      <w:r w:rsidRPr="00C153D5">
        <w:rPr>
          <w:rFonts w:asciiTheme="majorHAnsi" w:hAnsiTheme="majorHAnsi" w:cstheme="majorHAnsi"/>
          <w:lang w:val="fr-FR"/>
        </w:rPr>
        <w:t xml:space="preserve">Un travail de réflexion et d’élaboration se met en place dès avant l’arrivée du pair-aidant et se poursuit en 2018 par une demande de reconnaissance officielle de ce type de poste (maintenant effectif pour la COCOM). Un travail de communication visant la diffusion des apports de la pair-aidance est également mené. Des experts d'expérience sont intégrés dans différents projets. </w:t>
      </w:r>
    </w:p>
    <w:p w14:paraId="2ABDAABB" w14:textId="77777777" w:rsidR="00960B26" w:rsidRDefault="00960B26" w:rsidP="00960B26">
      <w:pPr>
        <w:jc w:val="both"/>
        <w:rPr>
          <w:rFonts w:asciiTheme="majorHAnsi" w:hAnsiTheme="majorHAnsi" w:cstheme="majorHAnsi"/>
          <w:lang w:val="fr-FR"/>
        </w:rPr>
      </w:pPr>
    </w:p>
    <w:p w14:paraId="1234A520" w14:textId="32D183E5" w:rsidR="00463D9B" w:rsidRDefault="00463D9B" w:rsidP="00960B26">
      <w:pPr>
        <w:jc w:val="both"/>
        <w:rPr>
          <w:rFonts w:asciiTheme="majorHAnsi" w:hAnsiTheme="majorHAnsi" w:cstheme="majorHAnsi"/>
          <w:lang w:val="fr-FR"/>
        </w:rPr>
      </w:pPr>
      <w:r w:rsidRPr="00C153D5">
        <w:rPr>
          <w:rFonts w:asciiTheme="majorHAnsi" w:hAnsiTheme="majorHAnsi" w:cstheme="majorHAnsi"/>
          <w:lang w:val="fr-FR"/>
        </w:rPr>
        <w:t>En 2018, un premier cycle d’intervisions à destination de pairs-aidants et experts du vécu est mis en place.</w:t>
      </w:r>
    </w:p>
    <w:p w14:paraId="08AF6B4F" w14:textId="77777777" w:rsidR="00463D9B" w:rsidRPr="00D15817" w:rsidRDefault="00463D9B" w:rsidP="00960B26">
      <w:pPr>
        <w:jc w:val="both"/>
        <w:rPr>
          <w:rFonts w:asciiTheme="majorHAnsi" w:hAnsiTheme="majorHAnsi" w:cstheme="majorHAnsi"/>
          <w:lang w:val="fr-FR"/>
        </w:rPr>
      </w:pPr>
    </w:p>
    <w:p w14:paraId="4CB46F65" w14:textId="494B86CC" w:rsidR="00463D9B" w:rsidRPr="00D15817" w:rsidRDefault="00463D9B" w:rsidP="00960B26">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FR"/>
        </w:rPr>
      </w:pPr>
      <w:r w:rsidRPr="00D15817">
        <w:rPr>
          <w:rFonts w:asciiTheme="majorHAnsi" w:hAnsiTheme="majorHAnsi" w:cstheme="majorHAnsi"/>
          <w:lang w:val="fr-FR"/>
        </w:rPr>
        <w:t>Comment sont intégrés, dans les modes d’approche de la lutte contre la pauvreté (réflexion, processus, évaluation, etc.), la participation et /ou les savoirs issus de l’expérience personnelle de la pauvreté et/ou l’exclusion sociale ?</w:t>
      </w:r>
    </w:p>
    <w:p w14:paraId="41224A49" w14:textId="77777777" w:rsidR="00463D9B" w:rsidRPr="00D15817" w:rsidRDefault="00463D9B" w:rsidP="00960B26">
      <w:pPr>
        <w:jc w:val="both"/>
        <w:rPr>
          <w:rFonts w:asciiTheme="majorHAnsi" w:hAnsiTheme="majorHAnsi" w:cstheme="majorHAnsi"/>
          <w:lang w:val="fr-FR"/>
        </w:rPr>
      </w:pPr>
    </w:p>
    <w:p w14:paraId="5B88AF21" w14:textId="77777777" w:rsidR="00463D9B" w:rsidRPr="00C153D5" w:rsidRDefault="00463D9B" w:rsidP="00960B26">
      <w:pPr>
        <w:jc w:val="both"/>
        <w:rPr>
          <w:rFonts w:asciiTheme="majorHAnsi" w:hAnsiTheme="majorHAnsi" w:cstheme="majorHAnsi"/>
          <w:lang w:val="fr-FR"/>
        </w:rPr>
      </w:pPr>
      <w:r w:rsidRPr="00C153D5">
        <w:rPr>
          <w:rFonts w:asciiTheme="majorHAnsi" w:hAnsiTheme="majorHAnsi" w:cstheme="majorHAnsi"/>
          <w:lang w:val="fr-FR"/>
        </w:rPr>
        <w:t xml:space="preserve">Présence ponctuelle ou continue de pairs-aidant ou experts du vécu au sein : du Conseil d'Administration de l'asbl, de comités de pilotage (Housing First, 25 ans du SMES-B, violences dans l'institution), des cycles d'intervision, de publications, d'un théâtre législatif basé sur le vécu des personnes en situation de pauvreté et construit avec eux. </w:t>
      </w:r>
    </w:p>
    <w:p w14:paraId="25B37250" w14:textId="77777777" w:rsidR="00463D9B" w:rsidRDefault="00463D9B" w:rsidP="00960B26">
      <w:pPr>
        <w:jc w:val="both"/>
        <w:rPr>
          <w:rFonts w:asciiTheme="majorHAnsi" w:hAnsiTheme="majorHAnsi" w:cstheme="majorHAnsi"/>
          <w:lang w:val="fr-FR"/>
        </w:rPr>
      </w:pPr>
      <w:r w:rsidRPr="00C153D5">
        <w:rPr>
          <w:rFonts w:asciiTheme="majorHAnsi" w:hAnsiTheme="majorHAnsi" w:cstheme="majorHAnsi"/>
          <w:lang w:val="fr-FR"/>
        </w:rPr>
        <w:t>Les experts en expérience interviennent donc dans : l'élaboration des besoins, la définition des projets, leur mise en oeuvre, leur accompagnement, leur diffusion, leur évaluation.</w:t>
      </w:r>
    </w:p>
    <w:p w14:paraId="70351B0F" w14:textId="77777777" w:rsidR="00463D9B" w:rsidRPr="00D15817" w:rsidRDefault="00463D9B" w:rsidP="00960B26">
      <w:pPr>
        <w:jc w:val="both"/>
        <w:rPr>
          <w:rFonts w:asciiTheme="majorHAnsi" w:hAnsiTheme="majorHAnsi" w:cstheme="majorHAnsi"/>
          <w:lang w:val="fr-FR"/>
        </w:rPr>
      </w:pPr>
    </w:p>
    <w:p w14:paraId="405C10E6" w14:textId="717F2928" w:rsidR="00463D9B" w:rsidRPr="00D15817" w:rsidRDefault="00463D9B" w:rsidP="00960B26">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FR"/>
        </w:rPr>
      </w:pPr>
      <w:r w:rsidRPr="00D15817">
        <w:rPr>
          <w:rFonts w:asciiTheme="majorHAnsi" w:hAnsiTheme="majorHAnsi" w:cstheme="majorHAnsi"/>
          <w:lang w:val="fr-FR"/>
        </w:rPr>
        <w:lastRenderedPageBreak/>
        <w:t>Comment est intégré l’impact de la participation et l’intégration des savoirs issus de l’expérience personnelle de la pauvreté et/ou l’exclusion sociale dans les textes de références de l’organisation ?</w:t>
      </w:r>
    </w:p>
    <w:p w14:paraId="27012A89" w14:textId="77777777" w:rsidR="00463D9B" w:rsidRPr="00D15817" w:rsidRDefault="00463D9B" w:rsidP="00960B26">
      <w:pPr>
        <w:jc w:val="both"/>
        <w:rPr>
          <w:rFonts w:asciiTheme="majorHAnsi" w:hAnsiTheme="majorHAnsi" w:cstheme="majorHAnsi"/>
          <w:lang w:val="fr-FR"/>
        </w:rPr>
      </w:pPr>
    </w:p>
    <w:p w14:paraId="149657FD" w14:textId="14C2DF4E" w:rsidR="00463D9B" w:rsidRDefault="00463D9B" w:rsidP="00960B26">
      <w:pPr>
        <w:jc w:val="both"/>
        <w:rPr>
          <w:rFonts w:asciiTheme="majorHAnsi" w:hAnsiTheme="majorHAnsi" w:cstheme="majorHAnsi"/>
          <w:lang w:val="fr-FR"/>
        </w:rPr>
      </w:pPr>
      <w:r w:rsidRPr="00C153D5">
        <w:rPr>
          <w:rFonts w:asciiTheme="majorHAnsi" w:hAnsiTheme="majorHAnsi" w:cstheme="majorHAnsi"/>
          <w:lang w:val="fr-FR"/>
        </w:rPr>
        <w:t>Le pair-aidant fait partie de la liste des fonction reconnues au sein du SMES-B (et accède à un salaire correspondant à un niveau bachelor). Le pair-aidant est une fonction-clé du modèle Housing First (Pathways to Housing, Tsemberis, S. et Housing First Guide, FEANTSA) et de l'équipe du SMES-B (rapports d'activités 2013-2018). Un travail de lobbying a permis de faire reconnaitre la fonction de pair-aidant dans les arrêtés de subventionnement de</w:t>
      </w:r>
      <w:r w:rsidR="00F53C40">
        <w:rPr>
          <w:rFonts w:asciiTheme="majorHAnsi" w:hAnsiTheme="majorHAnsi" w:cstheme="majorHAnsi"/>
          <w:lang w:val="fr-FR"/>
        </w:rPr>
        <w:t xml:space="preserve"> la COCOM (Aide aux personnes). </w:t>
      </w:r>
      <w:r w:rsidRPr="00C153D5">
        <w:rPr>
          <w:rFonts w:asciiTheme="majorHAnsi" w:hAnsiTheme="majorHAnsi" w:cstheme="majorHAnsi"/>
          <w:lang w:val="fr-FR"/>
        </w:rPr>
        <w:t xml:space="preserve">Des présentations sont régulièrement réalisées par le SMES-B et singulièrement par la pair aidante pour diffuser les pratiques de participation. </w:t>
      </w:r>
      <w:bookmarkStart w:id="0" w:name="_GoBack"/>
      <w:bookmarkEnd w:id="0"/>
      <w:r w:rsidRPr="00C153D5">
        <w:rPr>
          <w:rFonts w:asciiTheme="majorHAnsi" w:hAnsiTheme="majorHAnsi" w:cstheme="majorHAnsi"/>
          <w:lang w:val="fr-FR"/>
        </w:rPr>
        <w:t>Une cartographie et un guide méthodologique sont en cours d'écriture avec le Forum - Bruxelles contre les inégalités</w:t>
      </w:r>
    </w:p>
    <w:p w14:paraId="358775A4" w14:textId="77777777" w:rsidR="00075DBC" w:rsidRPr="00463D9B" w:rsidRDefault="00F53C40" w:rsidP="00960B26">
      <w:pPr>
        <w:jc w:val="both"/>
        <w:rPr>
          <w:lang w:val="fr-FR"/>
        </w:rPr>
      </w:pPr>
    </w:p>
    <w:sectPr w:rsidR="00075DBC" w:rsidRPr="00463D9B" w:rsidSect="00C575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9B"/>
    <w:rsid w:val="003B01A5"/>
    <w:rsid w:val="00463D9B"/>
    <w:rsid w:val="005E555F"/>
    <w:rsid w:val="008C35F2"/>
    <w:rsid w:val="00924701"/>
    <w:rsid w:val="00960B26"/>
    <w:rsid w:val="00C57514"/>
    <w:rsid w:val="00E911FB"/>
    <w:rsid w:val="00F53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59CC"/>
  <w14:defaultImageDpi w14:val="32767"/>
  <w15:chartTrackingRefBased/>
  <w15:docId w15:val="{BD9AA759-B2B1-8848-A14F-0C48E614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Coninck</dc:creator>
  <cp:keywords/>
  <dc:description/>
  <cp:lastModifiedBy>De Coninck Jan</cp:lastModifiedBy>
  <cp:revision>2</cp:revision>
  <dcterms:created xsi:type="dcterms:W3CDTF">2019-04-25T05:08:00Z</dcterms:created>
  <dcterms:modified xsi:type="dcterms:W3CDTF">2019-05-03T13:35:00Z</dcterms:modified>
</cp:coreProperties>
</file>