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58" w:rsidRDefault="00486459">
      <w:r>
        <w:t xml:space="preserve">Nota: </w:t>
      </w:r>
      <w:r w:rsidR="004C783D">
        <w:rPr>
          <w:b/>
          <w:sz w:val="28"/>
          <w:szCs w:val="28"/>
          <w:u w:val="single"/>
        </w:rPr>
        <w:t>aan het werk</w:t>
      </w:r>
      <w:r w:rsidRPr="004C783D">
        <w:rPr>
          <w:b/>
          <w:sz w:val="28"/>
          <w:szCs w:val="28"/>
          <w:u w:val="single"/>
        </w:rPr>
        <w:t xml:space="preserve"> en cliënt</w:t>
      </w:r>
      <w:r w:rsidR="004C783D">
        <w:rPr>
          <w:b/>
          <w:sz w:val="28"/>
          <w:szCs w:val="28"/>
          <w:u w:val="single"/>
        </w:rPr>
        <w:t xml:space="preserve"> bij het OCMW</w:t>
      </w:r>
    </w:p>
    <w:p w:rsidR="00486459" w:rsidRDefault="00486459" w:rsidP="004C783D">
      <w:pPr>
        <w:jc w:val="both"/>
      </w:pPr>
      <w:r>
        <w:t>Vanuit het OCMW van Namen werd aan de POD Maatschappelijke Integratie de vraag gesteld in welke mate mensen die actief zijn op de arbeidsmarkt als loontrekkende of als zelfstandige een beroep doen op het OCMW om een menswaardig inkomen te verkrijgen.</w:t>
      </w:r>
    </w:p>
    <w:p w:rsidR="009B6C81" w:rsidRDefault="00486459" w:rsidP="004C783D">
      <w:pPr>
        <w:jc w:val="both"/>
      </w:pPr>
      <w:r>
        <w:t xml:space="preserve">Algemeen wordt op basis van EU-SILC (European Union Survey on </w:t>
      </w:r>
      <w:proofErr w:type="spellStart"/>
      <w:r>
        <w:t>Income</w:t>
      </w:r>
      <w:proofErr w:type="spellEnd"/>
      <w:r>
        <w:t xml:space="preserve"> </w:t>
      </w:r>
      <w:proofErr w:type="spellStart"/>
      <w:r>
        <w:t>and</w:t>
      </w:r>
      <w:proofErr w:type="spellEnd"/>
      <w:r>
        <w:t xml:space="preserve"> Living </w:t>
      </w:r>
      <w:proofErr w:type="spellStart"/>
      <w:r>
        <w:t>Condition</w:t>
      </w:r>
      <w:proofErr w:type="spellEnd"/>
      <w:r>
        <w:t>)</w:t>
      </w:r>
      <w:r>
        <w:rPr>
          <w:rStyle w:val="Voetnootmarkering"/>
        </w:rPr>
        <w:footnoteReference w:id="1"/>
      </w:r>
      <w:r>
        <w:t xml:space="preserve"> vastgesteld dat er in België 4,5% </w:t>
      </w:r>
      <w:r w:rsidR="00557E01">
        <w:t xml:space="preserve">(EU-27 gemiddelde 8,4%) </w:t>
      </w:r>
      <w:r>
        <w:t xml:space="preserve">van de bevolking </w:t>
      </w:r>
      <w:r>
        <w:rPr>
          <w:rStyle w:val="Voetnootmarkering"/>
        </w:rPr>
        <w:footnoteReference w:id="2"/>
      </w:r>
      <w:r>
        <w:t xml:space="preserve"> aan het werk is maar een inkomen vergaart dat lager is dan de armoedegrens. </w:t>
      </w:r>
      <w:r w:rsidR="004C783D">
        <w:t>Dit zijn</w:t>
      </w:r>
      <w:r w:rsidR="00557E01">
        <w:t xml:space="preserve"> 487.795 personen.</w:t>
      </w:r>
      <w:r w:rsidR="004C783D">
        <w:t xml:space="preserve"> </w:t>
      </w:r>
      <w:r>
        <w:t xml:space="preserve">De armoedegrens </w:t>
      </w:r>
      <w:r w:rsidR="004C783D">
        <w:t>ligt op</w:t>
      </w:r>
      <w:r>
        <w:t xml:space="preserve"> 60% van het mediaaninkomen of 973 euro voor een alleenstaande</w:t>
      </w:r>
      <w:r w:rsidR="004C783D">
        <w:t xml:space="preserve"> en 2.044 euro voor een koppel met 2 kinderen. De bedragen van het leefloon liggen voor beide categorieën onder de Europese armoedegrens. Via het MIMOSIS programma van de FOD Sociale Zekerheid wordt berekend in welke mate het leefloon de ambitie om de armoedegrens te bereiken behaald (</w:t>
      </w:r>
      <w:proofErr w:type="spellStart"/>
      <w:r w:rsidR="004C783D">
        <w:t>cfr</w:t>
      </w:r>
      <w:proofErr w:type="spellEnd"/>
      <w:r w:rsidR="004C783D">
        <w:t xml:space="preserve"> </w:t>
      </w:r>
      <w:proofErr w:type="spellStart"/>
      <w:r w:rsidR="004C783D">
        <w:t>interfederale</w:t>
      </w:r>
      <w:proofErr w:type="spellEnd"/>
      <w:r w:rsidR="004C783D">
        <w:t xml:space="preserve"> armoedebarometer). Voor alleenstaande slaagt het leefloon erin om 75% van de AROP</w:t>
      </w:r>
      <w:r w:rsidR="00DE002E">
        <w:t xml:space="preserve"> </w:t>
      </w:r>
      <w:r w:rsidR="004C783D">
        <w:t>(at-risk-of-</w:t>
      </w:r>
      <w:proofErr w:type="spellStart"/>
      <w:r w:rsidR="004C783D">
        <w:t>poverty</w:t>
      </w:r>
      <w:proofErr w:type="spellEnd"/>
      <w:r w:rsidR="004C783D">
        <w:t xml:space="preserve">) grens te bereiken, bij een koppel met 2 kinderen daalt dit tot 64%. </w:t>
      </w:r>
    </w:p>
    <w:p w:rsidR="004C783D" w:rsidRDefault="004C783D" w:rsidP="004C783D">
      <w:pPr>
        <w:jc w:val="both"/>
      </w:pPr>
      <w:r>
        <w:t xml:space="preserve">Een andere indicator uit de EU-SILC set gaat na in welke mate personen die (over)leven onder de armoedegrens (AROP) </w:t>
      </w:r>
      <w:r w:rsidR="008A5AF0">
        <w:t>aan het werk zijn voor België is dit voor een kwart (24,1%)  van de armen het geval. Wetende dat er 14,6% (of 1.582.626 personen) van de Belgische bevolking geconfronteerd wordt met een verhoogd armoederisico dat komt dit neer op 381.413 personen die aan arm zijn en tegelijkertijd werken</w:t>
      </w:r>
      <w:r w:rsidR="00997D34">
        <w:t xml:space="preserve"> (</w:t>
      </w:r>
      <w:proofErr w:type="spellStart"/>
      <w:r w:rsidR="00997D34">
        <w:t>cfr</w:t>
      </w:r>
      <w:proofErr w:type="spellEnd"/>
      <w:r w:rsidR="00997D34">
        <w:t xml:space="preserve"> </w:t>
      </w:r>
      <w:proofErr w:type="spellStart"/>
      <w:r w:rsidR="00997D34">
        <w:t>interfederale</w:t>
      </w:r>
      <w:proofErr w:type="spellEnd"/>
      <w:r w:rsidR="00997D34">
        <w:t xml:space="preserve"> armoedebarometer)</w:t>
      </w:r>
      <w:r w:rsidR="008A5AF0">
        <w:t xml:space="preserve">. </w:t>
      </w:r>
    </w:p>
    <w:p w:rsidR="00DE002E" w:rsidRDefault="00997D34" w:rsidP="004C783D">
      <w:pPr>
        <w:jc w:val="both"/>
      </w:pPr>
      <w:r>
        <w:t xml:space="preserve">De Kruispuntbank voor de Sociale Zekerheid </w:t>
      </w:r>
      <w:r w:rsidR="002B186F">
        <w:t xml:space="preserve">(KSZ) </w:t>
      </w:r>
      <w:r>
        <w:t>biedt op haar website aan aantal basistoepassingen aan die vrij geconsulteerd kunnen worden. De meest recente data (4</w:t>
      </w:r>
      <w:r w:rsidRPr="00997D34">
        <w:rPr>
          <w:vertAlign w:val="superscript"/>
        </w:rPr>
        <w:t>de</w:t>
      </w:r>
      <w:r>
        <w:t xml:space="preserve"> kwartaal 2009) tonen dat er in België 19.767 personen zijn die aan het werk zijn en terzelfdertijd een OCMW ondersteuning in de vorm van een (equivalent) leefloon verkrijgen. Dit is 17% </w:t>
      </w:r>
      <w:r w:rsidR="00DE002E">
        <w:t>van de (equivalent) leefloon gerechtigden (19.767 op 116.769).</w:t>
      </w:r>
      <w:r>
        <w:t xml:space="preserve"> </w:t>
      </w:r>
      <w:r w:rsidR="00DE002E">
        <w:t>Binnen deze groep bevinden zich 1.082 zelfstandigen die een inkomen vergaren die lager ligt dan het leefloon, in het 4</w:t>
      </w:r>
      <w:r w:rsidR="00DE002E" w:rsidRPr="00DE002E">
        <w:rPr>
          <w:vertAlign w:val="superscript"/>
        </w:rPr>
        <w:t>de</w:t>
      </w:r>
      <w:r w:rsidR="00DE002E">
        <w:t xml:space="preserve"> kwartaal van 2009 was dit voor een alleenstaande 726 euro.</w:t>
      </w:r>
    </w:p>
    <w:p w:rsidR="002B186F" w:rsidRDefault="002B186F" w:rsidP="002B186F">
      <w:pPr>
        <w:jc w:val="both"/>
      </w:pPr>
      <w:r>
        <w:t xml:space="preserve">Uit de PRIMA terugvorderingsdatabank blijkt dat er in december 2009 2.413 personen waren die een </w:t>
      </w:r>
      <w:proofErr w:type="spellStart"/>
      <w:r>
        <w:t>socio</w:t>
      </w:r>
      <w:proofErr w:type="spellEnd"/>
      <w:r>
        <w:t xml:space="preserve">-professionele inschakelingspremie (SPI) verkregen. 12% van de personen die terzelfdertijd aan het werk zijn en een OCMW ondersteuning krijgen in de vorm van een (equivalent leefloon) krijgen een SPI. </w:t>
      </w:r>
    </w:p>
    <w:p w:rsidR="00997D34" w:rsidRDefault="002B186F" w:rsidP="004C783D">
      <w:pPr>
        <w:jc w:val="both"/>
      </w:pPr>
      <w:r>
        <w:t>Verder blijkt uit de data van de KSZ</w:t>
      </w:r>
      <w:r w:rsidR="00DE002E">
        <w:t xml:space="preserve"> zijn er</w:t>
      </w:r>
      <w:r w:rsidR="00997D34">
        <w:t xml:space="preserve"> 6.504 personen die terzelfdertijd een werkloosheidsvergoeding verkrijgen en een beroep doen op het OCMW. Binnen deze laatste groep zijn er in het 4</w:t>
      </w:r>
      <w:r w:rsidR="00997D34" w:rsidRPr="00997D34">
        <w:rPr>
          <w:vertAlign w:val="superscript"/>
        </w:rPr>
        <w:t>de</w:t>
      </w:r>
      <w:r w:rsidR="00997D34">
        <w:t xml:space="preserve"> kwartaal van 2009 2.</w:t>
      </w:r>
      <w:r w:rsidR="009B6C81">
        <w:t>260</w:t>
      </w:r>
      <w:r w:rsidR="00997D34">
        <w:t xml:space="preserve"> personen die een wachtuitkering verkrijgen. Toekomstige data opvolging moet mogelijk maken de impact van de wijzigingen binnen de </w:t>
      </w:r>
      <w:r w:rsidR="00DE002E">
        <w:t xml:space="preserve">werkloosheidsverzekering en de impact hiervan op de werkdruk bij de </w:t>
      </w:r>
      <w:proofErr w:type="spellStart"/>
      <w:r w:rsidR="00DE002E">
        <w:t>OCMW’s</w:t>
      </w:r>
      <w:proofErr w:type="spellEnd"/>
      <w:r w:rsidR="00DE002E">
        <w:t xml:space="preserve"> op te volgen. </w:t>
      </w:r>
      <w:r w:rsidR="00997D34">
        <w:t xml:space="preserve"> </w:t>
      </w:r>
    </w:p>
    <w:p w:rsidR="00997D34" w:rsidRPr="00DE002E" w:rsidRDefault="00DE002E" w:rsidP="004C783D">
      <w:pPr>
        <w:jc w:val="both"/>
        <w:rPr>
          <w:lang w:val="en-US"/>
        </w:rPr>
      </w:pPr>
      <w:r w:rsidRPr="00DE002E">
        <w:rPr>
          <w:lang w:val="en-US"/>
        </w:rPr>
        <w:t xml:space="preserve">Contact: </w:t>
      </w:r>
      <w:hyperlink r:id="rId8" w:history="1">
        <w:r w:rsidRPr="00DE002E">
          <w:rPr>
            <w:rStyle w:val="Hyperlink"/>
            <w:lang w:val="en-US"/>
          </w:rPr>
          <w:t>vraag@mi-is.be</w:t>
        </w:r>
      </w:hyperlink>
      <w:r w:rsidRPr="00DE002E">
        <w:rPr>
          <w:lang w:val="en-US"/>
        </w:rPr>
        <w:t xml:space="preserve"> of 02-508.85.85</w:t>
      </w:r>
      <w:bookmarkStart w:id="0" w:name="_GoBack"/>
      <w:bookmarkEnd w:id="0"/>
    </w:p>
    <w:sectPr w:rsidR="00997D34" w:rsidRPr="00DE00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7D" w:rsidRDefault="000D147D" w:rsidP="00486459">
      <w:pPr>
        <w:spacing w:after="0" w:line="240" w:lineRule="auto"/>
      </w:pPr>
      <w:r>
        <w:separator/>
      </w:r>
    </w:p>
  </w:endnote>
  <w:endnote w:type="continuationSeparator" w:id="0">
    <w:p w:rsidR="000D147D" w:rsidRDefault="000D147D" w:rsidP="0048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93643"/>
      <w:docPartObj>
        <w:docPartGallery w:val="Page Numbers (Bottom of Page)"/>
        <w:docPartUnique/>
      </w:docPartObj>
    </w:sdtPr>
    <w:sdtEndPr/>
    <w:sdtContent>
      <w:p w:rsidR="004C783D" w:rsidRDefault="004C783D">
        <w:pPr>
          <w:pStyle w:val="Voettekst"/>
          <w:jc w:val="right"/>
        </w:pPr>
        <w:r>
          <w:fldChar w:fldCharType="begin"/>
        </w:r>
        <w:r>
          <w:instrText>PAGE   \* MERGEFORMAT</w:instrText>
        </w:r>
        <w:r>
          <w:fldChar w:fldCharType="separate"/>
        </w:r>
        <w:r w:rsidR="00654EA6" w:rsidRPr="00654EA6">
          <w:rPr>
            <w:noProof/>
            <w:lang w:val="nl-NL"/>
          </w:rPr>
          <w:t>1</w:t>
        </w:r>
        <w:r>
          <w:fldChar w:fldCharType="end"/>
        </w:r>
      </w:p>
    </w:sdtContent>
  </w:sdt>
  <w:p w:rsidR="004C783D" w:rsidRDefault="004C78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7D" w:rsidRDefault="000D147D" w:rsidP="00486459">
      <w:pPr>
        <w:spacing w:after="0" w:line="240" w:lineRule="auto"/>
      </w:pPr>
      <w:r>
        <w:separator/>
      </w:r>
    </w:p>
  </w:footnote>
  <w:footnote w:type="continuationSeparator" w:id="0">
    <w:p w:rsidR="000D147D" w:rsidRDefault="000D147D" w:rsidP="00486459">
      <w:pPr>
        <w:spacing w:after="0" w:line="240" w:lineRule="auto"/>
      </w:pPr>
      <w:r>
        <w:continuationSeparator/>
      </w:r>
    </w:p>
  </w:footnote>
  <w:footnote w:id="1">
    <w:p w:rsidR="00486459" w:rsidRPr="00486459" w:rsidRDefault="00486459">
      <w:pPr>
        <w:pStyle w:val="Voetnoottekst"/>
        <w:rPr>
          <w:lang w:val="en-US"/>
        </w:rPr>
      </w:pPr>
      <w:r>
        <w:rPr>
          <w:rStyle w:val="Voetnootmarkering"/>
        </w:rPr>
        <w:footnoteRef/>
      </w:r>
      <w:r w:rsidRPr="00486459">
        <w:rPr>
          <w:lang w:val="en-US"/>
        </w:rPr>
        <w:t xml:space="preserve"> http://statbel.fgov.be/nl/statistieken/gegevensinzameling/enquetes/silc/</w:t>
      </w:r>
    </w:p>
  </w:footnote>
  <w:footnote w:id="2">
    <w:p w:rsidR="00486459" w:rsidRPr="00486459" w:rsidRDefault="00486459">
      <w:pPr>
        <w:pStyle w:val="Voetnoottekst"/>
        <w:rPr>
          <w:lang w:val="en-US"/>
        </w:rPr>
      </w:pPr>
      <w:r>
        <w:rPr>
          <w:rStyle w:val="Voetnootmarkering"/>
        </w:rPr>
        <w:footnoteRef/>
      </w:r>
      <w:r w:rsidRPr="00486459">
        <w:rPr>
          <w:lang w:val="en-US"/>
        </w:rPr>
        <w:t xml:space="preserve"> The share of persons who are at work and have an </w:t>
      </w:r>
      <w:proofErr w:type="spellStart"/>
      <w:r w:rsidRPr="00486459">
        <w:rPr>
          <w:lang w:val="en-US"/>
        </w:rPr>
        <w:t>equivalised</w:t>
      </w:r>
      <w:proofErr w:type="spellEnd"/>
      <w:r w:rsidRPr="00486459">
        <w:rPr>
          <w:lang w:val="en-US"/>
        </w:rPr>
        <w:t xml:space="preserve"> disposable income below the risk-of-poverty threshold, which is set at 60 % of the national median </w:t>
      </w:r>
      <w:proofErr w:type="spellStart"/>
      <w:r w:rsidRPr="00486459">
        <w:rPr>
          <w:lang w:val="en-US"/>
        </w:rPr>
        <w:t>equivalised</w:t>
      </w:r>
      <w:proofErr w:type="spellEnd"/>
      <w:r w:rsidRPr="00486459">
        <w:rPr>
          <w:lang w:val="en-US"/>
        </w:rPr>
        <w:t xml:space="preserve"> disposable income (after social transfers)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3D" w:rsidRPr="004C783D" w:rsidRDefault="004C783D" w:rsidP="004C783D">
    <w:pPr>
      <w:spacing w:after="0" w:line="240" w:lineRule="auto"/>
      <w:jc w:val="right"/>
      <w:rPr>
        <w:rFonts w:ascii="Times New Roman" w:eastAsia="Times New Roman" w:hAnsi="Times New Roman" w:cs="Times New Roman"/>
        <w:sz w:val="24"/>
        <w:szCs w:val="24"/>
        <w:lang w:val="nl-NL" w:eastAsia="nl-BE"/>
      </w:rPr>
    </w:pPr>
    <w:r w:rsidRPr="004C783D">
      <w:rPr>
        <w:rFonts w:ascii="Times New Roman" w:eastAsia="Times New Roman" w:hAnsi="Times New Roman" w:cs="Times New Roman"/>
        <w:noProof/>
        <w:color w:val="0000FF"/>
        <w:sz w:val="24"/>
        <w:szCs w:val="24"/>
        <w:lang w:eastAsia="nl-BE"/>
      </w:rPr>
      <w:drawing>
        <wp:inline distT="0" distB="0" distL="0" distR="0" wp14:anchorId="0198397C" wp14:editId="47E1F0EF">
          <wp:extent cx="1062842" cy="538399"/>
          <wp:effectExtent l="0" t="0" r="4445" b="0"/>
          <wp:docPr id="1" name="Afbeelding 1" descr="POD Maatschappelijke Integrati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 Maatschappelijke Integrati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520" cy="539249"/>
                  </a:xfrm>
                  <a:prstGeom prst="rect">
                    <a:avLst/>
                  </a:prstGeom>
                  <a:noFill/>
                  <a:ln>
                    <a:noFill/>
                  </a:ln>
                </pic:spPr>
              </pic:pic>
            </a:graphicData>
          </a:graphic>
        </wp:inline>
      </w:drawing>
    </w:r>
  </w:p>
  <w:p w:rsidR="004C783D" w:rsidRPr="004C783D" w:rsidRDefault="004C783D" w:rsidP="004C783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8"/>
    <w:rsid w:val="000D147D"/>
    <w:rsid w:val="002B186F"/>
    <w:rsid w:val="00424352"/>
    <w:rsid w:val="00486459"/>
    <w:rsid w:val="004C783D"/>
    <w:rsid w:val="00557E01"/>
    <w:rsid w:val="00654EA6"/>
    <w:rsid w:val="00663998"/>
    <w:rsid w:val="00781FAA"/>
    <w:rsid w:val="00822D58"/>
    <w:rsid w:val="00860901"/>
    <w:rsid w:val="008A5AF0"/>
    <w:rsid w:val="00997D34"/>
    <w:rsid w:val="009B6C81"/>
    <w:rsid w:val="00B278AE"/>
    <w:rsid w:val="00DE002E"/>
    <w:rsid w:val="00DF5B8F"/>
    <w:rsid w:val="00F04A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8645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6459"/>
    <w:rPr>
      <w:sz w:val="20"/>
      <w:szCs w:val="20"/>
    </w:rPr>
  </w:style>
  <w:style w:type="character" w:styleId="Voetnootmarkering">
    <w:name w:val="footnote reference"/>
    <w:basedOn w:val="Standaardalinea-lettertype"/>
    <w:uiPriority w:val="99"/>
    <w:semiHidden/>
    <w:unhideWhenUsed/>
    <w:rsid w:val="00486459"/>
    <w:rPr>
      <w:vertAlign w:val="superscript"/>
    </w:rPr>
  </w:style>
  <w:style w:type="paragraph" w:styleId="Koptekst">
    <w:name w:val="header"/>
    <w:basedOn w:val="Standaard"/>
    <w:link w:val="KoptekstChar"/>
    <w:uiPriority w:val="99"/>
    <w:unhideWhenUsed/>
    <w:rsid w:val="004C78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783D"/>
  </w:style>
  <w:style w:type="paragraph" w:styleId="Voettekst">
    <w:name w:val="footer"/>
    <w:basedOn w:val="Standaard"/>
    <w:link w:val="VoettekstChar"/>
    <w:uiPriority w:val="99"/>
    <w:unhideWhenUsed/>
    <w:rsid w:val="004C78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83D"/>
  </w:style>
  <w:style w:type="paragraph" w:styleId="Ballontekst">
    <w:name w:val="Balloon Text"/>
    <w:basedOn w:val="Standaard"/>
    <w:link w:val="BallontekstChar"/>
    <w:uiPriority w:val="99"/>
    <w:semiHidden/>
    <w:unhideWhenUsed/>
    <w:rsid w:val="004C78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83D"/>
    <w:rPr>
      <w:rFonts w:ascii="Tahoma" w:hAnsi="Tahoma" w:cs="Tahoma"/>
      <w:sz w:val="16"/>
      <w:szCs w:val="16"/>
    </w:rPr>
  </w:style>
  <w:style w:type="character" w:styleId="Hyperlink">
    <w:name w:val="Hyperlink"/>
    <w:basedOn w:val="Standaardalinea-lettertype"/>
    <w:uiPriority w:val="99"/>
    <w:unhideWhenUsed/>
    <w:rsid w:val="00DE00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8645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6459"/>
    <w:rPr>
      <w:sz w:val="20"/>
      <w:szCs w:val="20"/>
    </w:rPr>
  </w:style>
  <w:style w:type="character" w:styleId="Voetnootmarkering">
    <w:name w:val="footnote reference"/>
    <w:basedOn w:val="Standaardalinea-lettertype"/>
    <w:uiPriority w:val="99"/>
    <w:semiHidden/>
    <w:unhideWhenUsed/>
    <w:rsid w:val="00486459"/>
    <w:rPr>
      <w:vertAlign w:val="superscript"/>
    </w:rPr>
  </w:style>
  <w:style w:type="paragraph" w:styleId="Koptekst">
    <w:name w:val="header"/>
    <w:basedOn w:val="Standaard"/>
    <w:link w:val="KoptekstChar"/>
    <w:uiPriority w:val="99"/>
    <w:unhideWhenUsed/>
    <w:rsid w:val="004C78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783D"/>
  </w:style>
  <w:style w:type="paragraph" w:styleId="Voettekst">
    <w:name w:val="footer"/>
    <w:basedOn w:val="Standaard"/>
    <w:link w:val="VoettekstChar"/>
    <w:uiPriority w:val="99"/>
    <w:unhideWhenUsed/>
    <w:rsid w:val="004C78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83D"/>
  </w:style>
  <w:style w:type="paragraph" w:styleId="Ballontekst">
    <w:name w:val="Balloon Text"/>
    <w:basedOn w:val="Standaard"/>
    <w:link w:val="BallontekstChar"/>
    <w:uiPriority w:val="99"/>
    <w:semiHidden/>
    <w:unhideWhenUsed/>
    <w:rsid w:val="004C78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83D"/>
    <w:rPr>
      <w:rFonts w:ascii="Tahoma" w:hAnsi="Tahoma" w:cs="Tahoma"/>
      <w:sz w:val="16"/>
      <w:szCs w:val="16"/>
    </w:rPr>
  </w:style>
  <w:style w:type="character" w:styleId="Hyperlink">
    <w:name w:val="Hyperlink"/>
    <w:basedOn w:val="Standaardalinea-lettertype"/>
    <w:uiPriority w:val="99"/>
    <w:unhideWhenUsed/>
    <w:rsid w:val="00DE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28537">
      <w:bodyDiv w:val="1"/>
      <w:marLeft w:val="0"/>
      <w:marRight w:val="0"/>
      <w:marTop w:val="0"/>
      <w:marBottom w:val="0"/>
      <w:divBdr>
        <w:top w:val="none" w:sz="0" w:space="0" w:color="auto"/>
        <w:left w:val="none" w:sz="0" w:space="0" w:color="auto"/>
        <w:bottom w:val="none" w:sz="0" w:space="0" w:color="auto"/>
        <w:right w:val="none" w:sz="0" w:space="0" w:color="auto"/>
      </w:divBdr>
      <w:divsChild>
        <w:div w:id="1972711627">
          <w:marLeft w:val="0"/>
          <w:marRight w:val="0"/>
          <w:marTop w:val="0"/>
          <w:marBottom w:val="0"/>
          <w:divBdr>
            <w:top w:val="none" w:sz="0" w:space="0" w:color="auto"/>
            <w:left w:val="none" w:sz="0" w:space="0" w:color="auto"/>
            <w:bottom w:val="none" w:sz="0" w:space="0" w:color="auto"/>
            <w:right w:val="none" w:sz="0" w:space="0" w:color="auto"/>
          </w:divBdr>
          <w:divsChild>
            <w:div w:id="1041202041">
              <w:marLeft w:val="0"/>
              <w:marRight w:val="0"/>
              <w:marTop w:val="0"/>
              <w:marBottom w:val="0"/>
              <w:divBdr>
                <w:top w:val="none" w:sz="0" w:space="0" w:color="auto"/>
                <w:left w:val="none" w:sz="0" w:space="0" w:color="auto"/>
                <w:bottom w:val="none" w:sz="0" w:space="0" w:color="auto"/>
                <w:right w:val="none" w:sz="0" w:space="0" w:color="auto"/>
              </w:divBdr>
              <w:divsChild>
                <w:div w:id="3429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ag@mi-i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mi-is.be/be-nl/star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922D-717E-4F3D-9563-63314B4B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Locquet Jo</dc:creator>
  <cp:lastModifiedBy>Locquet Jo</cp:lastModifiedBy>
  <cp:revision>3</cp:revision>
  <dcterms:created xsi:type="dcterms:W3CDTF">2012-09-14T11:00:00Z</dcterms:created>
  <dcterms:modified xsi:type="dcterms:W3CDTF">2012-09-25T07:09:00Z</dcterms:modified>
</cp:coreProperties>
</file>